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贵金属供需简介：</w:t>
      </w:r>
    </w:p>
    <w:p>
      <w:pPr>
        <w:spacing w:line="360" w:lineRule="auto"/>
        <w:ind w:firstLine="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得益于其稀缺性以及稳定性的特性，黄金和白银自古以来便是全世界人类共识中最原始的货币之一。随着历史上科技的进步以及货币系统不断演变的影响下，贵金属在自身货币属性的基础上也演变出如金融及商品等不同属性。在供给端方面，黄金及白银等贵金属主要以矿端开采产出为主要供给项，同时在近代回收冶炼技术愈加成熟，外加电子元器件中对贵金属的使用有所提升，回收金银对供给端的贡献量也逐步提升。</w:t>
      </w:r>
    </w:p>
    <w:p>
      <w:pPr>
        <w:spacing w:line="360" w:lineRule="auto"/>
        <w:ind w:firstLine="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需求端方面，黄金及白银的分项需求占比便出现了明显的差异。黄金需求主要分为四类，分别为金饰需求、工业需求、黄金ETF、金条金币以及政府及其他相关机构需求。在这些分类中，工业需求最少，而其他几类需求分布较为平均，同时值得注意的是近年来央行购金需求受地缘冲突以及全球政局不确定性升高等影响大幅抬升，一改2008年前长期净卖出的趋势。白银需求结构与黄金大相径庭，由于近代科技逐步迭代，白银受其自身优异的导电和导热性影响在电子器件及光伏相关产业中的应用较为广泛，因此工业需求的占比在白银总需求中高达50%左右的水平。除工业需求外，银饰银器及实物银投资等需求在总需求中各占比20%左右。</w:t>
      </w:r>
    </w:p>
    <w:p>
      <w:pPr>
        <w:spacing w:line="360"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图1贵金属供给来源</w:t>
      </w:r>
    </w:p>
    <w:p>
      <w:pPr>
        <w:spacing w:line="360" w:lineRule="auto"/>
      </w:pPr>
      <w:r>
        <w:drawing>
          <wp:inline distT="0" distB="0" distL="114300" distR="114300">
            <wp:extent cx="5266690" cy="2499360"/>
            <wp:effectExtent l="0" t="0" r="1016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499360"/>
                    </a:xfrm>
                    <a:prstGeom prst="rect">
                      <a:avLst/>
                    </a:prstGeom>
                    <a:noFill/>
                    <a:ln>
                      <a:noFill/>
                    </a:ln>
                  </pic:spPr>
                </pic:pic>
              </a:graphicData>
            </a:graphic>
          </wp:inline>
        </w:drawing>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图2黄金需求及影响因素</w:t>
      </w:r>
    </w:p>
    <w:p>
      <w:pPr>
        <w:spacing w:line="360" w:lineRule="auto"/>
      </w:pPr>
      <w:r>
        <w:drawing>
          <wp:inline distT="0" distB="0" distL="114300" distR="114300">
            <wp:extent cx="5267325" cy="2535555"/>
            <wp:effectExtent l="0" t="0" r="952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2535555"/>
                    </a:xfrm>
                    <a:prstGeom prst="rect">
                      <a:avLst/>
                    </a:prstGeom>
                    <a:noFill/>
                    <a:ln>
                      <a:noFill/>
                    </a:ln>
                  </pic:spPr>
                </pic:pic>
              </a:graphicData>
            </a:graphic>
          </wp:inline>
        </w:drawing>
      </w:r>
    </w:p>
    <w:p>
      <w:pPr>
        <w:spacing w:line="360" w:lineRule="auto"/>
        <w:jc w:val="center"/>
        <w:rPr>
          <w:b/>
          <w:bCs/>
        </w:rPr>
      </w:pPr>
      <w:r>
        <w:rPr>
          <w:rFonts w:hint="eastAsia" w:ascii="仿宋" w:hAnsi="仿宋" w:eastAsia="仿宋" w:cs="仿宋"/>
          <w:b/>
          <w:bCs/>
          <w:sz w:val="24"/>
          <w:szCs w:val="24"/>
          <w:lang w:val="en-US" w:eastAsia="zh-CN"/>
        </w:rPr>
        <w:t>图3白银需求及影响因素</w:t>
      </w:r>
    </w:p>
    <w:p>
      <w:pPr>
        <w:spacing w:line="360" w:lineRule="auto"/>
        <w:rPr>
          <w:rFonts w:hint="default"/>
          <w:b w:val="0"/>
          <w:bCs w:val="0"/>
          <w:lang w:val="en-US" w:eastAsia="zh-CN"/>
        </w:rPr>
      </w:pPr>
      <w:r>
        <w:drawing>
          <wp:inline distT="0" distB="0" distL="114300" distR="114300">
            <wp:extent cx="5267960" cy="2058670"/>
            <wp:effectExtent l="0" t="0" r="889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960" cy="2058670"/>
                    </a:xfrm>
                    <a:prstGeom prst="rect">
                      <a:avLst/>
                    </a:prstGeom>
                    <a:noFill/>
                    <a:ln>
                      <a:noFill/>
                    </a:ln>
                  </pic:spPr>
                </pic:pic>
              </a:graphicData>
            </a:graphic>
          </wp:inline>
        </w:drawing>
      </w:r>
    </w:p>
    <w:p>
      <w:pPr>
        <w:spacing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贵金属价格走势影响因素：</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当我们谈论贵金属价格的走势时，</w:t>
      </w:r>
      <w:r>
        <w:rPr>
          <w:rFonts w:hint="eastAsia" w:ascii="仿宋" w:hAnsi="仿宋" w:eastAsia="仿宋" w:cs="仿宋"/>
          <w:b w:val="0"/>
          <w:bCs w:val="0"/>
          <w:sz w:val="24"/>
          <w:szCs w:val="24"/>
          <w:lang w:val="en-US" w:eastAsia="zh-CN"/>
        </w:rPr>
        <w:t>由于其自身包含多重属性的影响，</w:t>
      </w:r>
      <w:r>
        <w:rPr>
          <w:rFonts w:hint="default" w:ascii="仿宋" w:hAnsi="仿宋" w:eastAsia="仿宋" w:cs="仿宋"/>
          <w:b w:val="0"/>
          <w:bCs w:val="0"/>
          <w:sz w:val="24"/>
          <w:szCs w:val="24"/>
          <w:lang w:val="en-US" w:eastAsia="zh-CN"/>
        </w:rPr>
        <w:t>有许多因素会</w:t>
      </w:r>
      <w:r>
        <w:rPr>
          <w:rFonts w:hint="eastAsia" w:ascii="仿宋" w:hAnsi="仿宋" w:eastAsia="仿宋" w:cs="仿宋"/>
          <w:b w:val="0"/>
          <w:bCs w:val="0"/>
          <w:sz w:val="24"/>
          <w:szCs w:val="24"/>
          <w:lang w:val="en-US" w:eastAsia="zh-CN"/>
        </w:rPr>
        <w:t>导致其价格产生波动</w:t>
      </w:r>
      <w:r>
        <w:rPr>
          <w:rFonts w:hint="default" w:ascii="仿宋" w:hAnsi="仿宋" w:eastAsia="仿宋" w:cs="仿宋"/>
          <w:b w:val="0"/>
          <w:bCs w:val="0"/>
          <w:sz w:val="24"/>
          <w:szCs w:val="24"/>
          <w:lang w:val="en-US" w:eastAsia="zh-CN"/>
        </w:rPr>
        <w:t>。这些因素</w:t>
      </w:r>
      <w:r>
        <w:rPr>
          <w:rFonts w:hint="eastAsia" w:ascii="仿宋" w:hAnsi="仿宋" w:eastAsia="仿宋" w:cs="仿宋"/>
          <w:b w:val="0"/>
          <w:bCs w:val="0"/>
          <w:sz w:val="24"/>
          <w:szCs w:val="24"/>
          <w:lang w:val="en-US" w:eastAsia="zh-CN"/>
        </w:rPr>
        <w:t>覆盖</w:t>
      </w:r>
      <w:r>
        <w:rPr>
          <w:rFonts w:hint="default" w:ascii="仿宋" w:hAnsi="仿宋" w:eastAsia="仿宋" w:cs="仿宋"/>
          <w:b w:val="0"/>
          <w:bCs w:val="0"/>
          <w:sz w:val="24"/>
          <w:szCs w:val="24"/>
          <w:lang w:val="en-US" w:eastAsia="zh-CN"/>
        </w:rPr>
        <w:t>了经济走势、通胀</w:t>
      </w:r>
      <w:r>
        <w:rPr>
          <w:rFonts w:hint="eastAsia" w:ascii="仿宋" w:hAnsi="仿宋" w:eastAsia="仿宋" w:cs="仿宋"/>
          <w:b w:val="0"/>
          <w:bCs w:val="0"/>
          <w:sz w:val="24"/>
          <w:szCs w:val="24"/>
          <w:lang w:val="en-US" w:eastAsia="zh-CN"/>
        </w:rPr>
        <w:t>水平</w:t>
      </w:r>
      <w:r>
        <w:rPr>
          <w:rFonts w:hint="default" w:ascii="仿宋" w:hAnsi="仿宋" w:eastAsia="仿宋" w:cs="仿宋"/>
          <w:b w:val="0"/>
          <w:bCs w:val="0"/>
          <w:sz w:val="24"/>
          <w:szCs w:val="24"/>
          <w:lang w:val="en-US" w:eastAsia="zh-CN"/>
        </w:rPr>
        <w:t>、利率、地缘政治不确定性以及避险情绪等多个方面。本文将深入探讨这些因素，以帮助非专业投资者更好地了解贵金属市场的动态。</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首先，经济走势是贵金属价格波动的一个关键因素。当经济状况疲软或不确定时，投资者通常会寻求避险资产，其中贵金属</w:t>
      </w:r>
      <w:r>
        <w:rPr>
          <w:rFonts w:hint="eastAsia" w:ascii="仿宋" w:hAnsi="仿宋" w:eastAsia="仿宋" w:cs="仿宋"/>
          <w:b w:val="0"/>
          <w:bCs w:val="0"/>
          <w:sz w:val="24"/>
          <w:szCs w:val="24"/>
          <w:lang w:val="en-US" w:eastAsia="zh-CN"/>
        </w:rPr>
        <w:t>便</w:t>
      </w:r>
      <w:r>
        <w:rPr>
          <w:rFonts w:hint="default" w:ascii="仿宋" w:hAnsi="仿宋" w:eastAsia="仿宋" w:cs="仿宋"/>
          <w:b w:val="0"/>
          <w:bCs w:val="0"/>
          <w:sz w:val="24"/>
          <w:szCs w:val="24"/>
          <w:lang w:val="en-US" w:eastAsia="zh-CN"/>
        </w:rPr>
        <w:t>是一个备受青睐的选择。由于贵金属在市场上被视为相对稳定的价值储存工具，因此在经济动荡时，需求上升，从而推动贵金属价格上涨。</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其次，通胀对贵金属价格也有着显著的影响。通常情况下，当通货膨胀水平上升时，</w:t>
      </w:r>
      <w:r>
        <w:rPr>
          <w:rFonts w:hint="eastAsia" w:ascii="仿宋" w:hAnsi="仿宋" w:eastAsia="仿宋" w:cs="仿宋"/>
          <w:b w:val="0"/>
          <w:bCs w:val="0"/>
          <w:sz w:val="24"/>
          <w:szCs w:val="24"/>
          <w:lang w:val="en-US" w:eastAsia="zh-CN"/>
        </w:rPr>
        <w:t>法定</w:t>
      </w:r>
      <w:r>
        <w:rPr>
          <w:rFonts w:hint="default" w:ascii="仿宋" w:hAnsi="仿宋" w:eastAsia="仿宋" w:cs="仿宋"/>
          <w:b w:val="0"/>
          <w:bCs w:val="0"/>
          <w:sz w:val="24"/>
          <w:szCs w:val="24"/>
          <w:lang w:val="en-US" w:eastAsia="zh-CN"/>
        </w:rPr>
        <w:t>货币的购买力下降，投资者</w:t>
      </w:r>
      <w:r>
        <w:rPr>
          <w:rFonts w:hint="eastAsia" w:ascii="仿宋" w:hAnsi="仿宋" w:eastAsia="仿宋" w:cs="仿宋"/>
          <w:b w:val="0"/>
          <w:bCs w:val="0"/>
          <w:sz w:val="24"/>
          <w:szCs w:val="24"/>
          <w:lang w:val="en-US" w:eastAsia="zh-CN"/>
        </w:rPr>
        <w:t>通常希望</w:t>
      </w:r>
      <w:r>
        <w:rPr>
          <w:rFonts w:hint="default" w:ascii="仿宋" w:hAnsi="仿宋" w:eastAsia="仿宋" w:cs="仿宋"/>
          <w:b w:val="0"/>
          <w:bCs w:val="0"/>
          <w:sz w:val="24"/>
          <w:szCs w:val="24"/>
          <w:lang w:val="en-US" w:eastAsia="zh-CN"/>
        </w:rPr>
        <w:t>寻求</w:t>
      </w:r>
      <w:r>
        <w:rPr>
          <w:rFonts w:hint="eastAsia" w:ascii="仿宋" w:hAnsi="仿宋" w:eastAsia="仿宋" w:cs="仿宋"/>
          <w:b w:val="0"/>
          <w:bCs w:val="0"/>
          <w:sz w:val="24"/>
          <w:szCs w:val="24"/>
          <w:lang w:val="en-US" w:eastAsia="zh-CN"/>
        </w:rPr>
        <w:t>相较</w:t>
      </w:r>
      <w:r>
        <w:rPr>
          <w:rFonts w:hint="default" w:ascii="仿宋" w:hAnsi="仿宋" w:eastAsia="仿宋" w:cs="仿宋"/>
          <w:b w:val="0"/>
          <w:bCs w:val="0"/>
          <w:sz w:val="24"/>
          <w:szCs w:val="24"/>
          <w:lang w:val="en-US" w:eastAsia="zh-CN"/>
        </w:rPr>
        <w:t>保值</w:t>
      </w:r>
      <w:r>
        <w:rPr>
          <w:rFonts w:hint="eastAsia" w:ascii="仿宋" w:hAnsi="仿宋" w:eastAsia="仿宋" w:cs="仿宋"/>
          <w:b w:val="0"/>
          <w:bCs w:val="0"/>
          <w:sz w:val="24"/>
          <w:szCs w:val="24"/>
          <w:lang w:val="en-US" w:eastAsia="zh-CN"/>
        </w:rPr>
        <w:t>的资产并加以进行配置</w:t>
      </w:r>
      <w:r>
        <w:rPr>
          <w:rFonts w:hint="default" w:ascii="仿宋" w:hAnsi="仿宋" w:eastAsia="仿宋" w:cs="仿宋"/>
          <w:b w:val="0"/>
          <w:bCs w:val="0"/>
          <w:sz w:val="24"/>
          <w:szCs w:val="24"/>
          <w:lang w:val="en-US" w:eastAsia="zh-CN"/>
        </w:rPr>
        <w:t>。贵金属因其有限的供应和相对固定的产量而成为通胀对抗的理想选择，因此其价格在</w:t>
      </w:r>
      <w:r>
        <w:rPr>
          <w:rFonts w:hint="eastAsia" w:ascii="仿宋" w:hAnsi="仿宋" w:eastAsia="仿宋" w:cs="仿宋"/>
          <w:b w:val="0"/>
          <w:bCs w:val="0"/>
          <w:sz w:val="24"/>
          <w:szCs w:val="24"/>
          <w:lang w:val="en-US" w:eastAsia="zh-CN"/>
        </w:rPr>
        <w:t>全球</w:t>
      </w:r>
      <w:r>
        <w:rPr>
          <w:rFonts w:hint="default" w:ascii="仿宋" w:hAnsi="仿宋" w:eastAsia="仿宋" w:cs="仿宋"/>
          <w:b w:val="0"/>
          <w:bCs w:val="0"/>
          <w:sz w:val="24"/>
          <w:szCs w:val="24"/>
          <w:lang w:val="en-US" w:eastAsia="zh-CN"/>
        </w:rPr>
        <w:t>通胀</w:t>
      </w:r>
      <w:r>
        <w:rPr>
          <w:rFonts w:hint="eastAsia" w:ascii="仿宋" w:hAnsi="仿宋" w:eastAsia="仿宋" w:cs="仿宋"/>
          <w:b w:val="0"/>
          <w:bCs w:val="0"/>
          <w:sz w:val="24"/>
          <w:szCs w:val="24"/>
          <w:lang w:val="en-US" w:eastAsia="zh-CN"/>
        </w:rPr>
        <w:t>水平大幅上升</w:t>
      </w:r>
      <w:r>
        <w:rPr>
          <w:rFonts w:hint="default" w:ascii="仿宋" w:hAnsi="仿宋" w:eastAsia="仿宋" w:cs="仿宋"/>
          <w:b w:val="0"/>
          <w:bCs w:val="0"/>
          <w:sz w:val="24"/>
          <w:szCs w:val="24"/>
          <w:lang w:val="en-US" w:eastAsia="zh-CN"/>
        </w:rPr>
        <w:t>期间</w:t>
      </w:r>
      <w:r>
        <w:rPr>
          <w:rFonts w:hint="eastAsia" w:ascii="仿宋" w:hAnsi="仿宋" w:eastAsia="仿宋" w:cs="仿宋"/>
          <w:b w:val="0"/>
          <w:bCs w:val="0"/>
          <w:sz w:val="24"/>
          <w:szCs w:val="24"/>
          <w:lang w:val="en-US" w:eastAsia="zh-CN"/>
        </w:rPr>
        <w:t>往往将得到大幅提振</w:t>
      </w:r>
      <w:r>
        <w:rPr>
          <w:rFonts w:hint="default" w:ascii="仿宋" w:hAnsi="仿宋" w:eastAsia="仿宋" w:cs="仿宋"/>
          <w:b w:val="0"/>
          <w:bCs w:val="0"/>
          <w:sz w:val="24"/>
          <w:szCs w:val="24"/>
          <w:lang w:val="en-US" w:eastAsia="zh-CN"/>
        </w:rPr>
        <w:t>。</w:t>
      </w:r>
    </w:p>
    <w:p>
      <w:pPr>
        <w:spacing w:line="360" w:lineRule="auto"/>
        <w:ind w:firstLine="420" w:firstLineChars="0"/>
        <w:rPr>
          <w:rFonts w:hint="default" w:ascii="仿宋" w:hAnsi="仿宋" w:eastAsia="仿宋" w:cs="仿宋"/>
          <w:b w:val="0"/>
          <w:bCs w:val="0"/>
          <w:sz w:val="24"/>
          <w:szCs w:val="24"/>
          <w:lang w:val="en-US" w:eastAsia="zh-CN"/>
        </w:rPr>
      </w:pP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利率</w:t>
      </w:r>
      <w:r>
        <w:rPr>
          <w:rFonts w:hint="eastAsia" w:ascii="仿宋" w:hAnsi="仿宋" w:eastAsia="仿宋" w:cs="仿宋"/>
          <w:b w:val="0"/>
          <w:bCs w:val="0"/>
          <w:sz w:val="24"/>
          <w:szCs w:val="24"/>
          <w:lang w:val="en-US" w:eastAsia="zh-CN"/>
        </w:rPr>
        <w:t>则</w:t>
      </w:r>
      <w:r>
        <w:rPr>
          <w:rFonts w:hint="default" w:ascii="仿宋" w:hAnsi="仿宋" w:eastAsia="仿宋" w:cs="仿宋"/>
          <w:b w:val="0"/>
          <w:bCs w:val="0"/>
          <w:sz w:val="24"/>
          <w:szCs w:val="24"/>
          <w:lang w:val="en-US" w:eastAsia="zh-CN"/>
        </w:rPr>
        <w:t>是影响贵金属价格的另一关键因素。一般来说，当</w:t>
      </w:r>
      <w:r>
        <w:rPr>
          <w:rFonts w:hint="eastAsia" w:ascii="仿宋" w:hAnsi="仿宋" w:eastAsia="仿宋" w:cs="仿宋"/>
          <w:b w:val="0"/>
          <w:bCs w:val="0"/>
          <w:sz w:val="24"/>
          <w:szCs w:val="24"/>
          <w:lang w:val="en-US" w:eastAsia="zh-CN"/>
        </w:rPr>
        <w:t>无风险</w:t>
      </w:r>
      <w:r>
        <w:rPr>
          <w:rFonts w:hint="default" w:ascii="仿宋" w:hAnsi="仿宋" w:eastAsia="仿宋" w:cs="仿宋"/>
          <w:b w:val="0"/>
          <w:bCs w:val="0"/>
          <w:sz w:val="24"/>
          <w:szCs w:val="24"/>
          <w:lang w:val="en-US" w:eastAsia="zh-CN"/>
        </w:rPr>
        <w:t>利率上升时，投资者更倾向于将资金配置到具有利息或股息回报的资产，而不是持有不产生利息的贵金属。相反</w:t>
      </w:r>
      <w:r>
        <w:rPr>
          <w:rFonts w:hint="eastAsia" w:ascii="仿宋" w:hAnsi="仿宋" w:eastAsia="仿宋" w:cs="仿宋"/>
          <w:b w:val="0"/>
          <w:bCs w:val="0"/>
          <w:sz w:val="24"/>
          <w:szCs w:val="24"/>
          <w:lang w:val="en-US" w:eastAsia="zh-CN"/>
        </w:rPr>
        <w:t>的</w:t>
      </w:r>
      <w:r>
        <w:rPr>
          <w:rFonts w:hint="default" w:ascii="仿宋" w:hAnsi="仿宋" w:eastAsia="仿宋" w:cs="仿宋"/>
          <w:b w:val="0"/>
          <w:bCs w:val="0"/>
          <w:sz w:val="24"/>
          <w:szCs w:val="24"/>
          <w:lang w:val="en-US" w:eastAsia="zh-CN"/>
        </w:rPr>
        <w:t>，当利率下降时，贵金属</w:t>
      </w:r>
      <w:r>
        <w:rPr>
          <w:rFonts w:hint="eastAsia" w:ascii="仿宋" w:hAnsi="仿宋" w:eastAsia="仿宋" w:cs="仿宋"/>
          <w:b w:val="0"/>
          <w:bCs w:val="0"/>
          <w:sz w:val="24"/>
          <w:szCs w:val="24"/>
          <w:lang w:val="en-US" w:eastAsia="zh-CN"/>
        </w:rPr>
        <w:t>受持有成本下降</w:t>
      </w:r>
      <w:r>
        <w:rPr>
          <w:rFonts w:hint="default" w:ascii="仿宋" w:hAnsi="仿宋" w:eastAsia="仿宋" w:cs="仿宋"/>
          <w:b w:val="0"/>
          <w:bCs w:val="0"/>
          <w:sz w:val="24"/>
          <w:szCs w:val="24"/>
          <w:lang w:val="en-US" w:eastAsia="zh-CN"/>
        </w:rPr>
        <w:t>的</w:t>
      </w:r>
      <w:r>
        <w:rPr>
          <w:rFonts w:hint="eastAsia" w:ascii="仿宋" w:hAnsi="仿宋" w:eastAsia="仿宋" w:cs="仿宋"/>
          <w:b w:val="0"/>
          <w:bCs w:val="0"/>
          <w:sz w:val="24"/>
          <w:szCs w:val="24"/>
          <w:lang w:val="en-US" w:eastAsia="zh-CN"/>
        </w:rPr>
        <w:t>影响，</w:t>
      </w:r>
      <w:r>
        <w:rPr>
          <w:rFonts w:hint="default" w:ascii="仿宋" w:hAnsi="仿宋" w:eastAsia="仿宋" w:cs="仿宋"/>
          <w:b w:val="0"/>
          <w:bCs w:val="0"/>
          <w:sz w:val="24"/>
          <w:szCs w:val="24"/>
          <w:lang w:val="en-US" w:eastAsia="zh-CN"/>
        </w:rPr>
        <w:t>相对吸引力</w:t>
      </w:r>
      <w:r>
        <w:rPr>
          <w:rFonts w:hint="eastAsia" w:ascii="仿宋" w:hAnsi="仿宋" w:eastAsia="仿宋" w:cs="仿宋"/>
          <w:b w:val="0"/>
          <w:bCs w:val="0"/>
          <w:sz w:val="24"/>
          <w:szCs w:val="24"/>
          <w:lang w:val="en-US" w:eastAsia="zh-CN"/>
        </w:rPr>
        <w:t>变会有所</w:t>
      </w:r>
      <w:r>
        <w:rPr>
          <w:rFonts w:hint="default" w:ascii="仿宋" w:hAnsi="仿宋" w:eastAsia="仿宋" w:cs="仿宋"/>
          <w:b w:val="0"/>
          <w:bCs w:val="0"/>
          <w:sz w:val="24"/>
          <w:szCs w:val="24"/>
          <w:lang w:val="en-US" w:eastAsia="zh-CN"/>
        </w:rPr>
        <w:t>提高</w:t>
      </w:r>
      <w:r>
        <w:rPr>
          <w:rFonts w:hint="eastAsia" w:ascii="仿宋" w:hAnsi="仿宋" w:eastAsia="仿宋" w:cs="仿宋"/>
          <w:b w:val="0"/>
          <w:bCs w:val="0"/>
          <w:sz w:val="24"/>
          <w:szCs w:val="24"/>
          <w:lang w:val="en-US" w:eastAsia="zh-CN"/>
        </w:rPr>
        <w:t>。</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地缘政治不确定性</w:t>
      </w:r>
      <w:r>
        <w:rPr>
          <w:rFonts w:hint="eastAsia" w:ascii="仿宋" w:hAnsi="仿宋" w:eastAsia="仿宋" w:cs="仿宋"/>
          <w:b w:val="0"/>
          <w:bCs w:val="0"/>
          <w:sz w:val="24"/>
          <w:szCs w:val="24"/>
          <w:lang w:val="en-US" w:eastAsia="zh-CN"/>
        </w:rPr>
        <w:t>同样</w:t>
      </w:r>
      <w:r>
        <w:rPr>
          <w:rFonts w:hint="default" w:ascii="仿宋" w:hAnsi="仿宋" w:eastAsia="仿宋" w:cs="仿宋"/>
          <w:b w:val="0"/>
          <w:bCs w:val="0"/>
          <w:sz w:val="24"/>
          <w:szCs w:val="24"/>
          <w:lang w:val="en-US" w:eastAsia="zh-CN"/>
        </w:rPr>
        <w:t>也是贵金属市场的重要推动力。当国际关系紧张、地区冲突加剧或者有其他不确定性因素时，投资者往往会将资金流向避险资产，包括贵金属。金属如黄金和白银通常被视为安全的投资选择，因为它们在面临地缘政治风险时表现出相对的稳定性。</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除了上述因素外，避险情绪</w:t>
      </w:r>
      <w:r>
        <w:rPr>
          <w:rFonts w:hint="eastAsia" w:ascii="仿宋" w:hAnsi="仿宋" w:eastAsia="仿宋" w:cs="仿宋"/>
          <w:b w:val="0"/>
          <w:bCs w:val="0"/>
          <w:sz w:val="24"/>
          <w:szCs w:val="24"/>
          <w:lang w:val="en-US" w:eastAsia="zh-CN"/>
        </w:rPr>
        <w:t>以及</w:t>
      </w:r>
      <w:r>
        <w:rPr>
          <w:rFonts w:hint="default" w:ascii="仿宋" w:hAnsi="仿宋" w:eastAsia="仿宋" w:cs="仿宋"/>
          <w:b w:val="0"/>
          <w:bCs w:val="0"/>
          <w:sz w:val="24"/>
          <w:szCs w:val="24"/>
          <w:lang w:val="en-US" w:eastAsia="zh-CN"/>
        </w:rPr>
        <w:t>地缘政治不确定性</w:t>
      </w:r>
      <w:r>
        <w:rPr>
          <w:rFonts w:hint="eastAsia" w:ascii="仿宋" w:hAnsi="仿宋" w:eastAsia="仿宋" w:cs="仿宋"/>
          <w:b w:val="0"/>
          <w:bCs w:val="0"/>
          <w:sz w:val="24"/>
          <w:szCs w:val="24"/>
          <w:lang w:val="en-US" w:eastAsia="zh-CN"/>
        </w:rPr>
        <w:t>同样</w:t>
      </w:r>
      <w:r>
        <w:rPr>
          <w:rFonts w:hint="default" w:ascii="仿宋" w:hAnsi="仿宋" w:eastAsia="仿宋" w:cs="仿宋"/>
          <w:b w:val="0"/>
          <w:bCs w:val="0"/>
          <w:sz w:val="24"/>
          <w:szCs w:val="24"/>
          <w:lang w:val="en-US" w:eastAsia="zh-CN"/>
        </w:rPr>
        <w:t>也是贵金属市场的重要推动力。当投资者对市场前景感到担忧或恐慌时，他们往往会寻求避险</w:t>
      </w:r>
      <w:r>
        <w:rPr>
          <w:rFonts w:hint="eastAsia" w:ascii="仿宋" w:hAnsi="仿宋" w:eastAsia="仿宋" w:cs="仿宋"/>
          <w:b w:val="0"/>
          <w:bCs w:val="0"/>
          <w:sz w:val="24"/>
          <w:szCs w:val="24"/>
          <w:lang w:val="en-US" w:eastAsia="zh-CN"/>
        </w:rPr>
        <w:t>避险资产，</w:t>
      </w:r>
      <w:r>
        <w:rPr>
          <w:rFonts w:hint="default" w:ascii="仿宋" w:hAnsi="仿宋" w:eastAsia="仿宋" w:cs="仿宋"/>
          <w:b w:val="0"/>
          <w:bCs w:val="0"/>
          <w:sz w:val="24"/>
          <w:szCs w:val="24"/>
          <w:lang w:val="en-US" w:eastAsia="zh-CN"/>
        </w:rPr>
        <w:t>这种情绪驱动的市场行为在金融危机或其他全球性事件发生时特别显著</w:t>
      </w:r>
      <w:r>
        <w:rPr>
          <w:rFonts w:hint="eastAsia" w:ascii="仿宋" w:hAnsi="仿宋" w:eastAsia="仿宋" w:cs="仿宋"/>
          <w:b w:val="0"/>
          <w:bCs w:val="0"/>
          <w:sz w:val="24"/>
          <w:szCs w:val="24"/>
          <w:lang w:val="en-US" w:eastAsia="zh-CN"/>
        </w:rPr>
        <w:t>。同时，</w:t>
      </w:r>
      <w:r>
        <w:rPr>
          <w:rFonts w:hint="default" w:ascii="仿宋" w:hAnsi="仿宋" w:eastAsia="仿宋" w:cs="仿宋"/>
          <w:b w:val="0"/>
          <w:bCs w:val="0"/>
          <w:sz w:val="24"/>
          <w:szCs w:val="24"/>
          <w:lang w:val="en-US" w:eastAsia="zh-CN"/>
        </w:rPr>
        <w:t>当国际关系紧张、地区冲突加剧或者有其他不确定性因素时，投资者往往</w:t>
      </w:r>
      <w:r>
        <w:rPr>
          <w:rFonts w:hint="eastAsia" w:ascii="仿宋" w:hAnsi="仿宋" w:eastAsia="仿宋" w:cs="仿宋"/>
          <w:b w:val="0"/>
          <w:bCs w:val="0"/>
          <w:sz w:val="24"/>
          <w:szCs w:val="24"/>
          <w:lang w:val="en-US" w:eastAsia="zh-CN"/>
        </w:rPr>
        <w:t>也会青睐将自己的</w:t>
      </w:r>
      <w:r>
        <w:rPr>
          <w:rFonts w:hint="default" w:ascii="仿宋" w:hAnsi="仿宋" w:eastAsia="仿宋" w:cs="仿宋"/>
          <w:b w:val="0"/>
          <w:bCs w:val="0"/>
          <w:sz w:val="24"/>
          <w:szCs w:val="24"/>
          <w:lang w:val="en-US" w:eastAsia="zh-CN"/>
        </w:rPr>
        <w:t>资金</w:t>
      </w:r>
      <w:r>
        <w:rPr>
          <w:rFonts w:hint="eastAsia" w:ascii="仿宋" w:hAnsi="仿宋" w:eastAsia="仿宋" w:cs="仿宋"/>
          <w:b w:val="0"/>
          <w:bCs w:val="0"/>
          <w:sz w:val="24"/>
          <w:szCs w:val="24"/>
          <w:lang w:val="en-US" w:eastAsia="zh-CN"/>
        </w:rPr>
        <w:t>转化为</w:t>
      </w:r>
      <w:r>
        <w:rPr>
          <w:rFonts w:hint="default" w:ascii="仿宋" w:hAnsi="仿宋" w:eastAsia="仿宋" w:cs="仿宋"/>
          <w:b w:val="0"/>
          <w:bCs w:val="0"/>
          <w:sz w:val="24"/>
          <w:szCs w:val="24"/>
          <w:lang w:val="en-US" w:eastAsia="zh-CN"/>
        </w:rPr>
        <w:t>避险资产</w:t>
      </w:r>
      <w:r>
        <w:rPr>
          <w:rFonts w:hint="eastAsia" w:ascii="仿宋" w:hAnsi="仿宋" w:eastAsia="仿宋" w:cs="仿宋"/>
          <w:b w:val="0"/>
          <w:bCs w:val="0"/>
          <w:sz w:val="24"/>
          <w:szCs w:val="24"/>
          <w:lang w:val="en-US" w:eastAsia="zh-CN"/>
        </w:rPr>
        <w:t>。由于贵金属无信用风险且流动性充足的特性，其常常被投资者视为优质的避险资产之一。因此，在避险需求的推动下，贵金属价格在市场恐慌时也将得到显著提振。</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此外，供需关系、美元汇率、政策变化等因素也可能对贵金属价格产生影响。供求关系是</w:t>
      </w:r>
      <w:r>
        <w:rPr>
          <w:rFonts w:hint="eastAsia" w:ascii="仿宋" w:hAnsi="仿宋" w:eastAsia="仿宋" w:cs="仿宋"/>
          <w:b w:val="0"/>
          <w:bCs w:val="0"/>
          <w:sz w:val="24"/>
          <w:szCs w:val="24"/>
          <w:lang w:val="en-US" w:eastAsia="zh-CN"/>
        </w:rPr>
        <w:t>影响</w:t>
      </w:r>
      <w:r>
        <w:rPr>
          <w:rFonts w:hint="default" w:ascii="仿宋" w:hAnsi="仿宋" w:eastAsia="仿宋" w:cs="仿宋"/>
          <w:b w:val="0"/>
          <w:bCs w:val="0"/>
          <w:sz w:val="24"/>
          <w:szCs w:val="24"/>
          <w:lang w:val="en-US" w:eastAsia="zh-CN"/>
        </w:rPr>
        <w:t>贵金属市场价格波动的一个基本因素，而美元汇率的变化也会直接影响贵金属的国际价格。政策变化，尤其是</w:t>
      </w:r>
      <w:r>
        <w:rPr>
          <w:rFonts w:hint="eastAsia" w:ascii="仿宋" w:hAnsi="仿宋" w:eastAsia="仿宋" w:cs="仿宋"/>
          <w:b w:val="0"/>
          <w:bCs w:val="0"/>
          <w:sz w:val="24"/>
          <w:szCs w:val="24"/>
          <w:lang w:val="en-US" w:eastAsia="zh-CN"/>
        </w:rPr>
        <w:t>一国法定货币</w:t>
      </w:r>
      <w:r>
        <w:rPr>
          <w:rFonts w:hint="default" w:ascii="仿宋" w:hAnsi="仿宋" w:eastAsia="仿宋" w:cs="仿宋"/>
          <w:b w:val="0"/>
          <w:bCs w:val="0"/>
          <w:sz w:val="24"/>
          <w:szCs w:val="24"/>
          <w:lang w:val="en-US" w:eastAsia="zh-CN"/>
        </w:rPr>
        <w:t>与贵金属市场相关的政府政策，也可能引发市场的</w:t>
      </w:r>
      <w:r>
        <w:rPr>
          <w:rFonts w:hint="eastAsia" w:ascii="仿宋" w:hAnsi="仿宋" w:eastAsia="仿宋" w:cs="仿宋"/>
          <w:b w:val="0"/>
          <w:bCs w:val="0"/>
          <w:sz w:val="24"/>
          <w:szCs w:val="24"/>
          <w:lang w:val="en-US" w:eastAsia="zh-CN"/>
        </w:rPr>
        <w:t>关注</w:t>
      </w:r>
      <w:r>
        <w:rPr>
          <w:rFonts w:hint="default" w:ascii="仿宋" w:hAnsi="仿宋" w:eastAsia="仿宋" w:cs="仿宋"/>
          <w:b w:val="0"/>
          <w:bCs w:val="0"/>
          <w:sz w:val="24"/>
          <w:szCs w:val="24"/>
          <w:lang w:val="en-US" w:eastAsia="zh-CN"/>
        </w:rPr>
        <w:t>。</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综合来看，贵金属价格的走势受到多种因素的综合影响。对于投资者而言，了解这些因素，并密切关注全球经济、地缘政治和市场情绪的变化将有助于</w:t>
      </w:r>
      <w:r>
        <w:rPr>
          <w:rFonts w:hint="eastAsia" w:ascii="仿宋" w:hAnsi="仿宋" w:eastAsia="仿宋" w:cs="仿宋"/>
          <w:b w:val="0"/>
          <w:bCs w:val="0"/>
          <w:sz w:val="24"/>
          <w:szCs w:val="24"/>
          <w:lang w:val="en-US" w:eastAsia="zh-CN"/>
        </w:rPr>
        <w:t>其</w:t>
      </w:r>
      <w:r>
        <w:rPr>
          <w:rFonts w:hint="default" w:ascii="仿宋" w:hAnsi="仿宋" w:eastAsia="仿宋" w:cs="仿宋"/>
          <w:b w:val="0"/>
          <w:bCs w:val="0"/>
          <w:sz w:val="24"/>
          <w:szCs w:val="24"/>
          <w:lang w:val="en-US" w:eastAsia="zh-CN"/>
        </w:rPr>
        <w:t>更好地制定贵金属投资策略。在市场波动时，理性决策和谨慎操作</w:t>
      </w:r>
      <w:r>
        <w:rPr>
          <w:rFonts w:hint="eastAsia" w:ascii="仿宋" w:hAnsi="仿宋" w:eastAsia="仿宋" w:cs="仿宋"/>
          <w:b w:val="0"/>
          <w:bCs w:val="0"/>
          <w:sz w:val="24"/>
          <w:szCs w:val="24"/>
          <w:lang w:val="en-US" w:eastAsia="zh-CN"/>
        </w:rPr>
        <w:t>更</w:t>
      </w:r>
      <w:r>
        <w:rPr>
          <w:rFonts w:hint="default" w:ascii="仿宋" w:hAnsi="仿宋" w:eastAsia="仿宋" w:cs="仿宋"/>
          <w:b w:val="0"/>
          <w:bCs w:val="0"/>
          <w:sz w:val="24"/>
          <w:szCs w:val="24"/>
          <w:lang w:val="en-US" w:eastAsia="zh-CN"/>
        </w:rPr>
        <w:t>是保持投资稳健性的关键。</w:t>
      </w:r>
    </w:p>
    <w:p>
      <w:pPr>
        <w:spacing w:line="360" w:lineRule="auto"/>
        <w:ind w:firstLine="420" w:firstLineChars="0"/>
        <w:rPr>
          <w:rFonts w:hint="default" w:ascii="仿宋" w:hAnsi="仿宋" w:eastAsia="仿宋" w:cs="仿宋"/>
          <w:b w:val="0"/>
          <w:bCs w:val="0"/>
          <w:sz w:val="24"/>
          <w:szCs w:val="24"/>
          <w:lang w:val="en-US" w:eastAsia="zh-CN"/>
        </w:rPr>
      </w:pPr>
    </w:p>
    <w:p>
      <w:pPr>
        <w:spacing w:line="360" w:lineRule="auto"/>
        <w:ind w:firstLine="420" w:firstLineChars="0"/>
        <w:rPr>
          <w:rFonts w:hint="default" w:ascii="仿宋" w:hAnsi="仿宋" w:eastAsia="仿宋" w:cs="仿宋"/>
          <w:b w:val="0"/>
          <w:bCs w:val="0"/>
          <w:sz w:val="24"/>
          <w:szCs w:val="24"/>
          <w:lang w:val="en-US" w:eastAsia="zh-CN"/>
        </w:rPr>
      </w:pPr>
    </w:p>
    <w:p>
      <w:pPr>
        <w:spacing w:line="360" w:lineRule="auto"/>
        <w:ind w:firstLine="420" w:firstLineChars="0"/>
        <w:rPr>
          <w:rFonts w:hint="default" w:ascii="仿宋" w:hAnsi="仿宋" w:eastAsia="仿宋" w:cs="仿宋"/>
          <w:b w:val="0"/>
          <w:bCs w:val="0"/>
          <w:sz w:val="24"/>
          <w:szCs w:val="24"/>
          <w:lang w:val="en-US" w:eastAsia="zh-CN"/>
        </w:rPr>
      </w:pPr>
    </w:p>
    <w:p>
      <w:pPr>
        <w:spacing w:line="360" w:lineRule="auto"/>
        <w:ind w:firstLine="420" w:firstLineChars="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COMEX纽约金期货</w:t>
      </w:r>
      <w:r>
        <w:rPr>
          <w:rFonts w:ascii="微软雅黑" w:hAnsi="微软雅黑" w:eastAsia="微软雅黑" w:cs="微软雅黑"/>
          <w:i w:val="0"/>
          <w:iCs w:val="0"/>
          <w:caps w:val="0"/>
          <w:color w:val="000000"/>
          <w:spacing w:val="0"/>
          <w:sz w:val="27"/>
          <w:szCs w:val="27"/>
        </w:rPr>
        <w:t>合约</w:t>
      </w:r>
    </w:p>
    <w:p>
      <w:pPr>
        <w:spacing w:line="360" w:lineRule="auto"/>
        <w:ind w:firstLine="420" w:firstLineChars="0"/>
        <w:rPr>
          <w:rFonts w:hint="default" w:ascii="微软雅黑" w:hAnsi="微软雅黑" w:eastAsia="微软雅黑" w:cs="微软雅黑"/>
          <w:i w:val="0"/>
          <w:iCs w:val="0"/>
          <w:caps w:val="0"/>
          <w:color w:val="000000"/>
          <w:spacing w:val="0"/>
          <w:sz w:val="27"/>
          <w:szCs w:val="27"/>
          <w:lang w:val="en-US" w:eastAsia="zh-CN"/>
        </w:rPr>
      </w:pP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drawing>
          <wp:inline distT="0" distB="0" distL="114300" distR="114300">
            <wp:extent cx="6177280" cy="3475355"/>
            <wp:effectExtent l="0" t="0" r="10160" b="14605"/>
            <wp:docPr id="4" name="图片 4" descr="99773cf0282d5cb0ff5d4242fd92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773cf0282d5cb0ff5d4242fd92c6d"/>
                    <pic:cNvPicPr>
                      <a:picLocks noChangeAspect="1"/>
                    </pic:cNvPicPr>
                  </pic:nvPicPr>
                  <pic:blipFill>
                    <a:blip r:embed="rId7"/>
                    <a:stretch>
                      <a:fillRect/>
                    </a:stretch>
                  </pic:blipFill>
                  <pic:spPr>
                    <a:xfrm>
                      <a:off x="0" y="0"/>
                      <a:ext cx="6177280" cy="3475355"/>
                    </a:xfrm>
                    <a:prstGeom prst="rect">
                      <a:avLst/>
                    </a:prstGeom>
                  </pic:spPr>
                </pic:pic>
              </a:graphicData>
            </a:graphic>
          </wp:inline>
        </w:drawing>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drawing>
          <wp:inline distT="0" distB="0" distL="114300" distR="114300">
            <wp:extent cx="6325870" cy="2880360"/>
            <wp:effectExtent l="0" t="0" r="13970" b="0"/>
            <wp:docPr id="6" name="图片 6" descr="bd758118d33e6d1852f9873c1a12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d758118d33e6d1852f9873c1a120e0"/>
                    <pic:cNvPicPr>
                      <a:picLocks noChangeAspect="1"/>
                    </pic:cNvPicPr>
                  </pic:nvPicPr>
                  <pic:blipFill>
                    <a:blip r:embed="rId8"/>
                    <a:stretch>
                      <a:fillRect/>
                    </a:stretch>
                  </pic:blipFill>
                  <pic:spPr>
                    <a:xfrm>
                      <a:off x="0" y="0"/>
                      <a:ext cx="6325870" cy="2880360"/>
                    </a:xfrm>
                    <a:prstGeom prst="rect">
                      <a:avLst/>
                    </a:prstGeom>
                  </pic:spPr>
                </pic:pic>
              </a:graphicData>
            </a:graphic>
          </wp:inline>
        </w:drawing>
      </w:r>
    </w:p>
    <w:p>
      <w:pPr>
        <w:spacing w:line="360" w:lineRule="auto"/>
        <w:ind w:firstLine="420" w:firstLineChars="0"/>
        <w:rPr>
          <w:rFonts w:hint="eastAsia" w:ascii="微软雅黑" w:hAnsi="微软雅黑" w:eastAsia="微软雅黑" w:cs="微软雅黑"/>
          <w:i w:val="0"/>
          <w:iCs w:val="0"/>
          <w:caps w:val="0"/>
          <w:color w:val="000000"/>
          <w:spacing w:val="0"/>
          <w:sz w:val="27"/>
          <w:szCs w:val="27"/>
          <w:lang w:val="en-US" w:eastAsia="zh-CN"/>
        </w:rPr>
      </w:pPr>
    </w:p>
    <w:p>
      <w:pPr>
        <w:spacing w:line="360" w:lineRule="auto"/>
        <w:ind w:firstLine="420" w:firstLineChars="0"/>
        <w:rPr>
          <w:rFonts w:hint="default" w:ascii="仿宋" w:hAnsi="仿宋" w:eastAsia="仿宋" w:cs="仿宋"/>
          <w:b w:val="0"/>
          <w:bCs w:val="0"/>
          <w:sz w:val="24"/>
          <w:szCs w:val="24"/>
          <w:lang w:val="en-US" w:eastAsia="zh-CN"/>
        </w:rPr>
      </w:pPr>
      <w:r>
        <w:rPr>
          <w:rFonts w:hint="eastAsia" w:ascii="微软雅黑" w:hAnsi="微软雅黑" w:eastAsia="微软雅黑" w:cs="微软雅黑"/>
          <w:i w:val="0"/>
          <w:iCs w:val="0"/>
          <w:caps w:val="0"/>
          <w:color w:val="000000"/>
          <w:spacing w:val="0"/>
          <w:sz w:val="27"/>
          <w:szCs w:val="27"/>
          <w:lang w:val="en-US" w:eastAsia="zh-CN"/>
        </w:rPr>
        <w:t>COMEX白银期货</w:t>
      </w:r>
      <w:r>
        <w:rPr>
          <w:rFonts w:ascii="微软雅黑" w:hAnsi="微软雅黑" w:eastAsia="微软雅黑" w:cs="微软雅黑"/>
          <w:i w:val="0"/>
          <w:iCs w:val="0"/>
          <w:caps w:val="0"/>
          <w:color w:val="000000"/>
          <w:spacing w:val="0"/>
          <w:sz w:val="27"/>
          <w:szCs w:val="27"/>
        </w:rPr>
        <w:t>合约</w:t>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drawing>
          <wp:inline distT="0" distB="0" distL="114300" distR="114300">
            <wp:extent cx="6196965" cy="3472815"/>
            <wp:effectExtent l="0" t="0" r="5715" b="1905"/>
            <wp:docPr id="5" name="图片 5" descr="7f841367f7c45af81ff8270799ca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841367f7c45af81ff8270799cac91"/>
                    <pic:cNvPicPr>
                      <a:picLocks noChangeAspect="1"/>
                    </pic:cNvPicPr>
                  </pic:nvPicPr>
                  <pic:blipFill>
                    <a:blip r:embed="rId9"/>
                    <a:stretch>
                      <a:fillRect/>
                    </a:stretch>
                  </pic:blipFill>
                  <pic:spPr>
                    <a:xfrm>
                      <a:off x="0" y="0"/>
                      <a:ext cx="6196965" cy="3472815"/>
                    </a:xfrm>
                    <a:prstGeom prst="rect">
                      <a:avLst/>
                    </a:prstGeom>
                  </pic:spPr>
                </pic:pic>
              </a:graphicData>
            </a:graphic>
          </wp:inline>
        </w:drawing>
      </w:r>
    </w:p>
    <w:p>
      <w:pPr>
        <w:spacing w:line="360" w:lineRule="auto"/>
        <w:ind w:firstLine="420" w:firstLineChars="0"/>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drawing>
          <wp:inline distT="0" distB="0" distL="114300" distR="114300">
            <wp:extent cx="6505575" cy="2670810"/>
            <wp:effectExtent l="0" t="0" r="1905" b="11430"/>
            <wp:docPr id="7" name="图片 7" descr="aee7532d73412f76b1fddb18acc4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ee7532d73412f76b1fddb18acc4b70"/>
                    <pic:cNvPicPr>
                      <a:picLocks noChangeAspect="1"/>
                    </pic:cNvPicPr>
                  </pic:nvPicPr>
                  <pic:blipFill>
                    <a:blip r:embed="rId10"/>
                    <a:stretch>
                      <a:fillRect/>
                    </a:stretch>
                  </pic:blipFill>
                  <pic:spPr>
                    <a:xfrm>
                      <a:off x="0" y="0"/>
                      <a:ext cx="6505575" cy="2670810"/>
                    </a:xfrm>
                    <a:prstGeom prst="rect">
                      <a:avLst/>
                    </a:prstGeom>
                  </pic:spPr>
                </pic:pic>
              </a:graphicData>
            </a:graphic>
          </wp:inline>
        </w:drawing>
      </w:r>
    </w:p>
    <w:p>
      <w:pPr>
        <w:spacing w:line="360" w:lineRule="auto"/>
        <w:ind w:firstLine="420" w:firstLineChars="0"/>
        <w:rPr>
          <w:rFonts w:hint="default" w:ascii="仿宋" w:hAnsi="仿宋" w:eastAsia="仿宋" w:cs="仿宋"/>
          <w:b w:val="0"/>
          <w:bCs w:val="0"/>
          <w:sz w:val="24"/>
          <w:szCs w:val="24"/>
          <w:lang w:val="en-US" w:eastAsia="zh-CN"/>
        </w:rPr>
      </w:pPr>
    </w:p>
    <w:p>
      <w:pPr>
        <w:pStyle w:val="2"/>
        <w:rPr>
          <w:rFonts w:ascii="宋体" w:hAnsi="宋体"/>
        </w:rPr>
      </w:pPr>
      <w:bookmarkStart w:id="0" w:name="_Toc19995"/>
      <w:r>
        <w:rPr>
          <w:rFonts w:hint="eastAsia" w:ascii="宋体" w:hAnsi="宋体"/>
        </w:rPr>
        <w:t>免责声明</w:t>
      </w:r>
      <w:bookmarkEnd w:id="0"/>
    </w:p>
    <w:p>
      <w:pPr>
        <w:spacing w:line="360" w:lineRule="auto"/>
      </w:pPr>
      <w:r>
        <w:rPr>
          <w:rFonts w:hint="eastAsia" w:ascii="宋体" w:hAnsi="宋体" w:eastAsia="宋体"/>
          <w:szCs w:val="21"/>
        </w:rPr>
        <w:t>本报告中的信息均来源于公开可获得资料，</w:t>
      </w:r>
      <w:r>
        <w:rPr>
          <w:rFonts w:hint="eastAsia" w:ascii="宋体" w:hAnsi="宋体" w:eastAsia="宋体"/>
          <w:bCs/>
          <w:szCs w:val="21"/>
        </w:rPr>
        <w:t>瑞达</w:t>
      </w:r>
      <w:r>
        <w:rPr>
          <w:rFonts w:hint="eastAsia" w:ascii="宋体" w:hAnsi="宋体" w:eastAsia="宋体"/>
          <w:bCs/>
          <w:szCs w:val="21"/>
          <w:lang w:val="en-US" w:eastAsia="zh-CN"/>
        </w:rPr>
        <w:t>国际</w:t>
      </w:r>
      <w:bookmarkStart w:id="1" w:name="_GoBack"/>
      <w:bookmarkEnd w:id="1"/>
      <w:r>
        <w:rPr>
          <w:rFonts w:hint="eastAsia" w:ascii="宋体" w:hAnsi="宋体" w:eastAsia="宋体"/>
          <w:szCs w:val="21"/>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w:t>
      </w:r>
      <w:r>
        <w:rPr>
          <w:rFonts w:hint="eastAsia" w:ascii="宋体" w:hAnsi="宋体" w:eastAsia="宋体"/>
          <w:bCs/>
          <w:szCs w:val="21"/>
        </w:rPr>
        <w:t>瑞达期货股份有限公司</w:t>
      </w:r>
      <w:r>
        <w:rPr>
          <w:rFonts w:hint="eastAsia" w:ascii="宋体" w:hAnsi="宋体" w:eastAsia="宋体"/>
          <w:szCs w:val="21"/>
        </w:rPr>
        <w:t>研究院，且不得对本报告进行有悖原意的引用、删节和修改。</w:t>
      </w:r>
    </w:p>
    <w:p>
      <w:pPr>
        <w:spacing w:line="360" w:lineRule="auto"/>
        <w:ind w:firstLine="420" w:firstLineChars="0"/>
        <w:rPr>
          <w:rFonts w:hint="default"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6F96351F"/>
    <w:rsid w:val="0F0E3B51"/>
    <w:rsid w:val="132F1E2E"/>
    <w:rsid w:val="281573ED"/>
    <w:rsid w:val="295975EF"/>
    <w:rsid w:val="2A4D6E77"/>
    <w:rsid w:val="41B84C93"/>
    <w:rsid w:val="524A2741"/>
    <w:rsid w:val="5258579A"/>
    <w:rsid w:val="59533BCF"/>
    <w:rsid w:val="6F96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宋体" w:asciiTheme="majorHAnsi" w:hAnsiTheme="majorHAnsi" w:cstheme="majorBidi"/>
      <w:b/>
      <w:bCs/>
      <w:sz w:val="24"/>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2024-01-23T07:57:00Z</dcterms:created>
  <dc:creator>TimmyW</dc:creator>
  <cp:lastModifiedBy>RORO</cp:lastModifiedBy>
  <dcterms:modified xsi:type="dcterms:W3CDTF">2024-01-26T01:43:05Z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E8166F552D784E6D85DD405732982C0C_13</vt:lpwstr>
  </property>
</Properties>
</file>