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6" w:lineRule="auto"/>
      </w:pPr>
      <w:r>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v:path/>
            <v:fill on="t" focussize="0,0"/>
            <v:stroke on="f"/>
            <v:imagedata o:title=""/>
            <o:lock v:ext="edit"/>
          </v:rect>
        </w:pict>
      </w:r>
    </w:p>
    <w:p>
      <w:pPr>
        <w:pStyle w:val="2"/>
        <w:spacing w:line="256" w:lineRule="auto"/>
      </w:pPr>
    </w:p>
    <w:p>
      <w:pPr>
        <w:pStyle w:val="2"/>
        <w:spacing w:line="256" w:lineRule="auto"/>
      </w:pPr>
    </w:p>
    <w:p>
      <w:pPr>
        <w:pStyle w:val="2"/>
        <w:spacing w:line="256" w:lineRule="auto"/>
      </w:pPr>
    </w:p>
    <w:p>
      <w:pPr>
        <w:pStyle w:val="2"/>
        <w:spacing w:line="256" w:lineRule="auto"/>
      </w:pPr>
    </w:p>
    <w:p>
      <w:pPr>
        <w:pStyle w:val="2"/>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ascii="微软雅黑" w:hAnsi="微软雅黑" w:eastAsia="微软雅黑" w:cs="微软雅黑"/>
          <w:b/>
          <w:bCs/>
          <w:color w:val="FFFFFF"/>
          <w:spacing w:val="6"/>
          <w:sz w:val="96"/>
          <w:szCs w:val="96"/>
        </w:rPr>
        <w:t>周度市场报告</w: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2024年3月</w:t>
      </w:r>
      <w:r>
        <w:rPr>
          <w:rFonts w:hint="eastAsia" w:ascii="微软雅黑" w:hAnsi="微软雅黑" w:eastAsia="微软雅黑" w:cs="微软雅黑"/>
          <w:b/>
          <w:bCs/>
          <w:color w:val="005D97"/>
          <w:spacing w:val="-22"/>
          <w:sz w:val="48"/>
          <w:szCs w:val="48"/>
          <w:lang w:val="en-US" w:eastAsia="zh-CN"/>
        </w:rPr>
        <w:t>25</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pStyle w:val="2"/>
        <w:spacing w:line="253" w:lineRule="auto"/>
      </w:pPr>
      <w:r>
        <w:rPr>
          <w:sz w:val="21"/>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791210" y="1501775"/>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pPr>
                              <w:spacing w:line="240" w:lineRule="auto"/>
                              <w:jc w:val="center"/>
                              <w:rPr>
                                <w:rFonts w:hint="default" w:ascii="思源黑体 CN Bold" w:hAnsi="思源黑体 CN Bold" w:eastAsia="思源黑体 CN Bold" w:cs="思源黑体 CN Bold"/>
                                <w:color w:val="FFFFFF" w:themeColor="background1"/>
                                <w:sz w:val="40"/>
                                <w:szCs w:val="40"/>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0"/>
                                <w:lang w:val="en-US" w:eastAsia="zh-CN"/>
                                <w14:textFill>
                                  <w14:solidFill>
                                    <w14:schemeClr w14:val="bg1"/>
                                  </w14:solidFill>
                                </w14:textFill>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14.15pt;margin-top:10.1pt;height:38.45pt;width:132.85pt;z-index:251661312;v-text-anchor:middle;mso-width-relative:page;mso-height-relative:page;" fillcolor="#4F80BD" filled="t" stroked="f" coordsize="21600,21600" o:gfxdata="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wtGQz1wAAAAgBAAAP&#10;AAAAAAAAAAEAIAAAACIAAABkcnMvZG93bnJldi54bWxQSwECFAAUAAAACACHTuJA9wkLTlICAAB9&#10;BAAADgAAAAAAAAABACAAAAAmAQAAZHJzL2Uyb0RvYy54bWxQSwUGAAAAAAYABgBZAQAA6gUAAAAA&#10;" adj="18475">
                <v:fill on="t" focussize="0,0"/>
                <v:stroke on="f"/>
                <v:imagedata o:title=""/>
                <o:lock v:ext="edit" aspectratio="f"/>
                <v:textbox>
                  <w:txbxContent>
                    <w:p>
                      <w:pPr>
                        <w:spacing w:line="240" w:lineRule="auto"/>
                        <w:jc w:val="center"/>
                        <w:rPr>
                          <w:rFonts w:hint="default" w:ascii="思源黑体 CN Bold" w:hAnsi="思源黑体 CN Bold" w:eastAsia="思源黑体 CN Bold" w:cs="思源黑体 CN Bold"/>
                          <w:color w:val="FFFFFF" w:themeColor="background1"/>
                          <w:sz w:val="40"/>
                          <w:szCs w:val="40"/>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0"/>
                          <w:lang w:val="en-US" w:eastAsia="zh-CN"/>
                          <w14:textFill>
                            <w14:solidFill>
                              <w14:schemeClr w14:val="bg1"/>
                            </w14:solidFill>
                          </w14:textFill>
                        </w:rPr>
                        <w:t>市场综述</w:t>
                      </w:r>
                    </w:p>
                  </w:txbxContent>
                </v:textbox>
              </v:shape>
            </w:pict>
          </mc:Fallback>
        </mc:AlternateContent>
      </w:r>
    </w:p>
    <w:p>
      <w:pPr>
        <w:pStyle w:val="2"/>
        <w:spacing w:line="253" w:lineRule="auto"/>
      </w:pPr>
    </w:p>
    <w:p>
      <w:pPr>
        <w:spacing w:before="103" w:line="256" w:lineRule="auto"/>
        <w:ind w:right="584"/>
        <w:jc w:val="both"/>
        <w:rPr>
          <w:rFonts w:hint="eastAsia" w:ascii="思源黑体 CN Bold" w:hAnsi="思源黑体 CN Bold" w:eastAsia="思源黑体 CN Bold" w:cs="思源黑体 CN Bold"/>
          <w:color w:val="FFFFFF" w:themeColor="background1"/>
          <w:spacing w:val="4"/>
          <w:sz w:val="24"/>
          <w:szCs w:val="24"/>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pacing w:val="4"/>
          <w:sz w:val="24"/>
          <w:szCs w:val="24"/>
          <w:lang w:val="en-US" w:eastAsia="zh-CN"/>
          <w14:textFill>
            <w14:solidFill>
              <w14:schemeClr w14:val="bg1"/>
            </w14:solidFill>
          </w14:textFill>
        </w:rPr>
        <w:t xml:space="preserve"> </w:t>
      </w:r>
    </w:p>
    <w:p>
      <w:pPr>
        <w:spacing w:before="103" w:line="256" w:lineRule="auto"/>
        <w:ind w:left="287" w:right="584" w:firstLine="620"/>
        <w:jc w:val="both"/>
        <w:rPr>
          <w:rFonts w:hint="eastAsia" w:ascii="微软雅黑" w:hAnsi="微软雅黑" w:eastAsia="微软雅黑" w:cs="微软雅黑"/>
          <w:spacing w:val="3"/>
          <w:sz w:val="24"/>
          <w:szCs w:val="24"/>
          <w:lang w:eastAsia="zh-CN"/>
        </w:rPr>
      </w:pPr>
      <w:r>
        <w:rPr>
          <w:rFonts w:ascii="微软雅黑" w:hAnsi="微软雅黑" w:eastAsia="微软雅黑" w:cs="微软雅黑"/>
          <w:spacing w:val="4"/>
          <w:sz w:val="24"/>
          <w:szCs w:val="24"/>
        </w:rPr>
        <w:t>截至3月</w:t>
      </w:r>
      <w:r>
        <w:rPr>
          <w:rFonts w:hint="eastAsia" w:ascii="微软雅黑" w:hAnsi="微软雅黑" w:eastAsia="微软雅黑" w:cs="微软雅黑"/>
          <w:spacing w:val="4"/>
          <w:sz w:val="24"/>
          <w:szCs w:val="24"/>
          <w:lang w:val="en-US" w:eastAsia="zh-CN"/>
        </w:rPr>
        <w:t>25</w:t>
      </w:r>
      <w:r>
        <w:rPr>
          <w:rFonts w:ascii="微软雅黑" w:hAnsi="微软雅黑" w:eastAsia="微软雅黑" w:cs="微软雅黑"/>
          <w:spacing w:val="4"/>
          <w:sz w:val="24"/>
          <w:szCs w:val="24"/>
        </w:rPr>
        <w:t>日，</w:t>
      </w:r>
      <w:r>
        <w:rPr>
          <w:rFonts w:hint="eastAsia" w:ascii="微软雅黑" w:hAnsi="微软雅黑" w:eastAsia="微软雅黑" w:cs="微软雅黑"/>
          <w:spacing w:val="4"/>
          <w:sz w:val="24"/>
          <w:szCs w:val="24"/>
          <w:lang w:val="en-US" w:eastAsia="zh-CN"/>
        </w:rPr>
        <w:t>上周</w:t>
      </w:r>
      <w:r>
        <w:rPr>
          <w:rFonts w:ascii="微软雅黑" w:hAnsi="微软雅黑" w:eastAsia="微软雅黑" w:cs="微软雅黑"/>
          <w:spacing w:val="4"/>
          <w:sz w:val="24"/>
          <w:szCs w:val="24"/>
        </w:rPr>
        <w:t>富时中国A50</w:t>
      </w:r>
      <w:r>
        <w:rPr>
          <w:rFonts w:hint="eastAsia" w:ascii="微软雅黑" w:hAnsi="微软雅黑" w:eastAsia="微软雅黑" w:cs="微软雅黑"/>
          <w:spacing w:val="4"/>
          <w:sz w:val="24"/>
          <w:szCs w:val="24"/>
          <w:lang w:val="en-US" w:eastAsia="zh-CN"/>
        </w:rPr>
        <w:t>跌0.02%</w:t>
      </w:r>
      <w:r>
        <w:rPr>
          <w:rFonts w:ascii="微软雅黑" w:hAnsi="微软雅黑" w:eastAsia="微软雅黑" w:cs="微软雅黑"/>
          <w:spacing w:val="4"/>
          <w:sz w:val="24"/>
          <w:szCs w:val="24"/>
        </w:rPr>
        <w:t>报1</w:t>
      </w:r>
      <w:r>
        <w:rPr>
          <w:rFonts w:hint="eastAsia" w:ascii="微软雅黑" w:hAnsi="微软雅黑" w:eastAsia="微软雅黑" w:cs="微软雅黑"/>
          <w:spacing w:val="4"/>
          <w:sz w:val="24"/>
          <w:szCs w:val="24"/>
          <w:lang w:val="en-US" w:eastAsia="zh-CN"/>
        </w:rPr>
        <w:t>2117.21</w:t>
      </w:r>
      <w:r>
        <w:rPr>
          <w:rFonts w:ascii="微软雅黑" w:hAnsi="微软雅黑" w:eastAsia="微软雅黑" w:cs="微软雅黑"/>
          <w:spacing w:val="4"/>
          <w:sz w:val="24"/>
          <w:szCs w:val="24"/>
        </w:rPr>
        <w:t>，标准普尔500指数</w:t>
      </w:r>
      <w:r>
        <w:rPr>
          <w:rFonts w:hint="eastAsia" w:ascii="微软雅黑" w:hAnsi="微软雅黑" w:eastAsia="微软雅黑" w:cs="微软雅黑"/>
          <w:spacing w:val="4"/>
          <w:sz w:val="24"/>
          <w:szCs w:val="24"/>
          <w:lang w:val="en-US" w:eastAsia="zh-CN"/>
        </w:rPr>
        <w:t>涨2.29%</w:t>
      </w:r>
      <w:r>
        <w:rPr>
          <w:rFonts w:ascii="微软雅黑" w:hAnsi="微软雅黑" w:eastAsia="微软雅黑" w:cs="微软雅黑"/>
          <w:spacing w:val="5"/>
          <w:sz w:val="24"/>
          <w:szCs w:val="24"/>
        </w:rPr>
        <w:t>报5</w:t>
      </w:r>
      <w:r>
        <w:rPr>
          <w:rFonts w:hint="eastAsia" w:ascii="微软雅黑" w:hAnsi="微软雅黑" w:eastAsia="微软雅黑" w:cs="微软雅黑"/>
          <w:spacing w:val="5"/>
          <w:sz w:val="24"/>
          <w:szCs w:val="24"/>
          <w:lang w:val="en-US" w:eastAsia="zh-CN"/>
        </w:rPr>
        <w:t>234.18。</w:t>
      </w:r>
      <w:r>
        <w:rPr>
          <w:rFonts w:ascii="微软雅黑" w:hAnsi="微软雅黑" w:eastAsia="微软雅黑" w:cs="微软雅黑"/>
          <w:spacing w:val="5"/>
          <w:sz w:val="24"/>
          <w:szCs w:val="24"/>
        </w:rPr>
        <w:t>美元兑离岸人民币</w:t>
      </w:r>
      <w:r>
        <w:rPr>
          <w:rFonts w:hint="eastAsia" w:ascii="微软雅黑" w:hAnsi="微软雅黑" w:eastAsia="微软雅黑" w:cs="微软雅黑"/>
          <w:spacing w:val="5"/>
          <w:sz w:val="24"/>
          <w:szCs w:val="24"/>
          <w:lang w:val="en-US" w:eastAsia="zh-CN"/>
        </w:rPr>
        <w:t>涨0.97</w:t>
      </w:r>
      <w:r>
        <w:rPr>
          <w:rFonts w:ascii="微软雅黑" w:hAnsi="微软雅黑" w:eastAsia="微软雅黑" w:cs="微软雅黑"/>
          <w:spacing w:val="5"/>
          <w:sz w:val="24"/>
          <w:szCs w:val="24"/>
        </w:rPr>
        <w:t>%报</w:t>
      </w:r>
      <w:r>
        <w:rPr>
          <w:rFonts w:ascii="微软雅黑" w:hAnsi="微软雅黑" w:eastAsia="微软雅黑" w:cs="微软雅黑"/>
          <w:spacing w:val="4"/>
          <w:sz w:val="24"/>
          <w:szCs w:val="24"/>
        </w:rPr>
        <w:t>7.2</w:t>
      </w:r>
      <w:r>
        <w:rPr>
          <w:rFonts w:hint="eastAsia" w:ascii="微软雅黑" w:hAnsi="微软雅黑" w:eastAsia="微软雅黑" w:cs="微软雅黑"/>
          <w:spacing w:val="4"/>
          <w:sz w:val="24"/>
          <w:szCs w:val="24"/>
          <w:lang w:val="en-US" w:eastAsia="zh-CN"/>
        </w:rPr>
        <w:t>62</w:t>
      </w:r>
      <w:r>
        <w:rPr>
          <w:rFonts w:ascii="微软雅黑" w:hAnsi="微软雅黑" w:eastAsia="微软雅黑" w:cs="微软雅黑"/>
          <w:spacing w:val="4"/>
          <w:sz w:val="24"/>
          <w:szCs w:val="24"/>
        </w:rPr>
        <w:t>8人民币/美元，</w:t>
      </w:r>
      <w:r>
        <w:rPr>
          <w:rFonts w:ascii="微软雅黑" w:hAnsi="微软雅黑" w:eastAsia="微软雅黑" w:cs="微软雅黑"/>
          <w:sz w:val="24"/>
          <w:szCs w:val="24"/>
        </w:rPr>
        <w:t>LME</w:t>
      </w:r>
      <w:r>
        <w:rPr>
          <w:rFonts w:ascii="微软雅黑" w:hAnsi="微软雅黑" w:eastAsia="微软雅黑" w:cs="微软雅黑"/>
          <w:spacing w:val="4"/>
          <w:sz w:val="24"/>
          <w:szCs w:val="24"/>
        </w:rPr>
        <w:t>期铜</w:t>
      </w:r>
      <w:r>
        <w:rPr>
          <w:rFonts w:hint="eastAsia" w:ascii="微软雅黑" w:hAnsi="微软雅黑" w:eastAsia="微软雅黑" w:cs="微软雅黑"/>
          <w:spacing w:val="4"/>
          <w:sz w:val="24"/>
          <w:szCs w:val="24"/>
          <w:lang w:val="en-US" w:eastAsia="zh-CN"/>
        </w:rPr>
        <w:t>跌1.2.48</w:t>
      </w:r>
      <w:r>
        <w:rPr>
          <w:rFonts w:ascii="微软雅黑" w:hAnsi="微软雅黑" w:eastAsia="微软雅黑" w:cs="微软雅黑"/>
          <w:spacing w:val="4"/>
          <w:sz w:val="24"/>
          <w:szCs w:val="24"/>
        </w:rPr>
        <w:t>报</w:t>
      </w:r>
      <w:r>
        <w:rPr>
          <w:rFonts w:ascii="微软雅黑" w:hAnsi="微软雅黑" w:eastAsia="微软雅黑" w:cs="微软雅黑"/>
          <w:spacing w:val="2"/>
          <w:sz w:val="24"/>
          <w:szCs w:val="24"/>
        </w:rPr>
        <w:t>8</w:t>
      </w:r>
      <w:r>
        <w:rPr>
          <w:rFonts w:hint="eastAsia" w:ascii="微软雅黑" w:hAnsi="微软雅黑" w:eastAsia="微软雅黑" w:cs="微软雅黑"/>
          <w:spacing w:val="2"/>
          <w:sz w:val="24"/>
          <w:szCs w:val="24"/>
          <w:lang w:val="en-US" w:eastAsia="zh-CN"/>
        </w:rPr>
        <w:t>847</w:t>
      </w:r>
      <w:r>
        <w:rPr>
          <w:rFonts w:ascii="微软雅黑" w:hAnsi="微软雅黑" w:eastAsia="微软雅黑" w:cs="微软雅黑"/>
          <w:spacing w:val="2"/>
          <w:sz w:val="24"/>
          <w:szCs w:val="24"/>
        </w:rPr>
        <w:t>美元/吨，</w:t>
      </w:r>
      <w:r>
        <w:rPr>
          <w:rFonts w:ascii="微软雅黑" w:hAnsi="微软雅黑" w:eastAsia="微软雅黑" w:cs="微软雅黑"/>
          <w:sz w:val="24"/>
          <w:szCs w:val="24"/>
        </w:rPr>
        <w:t>COMEX</w:t>
      </w:r>
      <w:r>
        <w:rPr>
          <w:rFonts w:ascii="微软雅黑" w:hAnsi="微软雅黑" w:eastAsia="微软雅黑" w:cs="微软雅黑"/>
          <w:spacing w:val="2"/>
          <w:sz w:val="24"/>
          <w:szCs w:val="24"/>
        </w:rPr>
        <w:t>黄金期货涨</w:t>
      </w:r>
      <w:r>
        <w:rPr>
          <w:rFonts w:hint="eastAsia" w:ascii="微软雅黑" w:hAnsi="微软雅黑" w:eastAsia="微软雅黑" w:cs="微软雅黑"/>
          <w:spacing w:val="2"/>
          <w:sz w:val="24"/>
          <w:szCs w:val="24"/>
          <w:lang w:val="en-US" w:eastAsia="zh-CN"/>
        </w:rPr>
        <w:t>0.23</w:t>
      </w:r>
      <w:r>
        <w:rPr>
          <w:rFonts w:ascii="微软雅黑" w:hAnsi="微软雅黑" w:eastAsia="微软雅黑" w:cs="微软雅黑"/>
          <w:spacing w:val="2"/>
          <w:sz w:val="24"/>
          <w:szCs w:val="24"/>
        </w:rPr>
        <w:t>%报21</w:t>
      </w:r>
      <w:r>
        <w:rPr>
          <w:rFonts w:hint="eastAsia" w:ascii="微软雅黑" w:hAnsi="微软雅黑" w:eastAsia="微软雅黑" w:cs="微软雅黑"/>
          <w:spacing w:val="2"/>
          <w:sz w:val="24"/>
          <w:szCs w:val="24"/>
          <w:lang w:val="en-US" w:eastAsia="zh-CN"/>
        </w:rPr>
        <w:t>66.4</w:t>
      </w:r>
      <w:r>
        <w:rPr>
          <w:rFonts w:ascii="微软雅黑" w:hAnsi="微软雅黑" w:eastAsia="微软雅黑" w:cs="微软雅黑"/>
          <w:spacing w:val="2"/>
          <w:sz w:val="24"/>
          <w:szCs w:val="24"/>
        </w:rPr>
        <w:t>美元/盎司，</w:t>
      </w:r>
      <w:r>
        <w:rPr>
          <w:rFonts w:ascii="微软雅黑" w:hAnsi="微软雅黑" w:eastAsia="微软雅黑" w:cs="微软雅黑"/>
          <w:sz w:val="24"/>
          <w:szCs w:val="24"/>
        </w:rPr>
        <w:t>COMEX</w:t>
      </w:r>
      <w:r>
        <w:rPr>
          <w:rFonts w:ascii="微软雅黑" w:hAnsi="微软雅黑" w:eastAsia="微软雅黑" w:cs="微软雅黑"/>
          <w:spacing w:val="2"/>
          <w:sz w:val="24"/>
          <w:szCs w:val="24"/>
        </w:rPr>
        <w:t>白银期货</w:t>
      </w:r>
      <w:r>
        <w:rPr>
          <w:rFonts w:hint="eastAsia" w:ascii="微软雅黑" w:hAnsi="微软雅黑" w:eastAsia="微软雅黑" w:cs="微软雅黑"/>
          <w:spacing w:val="2"/>
          <w:sz w:val="24"/>
          <w:szCs w:val="24"/>
          <w:lang w:val="en-US" w:eastAsia="zh-CN"/>
        </w:rPr>
        <w:t>跌2.31</w:t>
      </w:r>
      <w:r>
        <w:rPr>
          <w:rFonts w:ascii="微软雅黑" w:hAnsi="微软雅黑" w:eastAsia="微软雅黑" w:cs="微软雅黑"/>
          <w:spacing w:val="2"/>
          <w:sz w:val="24"/>
          <w:szCs w:val="24"/>
        </w:rPr>
        <w:t>%</w:t>
      </w:r>
      <w:r>
        <w:rPr>
          <w:rFonts w:ascii="微软雅黑" w:hAnsi="微软雅黑" w:eastAsia="微软雅黑" w:cs="微软雅黑"/>
          <w:spacing w:val="3"/>
          <w:sz w:val="24"/>
          <w:szCs w:val="24"/>
        </w:rPr>
        <w:t xml:space="preserve"> </w:t>
      </w:r>
      <w:r>
        <w:rPr>
          <w:rFonts w:ascii="微软雅黑" w:hAnsi="微软雅黑" w:eastAsia="微软雅黑" w:cs="微软雅黑"/>
          <w:spacing w:val="12"/>
          <w:sz w:val="24"/>
          <w:szCs w:val="24"/>
        </w:rPr>
        <w:t>报24.</w:t>
      </w:r>
      <w:r>
        <w:rPr>
          <w:rFonts w:hint="eastAsia" w:ascii="微软雅黑" w:hAnsi="微软雅黑" w:eastAsia="微软雅黑" w:cs="微软雅黑"/>
          <w:spacing w:val="12"/>
          <w:sz w:val="24"/>
          <w:szCs w:val="24"/>
          <w:lang w:val="en-US" w:eastAsia="zh-CN"/>
        </w:rPr>
        <w:t>79</w:t>
      </w:r>
      <w:r>
        <w:rPr>
          <w:rFonts w:ascii="微软雅黑" w:hAnsi="微软雅黑" w:eastAsia="微软雅黑" w:cs="微软雅黑"/>
          <w:spacing w:val="12"/>
          <w:sz w:val="24"/>
          <w:szCs w:val="24"/>
        </w:rPr>
        <w:t>美元/盎司。</w:t>
      </w:r>
      <w:r>
        <w:rPr>
          <w:rFonts w:hint="eastAsia" w:ascii="微软雅黑" w:hAnsi="微软雅黑" w:eastAsia="微软雅黑" w:cs="微软雅黑"/>
          <w:spacing w:val="12"/>
          <w:sz w:val="24"/>
          <w:szCs w:val="24"/>
          <w:lang w:val="en-US" w:eastAsia="zh-CN"/>
        </w:rPr>
        <w:t>5月</w:t>
      </w:r>
      <w:r>
        <w:rPr>
          <w:rFonts w:ascii="微软雅黑" w:hAnsi="微软雅黑" w:eastAsia="微软雅黑" w:cs="微软雅黑"/>
          <w:sz w:val="24"/>
          <w:szCs w:val="24"/>
        </w:rPr>
        <w:t>ICE</w:t>
      </w:r>
      <w:r>
        <w:rPr>
          <w:rFonts w:ascii="微软雅黑" w:hAnsi="微软雅黑" w:eastAsia="微软雅黑" w:cs="微软雅黑"/>
          <w:spacing w:val="12"/>
          <w:sz w:val="24"/>
          <w:szCs w:val="24"/>
        </w:rPr>
        <w:t>原糖期货</w:t>
      </w:r>
      <w:r>
        <w:rPr>
          <w:rFonts w:hint="eastAsia" w:ascii="微软雅黑" w:hAnsi="微软雅黑" w:eastAsia="微软雅黑" w:cs="微软雅黑"/>
          <w:spacing w:val="12"/>
          <w:sz w:val="24"/>
          <w:szCs w:val="24"/>
          <w:lang w:val="en-US" w:eastAsia="zh-CN"/>
        </w:rPr>
        <w:t>周度跌幅为</w:t>
      </w:r>
      <w:r>
        <w:rPr>
          <w:rFonts w:ascii="微软雅黑" w:hAnsi="微软雅黑" w:eastAsia="微软雅黑" w:cs="微软雅黑"/>
          <w:spacing w:val="12"/>
          <w:sz w:val="24"/>
          <w:szCs w:val="24"/>
        </w:rPr>
        <w:t>0.4</w:t>
      </w:r>
      <w:r>
        <w:rPr>
          <w:rFonts w:hint="eastAsia" w:ascii="微软雅黑" w:hAnsi="微软雅黑" w:eastAsia="微软雅黑" w:cs="微软雅黑"/>
          <w:spacing w:val="12"/>
          <w:sz w:val="24"/>
          <w:szCs w:val="24"/>
          <w:lang w:val="en-US" w:eastAsia="zh-CN"/>
        </w:rPr>
        <w:t>0</w:t>
      </w:r>
      <w:r>
        <w:rPr>
          <w:rFonts w:ascii="微软雅黑" w:hAnsi="微软雅黑" w:eastAsia="微软雅黑" w:cs="微软雅黑"/>
          <w:spacing w:val="12"/>
          <w:sz w:val="24"/>
          <w:szCs w:val="24"/>
        </w:rPr>
        <w:t>%</w:t>
      </w:r>
      <w:r>
        <w:rPr>
          <w:rFonts w:hint="eastAsia" w:ascii="微软雅黑" w:hAnsi="微软雅黑" w:eastAsia="微软雅黑" w:cs="微软雅黑"/>
          <w:spacing w:val="12"/>
          <w:sz w:val="24"/>
          <w:szCs w:val="24"/>
          <w:lang w:eastAsia="zh-CN"/>
        </w:rPr>
        <w:t>，</w:t>
      </w:r>
      <w:r>
        <w:rPr>
          <w:rFonts w:hint="eastAsia" w:ascii="微软雅黑" w:hAnsi="微软雅黑" w:eastAsia="微软雅黑" w:cs="微软雅黑"/>
          <w:spacing w:val="12"/>
          <w:sz w:val="24"/>
          <w:szCs w:val="24"/>
          <w:lang w:val="en-US" w:eastAsia="zh-CN"/>
        </w:rPr>
        <w:t>5月</w:t>
      </w:r>
      <w:r>
        <w:rPr>
          <w:rFonts w:ascii="微软雅黑" w:hAnsi="微软雅黑" w:eastAsia="微软雅黑" w:cs="微软雅黑"/>
          <w:sz w:val="24"/>
          <w:szCs w:val="24"/>
        </w:rPr>
        <w:t>ICE</w:t>
      </w:r>
      <w:r>
        <w:rPr>
          <w:rFonts w:ascii="微软雅黑" w:hAnsi="微软雅黑" w:eastAsia="微软雅黑" w:cs="微软雅黑"/>
          <w:spacing w:val="12"/>
          <w:sz w:val="24"/>
          <w:szCs w:val="24"/>
        </w:rPr>
        <w:t>棉跌</w:t>
      </w:r>
      <w:r>
        <w:rPr>
          <w:rFonts w:hint="eastAsia" w:ascii="微软雅黑" w:hAnsi="微软雅黑" w:eastAsia="微软雅黑" w:cs="微软雅黑"/>
          <w:spacing w:val="3"/>
          <w:sz w:val="24"/>
          <w:szCs w:val="24"/>
          <w:lang w:val="en-US" w:eastAsia="zh-CN"/>
        </w:rPr>
        <w:t>2.08</w:t>
      </w:r>
      <w:r>
        <w:rPr>
          <w:rFonts w:ascii="微软雅黑" w:hAnsi="微软雅黑" w:eastAsia="微软雅黑" w:cs="微软雅黑"/>
          <w:spacing w:val="3"/>
          <w:sz w:val="24"/>
          <w:szCs w:val="24"/>
        </w:rPr>
        <w:t>%，</w:t>
      </w:r>
      <w:r>
        <w:rPr>
          <w:rFonts w:ascii="微软雅黑" w:hAnsi="微软雅黑" w:eastAsia="微软雅黑" w:cs="微软雅黑"/>
          <w:sz w:val="24"/>
          <w:szCs w:val="24"/>
        </w:rPr>
        <w:t>S</w:t>
      </w:r>
      <w:r>
        <w:rPr>
          <w:rFonts w:hint="eastAsia" w:ascii="微软雅黑" w:hAnsi="微软雅黑" w:eastAsia="微软雅黑" w:cs="微软雅黑"/>
          <w:sz w:val="24"/>
          <w:szCs w:val="24"/>
          <w:lang w:val="en-US" w:eastAsia="zh-CN"/>
        </w:rPr>
        <w:t>MB</w:t>
      </w:r>
      <w:r>
        <w:rPr>
          <w:rFonts w:ascii="微软雅黑" w:hAnsi="微软雅黑" w:eastAsia="微软雅黑" w:cs="微软雅黑"/>
          <w:spacing w:val="3"/>
          <w:sz w:val="24"/>
          <w:szCs w:val="24"/>
        </w:rPr>
        <w:t>铁矿石涨</w:t>
      </w:r>
      <w:r>
        <w:rPr>
          <w:rFonts w:hint="eastAsia" w:ascii="微软雅黑" w:hAnsi="微软雅黑" w:eastAsia="微软雅黑" w:cs="微软雅黑"/>
          <w:spacing w:val="3"/>
          <w:sz w:val="24"/>
          <w:szCs w:val="24"/>
          <w:lang w:val="en-US" w:eastAsia="zh-CN"/>
        </w:rPr>
        <w:t>3.18%</w:t>
      </w:r>
      <w:r>
        <w:rPr>
          <w:rFonts w:hint="eastAsia" w:ascii="微软雅黑" w:hAnsi="微软雅黑" w:eastAsia="微软雅黑" w:cs="微软雅黑"/>
          <w:spacing w:val="3"/>
          <w:sz w:val="24"/>
          <w:szCs w:val="24"/>
          <w:lang w:eastAsia="zh-CN"/>
        </w:rPr>
        <w:t>。</w:t>
      </w:r>
    </w:p>
    <w:p>
      <w:pPr>
        <w:spacing w:before="103" w:line="256" w:lineRule="auto"/>
        <w:ind w:right="584"/>
        <w:jc w:val="center"/>
        <w:rPr>
          <w:rFonts w:hint="eastAsia" w:ascii="微软雅黑" w:hAnsi="微软雅黑" w:eastAsia="微软雅黑" w:cs="微软雅黑"/>
          <w:spacing w:val="3"/>
          <w:sz w:val="24"/>
          <w:szCs w:val="24"/>
          <w:lang w:eastAsia="zh-CN"/>
        </w:rPr>
      </w:pPr>
      <w:r>
        <w:drawing>
          <wp:inline distT="0" distB="0" distL="114300" distR="114300">
            <wp:extent cx="5775325" cy="3155950"/>
            <wp:effectExtent l="0" t="0" r="15875" b="635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5775325" cy="3155950"/>
                    </a:xfrm>
                    <a:prstGeom prst="rect">
                      <a:avLst/>
                    </a:prstGeom>
                    <a:noFill/>
                    <a:ln>
                      <a:noFill/>
                    </a:ln>
                  </pic:spPr>
                </pic:pic>
              </a:graphicData>
            </a:graphic>
          </wp:inline>
        </w:drawing>
      </w:r>
    </w:p>
    <w:p>
      <w:pPr>
        <w:spacing w:before="235" w:line="176" w:lineRule="auto"/>
        <w:ind w:firstLine="254" w:firstLineChars="100"/>
        <w:rPr>
          <w:rFonts w:ascii="微软雅黑" w:hAnsi="微软雅黑" w:eastAsia="微软雅黑" w:cs="微软雅黑"/>
          <w:sz w:val="24"/>
          <w:szCs w:val="24"/>
        </w:rPr>
      </w:pPr>
      <w:r>
        <w:rPr>
          <w:rFonts w:ascii="微软雅黑" w:hAnsi="微软雅黑" w:eastAsia="微软雅黑" w:cs="微软雅黑"/>
          <w:spacing w:val="7"/>
          <w:sz w:val="24"/>
          <w:szCs w:val="24"/>
        </w:rPr>
        <w:t>图表1</w:t>
      </w:r>
      <w:r>
        <w:rPr>
          <w:rFonts w:hint="eastAsia" w:ascii="微软雅黑" w:hAnsi="微软雅黑" w:eastAsia="微软雅黑" w:cs="微软雅黑"/>
          <w:spacing w:val="7"/>
          <w:sz w:val="24"/>
          <w:szCs w:val="24"/>
          <w:lang w:eastAsia="zh-CN"/>
        </w:rPr>
        <w:t>：</w:t>
      </w:r>
      <w:r>
        <w:rPr>
          <w:rFonts w:ascii="微软雅黑" w:hAnsi="微软雅黑" w:eastAsia="微软雅黑" w:cs="微软雅黑"/>
          <w:spacing w:val="7"/>
          <w:sz w:val="24"/>
          <w:szCs w:val="24"/>
        </w:rPr>
        <w:t>全球商品涨跌幅</w:t>
      </w:r>
    </w:p>
    <w:p>
      <w:pPr>
        <w:pStyle w:val="2"/>
        <w:spacing w:line="282" w:lineRule="auto"/>
      </w:pPr>
    </w:p>
    <w:p>
      <w:pPr>
        <w:pStyle w:val="2"/>
        <w:spacing w:line="282" w:lineRule="auto"/>
      </w:pPr>
    </w:p>
    <w:p>
      <w:pPr>
        <w:pStyle w:val="2"/>
        <w:spacing w:line="282" w:lineRule="auto"/>
      </w:pPr>
    </w:p>
    <w:p>
      <w:pPr>
        <w:spacing w:before="120" w:line="190" w:lineRule="auto"/>
        <w:rPr>
          <w:rFonts w:ascii="微软雅黑" w:hAnsi="微软雅黑" w:eastAsia="微软雅黑" w:cs="微软雅黑"/>
          <w:spacing w:val="4"/>
          <w:sz w:val="24"/>
          <w:szCs w:val="24"/>
        </w:rPr>
      </w:pPr>
      <w:r>
        <w:rPr>
          <w:rFonts w:ascii="微软雅黑" w:hAnsi="微软雅黑" w:eastAsia="微软雅黑" w:cs="微软雅黑"/>
          <w:color w:val="036EB8"/>
          <w:position w:val="-4"/>
          <w:sz w:val="28"/>
          <w:szCs w:val="28"/>
        </w:rPr>
        <w:drawing>
          <wp:inline distT="0" distB="0" distL="0" distR="0">
            <wp:extent cx="128905" cy="17399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ascii="微软雅黑" w:hAnsi="微软雅黑" w:eastAsia="微软雅黑" w:cs="微软雅黑"/>
          <w:b/>
          <w:bCs/>
          <w:color w:val="036EB8"/>
          <w:spacing w:val="10"/>
          <w:sz w:val="28"/>
          <w:szCs w:val="28"/>
        </w:rPr>
        <w:t>周度事件汇总</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ascii="微软雅黑" w:hAnsi="微软雅黑" w:eastAsia="微软雅黑" w:cs="微软雅黑"/>
          <w:spacing w:val="-4"/>
          <w:sz w:val="24"/>
          <w:szCs w:val="24"/>
        </w:rPr>
      </w:pPr>
      <w:r>
        <w:rPr>
          <w:rFonts w:ascii="微软雅黑" w:hAnsi="微软雅黑" w:eastAsia="微软雅黑" w:cs="微软雅黑"/>
          <w:spacing w:val="13"/>
          <w:sz w:val="24"/>
          <w:szCs w:val="24"/>
        </w:rPr>
        <w:t>【</w:t>
      </w:r>
      <w:r>
        <w:rPr>
          <w:rFonts w:ascii="微软雅黑" w:hAnsi="微软雅黑" w:eastAsia="微软雅黑" w:cs="微软雅黑"/>
          <w:spacing w:val="-4"/>
          <w:sz w:val="24"/>
          <w:szCs w:val="24"/>
        </w:rPr>
        <w:t>美联储FOMC经济预期显示，</w:t>
      </w:r>
      <w:r>
        <w:rPr>
          <w:rFonts w:hint="eastAsia" w:ascii="微软雅黑" w:hAnsi="微软雅黑" w:eastAsia="微软雅黑" w:cs="微软雅黑"/>
          <w:spacing w:val="-4"/>
          <w:sz w:val="24"/>
          <w:szCs w:val="24"/>
        </w:rPr>
        <w:t>2024</w:t>
      </w:r>
      <w:r>
        <w:rPr>
          <w:rFonts w:hint="eastAsia" w:ascii="微软雅黑" w:hAnsi="微软雅黑" w:eastAsia="微软雅黑" w:cs="微软雅黑"/>
          <w:spacing w:val="-4"/>
          <w:sz w:val="24"/>
          <w:szCs w:val="24"/>
          <w:lang w:val="en-US" w:eastAsia="zh-CN"/>
        </w:rPr>
        <w:t>-</w:t>
      </w:r>
      <w:r>
        <w:rPr>
          <w:rFonts w:hint="eastAsia" w:ascii="微软雅黑" w:hAnsi="微软雅黑" w:eastAsia="微软雅黑" w:cs="微软雅黑"/>
          <w:spacing w:val="-4"/>
          <w:sz w:val="24"/>
          <w:szCs w:val="24"/>
        </w:rPr>
        <w:t>2026年底GDP增速预期中值分别为2.1%、2.0%</w:t>
      </w:r>
      <w:r>
        <w:rPr>
          <w:rFonts w:hint="eastAsia" w:ascii="微软雅黑" w:hAnsi="微软雅黑" w:eastAsia="微软雅黑" w:cs="微软雅黑"/>
          <w:spacing w:val="-4"/>
          <w:sz w:val="24"/>
          <w:szCs w:val="24"/>
          <w:lang w:eastAsia="zh-CN"/>
        </w:rPr>
        <w:t>、</w:t>
      </w:r>
      <w:r>
        <w:rPr>
          <w:rFonts w:hint="eastAsia" w:ascii="微软雅黑" w:hAnsi="微软雅黑" w:eastAsia="微软雅黑" w:cs="微软雅黑"/>
          <w:spacing w:val="-4"/>
          <w:sz w:val="24"/>
          <w:szCs w:val="24"/>
        </w:rPr>
        <w:t>2.0%</w:t>
      </w:r>
      <w:r>
        <w:rPr>
          <w:rFonts w:hint="eastAsia" w:ascii="微软雅黑" w:hAnsi="微软雅黑" w:eastAsia="微软雅黑" w:cs="微软雅黑"/>
          <w:spacing w:val="-4"/>
          <w:sz w:val="24"/>
          <w:szCs w:val="24"/>
          <w:lang w:eastAsia="zh-CN"/>
        </w:rPr>
        <w:t>；</w:t>
      </w:r>
      <w:r>
        <w:rPr>
          <w:rFonts w:hint="eastAsia" w:ascii="微软雅黑" w:hAnsi="微软雅黑" w:eastAsia="微软雅黑" w:cs="微软雅黑"/>
          <w:spacing w:val="-4"/>
          <w:sz w:val="24"/>
          <w:szCs w:val="24"/>
        </w:rPr>
        <w:t>核心PCE通胀预期中值分别为2.6%、2.2%</w:t>
      </w:r>
      <w:r>
        <w:rPr>
          <w:rFonts w:hint="eastAsia" w:ascii="微软雅黑" w:hAnsi="微软雅黑" w:eastAsia="微软雅黑" w:cs="微软雅黑"/>
          <w:spacing w:val="-4"/>
          <w:sz w:val="24"/>
          <w:szCs w:val="24"/>
          <w:lang w:eastAsia="zh-CN"/>
        </w:rPr>
        <w:t>、</w:t>
      </w:r>
      <w:r>
        <w:rPr>
          <w:rFonts w:hint="eastAsia" w:ascii="微软雅黑" w:hAnsi="微软雅黑" w:eastAsia="微软雅黑" w:cs="微软雅黑"/>
          <w:spacing w:val="-4"/>
          <w:sz w:val="24"/>
          <w:szCs w:val="24"/>
        </w:rPr>
        <w:t>2.0%</w:t>
      </w:r>
      <w:r>
        <w:rPr>
          <w:rFonts w:hint="eastAsia" w:ascii="微软雅黑" w:hAnsi="微软雅黑" w:eastAsia="微软雅黑" w:cs="微软雅黑"/>
          <w:spacing w:val="-4"/>
          <w:sz w:val="24"/>
          <w:szCs w:val="24"/>
          <w:lang w:eastAsia="zh-CN"/>
        </w:rPr>
        <w:t>；</w:t>
      </w:r>
      <w:r>
        <w:rPr>
          <w:rFonts w:hint="eastAsia" w:ascii="微软雅黑" w:hAnsi="微软雅黑" w:eastAsia="微软雅黑" w:cs="微软雅黑"/>
          <w:spacing w:val="-4"/>
          <w:sz w:val="24"/>
          <w:szCs w:val="24"/>
        </w:rPr>
        <w:t>失业率预期中值分别为4.0%、4.1%、4.0%。</w:t>
      </w:r>
      <w:r>
        <w:rPr>
          <w:rFonts w:ascii="微软雅黑" w:hAnsi="微软雅黑" w:eastAsia="微软雅黑" w:cs="微软雅黑"/>
          <w:spacing w:val="-4"/>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ascii="微软雅黑" w:hAnsi="微软雅黑" w:eastAsia="微软雅黑" w:cs="微软雅黑"/>
          <w:spacing w:val="-4"/>
          <w:sz w:val="24"/>
          <w:szCs w:val="24"/>
        </w:rPr>
      </w:pPr>
      <w:r>
        <w:rPr>
          <w:rFonts w:ascii="微软雅黑" w:hAnsi="微软雅黑" w:eastAsia="微软雅黑" w:cs="微软雅黑"/>
          <w:spacing w:val="13"/>
          <w:sz w:val="24"/>
          <w:szCs w:val="24"/>
        </w:rPr>
        <w:t>【</w:t>
      </w:r>
      <w:r>
        <w:rPr>
          <w:rFonts w:hint="eastAsia" w:ascii="微软雅黑" w:hAnsi="微软雅黑" w:eastAsia="微软雅黑" w:cs="微软雅黑"/>
          <w:spacing w:val="13"/>
          <w:sz w:val="24"/>
          <w:szCs w:val="24"/>
          <w:lang w:eastAsia="zh-CN"/>
        </w:rPr>
        <w:t>美国2023年第四季度经常帐赤字1948亿美元，预期赤字2090亿美元，前值赤字2003亿美元。</w:t>
      </w:r>
      <w:r>
        <w:rPr>
          <w:rFonts w:ascii="微软雅黑" w:hAnsi="微软雅黑" w:eastAsia="微软雅黑" w:cs="微软雅黑"/>
          <w:spacing w:val="-4"/>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64" w:firstLineChars="200"/>
        <w:jc w:val="both"/>
        <w:textAlignment w:val="baseline"/>
        <w:rPr>
          <w:rFonts w:ascii="微软雅黑" w:hAnsi="微软雅黑" w:eastAsia="微软雅黑" w:cs="微软雅黑"/>
          <w:spacing w:val="-4"/>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64" w:firstLineChars="200"/>
        <w:jc w:val="both"/>
        <w:textAlignment w:val="baseline"/>
        <w:rPr>
          <w:rFonts w:ascii="微软雅黑" w:hAnsi="微软雅黑" w:eastAsia="微软雅黑" w:cs="微软雅黑"/>
          <w:spacing w:val="-4"/>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64" w:firstLineChars="200"/>
        <w:jc w:val="both"/>
        <w:textAlignment w:val="baseline"/>
        <w:rPr>
          <w:rFonts w:ascii="微软雅黑" w:hAnsi="微软雅黑" w:eastAsia="微软雅黑" w:cs="微软雅黑"/>
          <w:spacing w:val="-4"/>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64" w:firstLineChars="200"/>
        <w:jc w:val="both"/>
        <w:textAlignment w:val="baseline"/>
        <w:rPr>
          <w:rFonts w:ascii="微软雅黑" w:hAnsi="微软雅黑" w:eastAsia="微软雅黑" w:cs="微软雅黑"/>
          <w:spacing w:val="-4"/>
          <w:sz w:val="24"/>
          <w:szCs w:val="24"/>
        </w:rPr>
      </w:pPr>
      <w:r>
        <w:rPr>
          <w:rFonts w:ascii="微软雅黑" w:hAnsi="微软雅黑" w:eastAsia="微软雅黑" w:cs="微软雅黑"/>
          <w:spacing w:val="-4"/>
          <w:sz w:val="24"/>
          <w:szCs w:val="24"/>
        </w:rPr>
        <w:t>【美国3月标普全球</w:t>
      </w:r>
      <w:r>
        <w:rPr>
          <w:rFonts w:hint="eastAsia" w:ascii="微软雅黑" w:hAnsi="微软雅黑" w:eastAsia="微软雅黑" w:cs="微软雅黑"/>
          <w:spacing w:val="-4"/>
          <w:sz w:val="24"/>
          <w:szCs w:val="24"/>
        </w:rPr>
        <w:t>制造业PMI初值52.5，预期51.7，2月终值52.2，初值51.5；服务业PMI初值51.7，预期52.0，2月终值52.3，初值51.3；综合PMI初值52.2，预期52.2，2月终值52.5，初值51.4</w:t>
      </w:r>
      <w:r>
        <w:rPr>
          <w:rFonts w:hint="eastAsia" w:ascii="微软雅黑" w:hAnsi="微软雅黑" w:eastAsia="微软雅黑" w:cs="微软雅黑"/>
          <w:spacing w:val="-4"/>
          <w:sz w:val="24"/>
          <w:szCs w:val="24"/>
          <w:lang w:eastAsia="zh-CN"/>
        </w:rPr>
        <w:t>。</w:t>
      </w:r>
      <w:r>
        <w:rPr>
          <w:rFonts w:ascii="微软雅黑" w:hAnsi="微软雅黑" w:eastAsia="微软雅黑" w:cs="微软雅黑"/>
          <w:spacing w:val="-4"/>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64" w:firstLineChars="200"/>
        <w:jc w:val="both"/>
        <w:textAlignment w:val="baseline"/>
        <w:rPr>
          <w:rFonts w:ascii="微软雅黑" w:hAnsi="微软雅黑" w:eastAsia="微软雅黑" w:cs="微软雅黑"/>
          <w:spacing w:val="-4"/>
          <w:sz w:val="24"/>
          <w:szCs w:val="24"/>
        </w:rPr>
      </w:pPr>
      <w:r>
        <w:rPr>
          <w:rFonts w:ascii="微软雅黑" w:hAnsi="微软雅黑" w:eastAsia="微软雅黑" w:cs="微软雅黑"/>
          <w:spacing w:val="-4"/>
          <w:sz w:val="24"/>
          <w:szCs w:val="24"/>
        </w:rPr>
        <w:t>【美国截至3月16日</w:t>
      </w:r>
      <w:r>
        <w:rPr>
          <w:rFonts w:hint="eastAsia" w:ascii="微软雅黑" w:hAnsi="微软雅黑" w:eastAsia="微软雅黑" w:cs="微软雅黑"/>
          <w:spacing w:val="-4"/>
          <w:sz w:val="24"/>
          <w:szCs w:val="24"/>
        </w:rPr>
        <w:t>当周初请失业金人数21.0万人，预期21.5万人，前值20.9万人；四周均值21.125万人，预期21.5万人，前值20.8万人。截至3月9日</w:t>
      </w:r>
      <w:r>
        <w:rPr>
          <w:rFonts w:ascii="微软雅黑" w:hAnsi="微软雅黑" w:eastAsia="微软雅黑" w:cs="微软雅黑"/>
          <w:spacing w:val="-4"/>
          <w:sz w:val="24"/>
          <w:szCs w:val="24"/>
        </w:rPr>
        <w:t>当周续请失业金人数</w:t>
      </w:r>
      <w:r>
        <w:rPr>
          <w:rFonts w:hint="eastAsia" w:ascii="微软雅黑" w:hAnsi="微软雅黑" w:eastAsia="微软雅黑" w:cs="微软雅黑"/>
          <w:spacing w:val="-4"/>
          <w:sz w:val="24"/>
          <w:szCs w:val="24"/>
        </w:rPr>
        <w:t>180.7万人</w:t>
      </w:r>
      <w:r>
        <w:rPr>
          <w:rFonts w:hint="eastAsia" w:ascii="微软雅黑" w:hAnsi="微软雅黑" w:eastAsia="微软雅黑" w:cs="微软雅黑"/>
          <w:spacing w:val="-4"/>
          <w:sz w:val="24"/>
          <w:szCs w:val="24"/>
          <w:lang w:eastAsia="zh-CN"/>
        </w:rPr>
        <w:t>，</w:t>
      </w:r>
      <w:r>
        <w:rPr>
          <w:rFonts w:hint="eastAsia" w:ascii="微软雅黑" w:hAnsi="微软雅黑" w:eastAsia="微软雅黑" w:cs="微软雅黑"/>
          <w:spacing w:val="-4"/>
          <w:sz w:val="24"/>
          <w:szCs w:val="24"/>
        </w:rPr>
        <w:t>预期182.0万人，前值181.1万人</w:t>
      </w:r>
      <w:r>
        <w:rPr>
          <w:rFonts w:hint="eastAsia" w:ascii="微软雅黑" w:hAnsi="微软雅黑" w:eastAsia="微软雅黑" w:cs="微软雅黑"/>
          <w:spacing w:val="-4"/>
          <w:sz w:val="24"/>
          <w:szCs w:val="24"/>
          <w:lang w:eastAsia="zh-CN"/>
        </w:rPr>
        <w:t>。</w:t>
      </w:r>
      <w:r>
        <w:rPr>
          <w:rFonts w:ascii="微软雅黑" w:hAnsi="微软雅黑" w:eastAsia="微软雅黑" w:cs="微软雅黑"/>
          <w:spacing w:val="-4"/>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ascii="微软雅黑" w:hAnsi="微软雅黑" w:eastAsia="微软雅黑" w:cs="微软雅黑"/>
          <w:spacing w:val="13"/>
          <w:sz w:val="24"/>
          <w:szCs w:val="24"/>
        </w:rPr>
      </w:pPr>
      <w:r>
        <w:rPr>
          <w:rFonts w:ascii="微软雅黑" w:hAnsi="微软雅黑" w:eastAsia="微软雅黑" w:cs="微软雅黑"/>
          <w:spacing w:val="13"/>
          <w:sz w:val="24"/>
          <w:szCs w:val="24"/>
        </w:rPr>
        <w:t>【</w:t>
      </w:r>
      <w:r>
        <w:rPr>
          <w:rFonts w:hint="eastAsia" w:ascii="微软雅黑" w:hAnsi="微软雅黑" w:eastAsia="微软雅黑" w:cs="微软雅黑"/>
          <w:spacing w:val="13"/>
          <w:sz w:val="24"/>
          <w:szCs w:val="24"/>
          <w:lang w:val="en-US" w:eastAsia="zh-CN"/>
        </w:rPr>
        <w:t>欧</w:t>
      </w:r>
      <w:r>
        <w:rPr>
          <w:rFonts w:ascii="微软雅黑" w:hAnsi="微软雅黑" w:eastAsia="微软雅黑" w:cs="微软雅黑"/>
          <w:spacing w:val="13"/>
          <w:sz w:val="24"/>
          <w:szCs w:val="24"/>
        </w:rPr>
        <w:t>元区1月建筑业产出同比升0.8%</w:t>
      </w:r>
      <w:r>
        <w:rPr>
          <w:rFonts w:hint="eastAsia" w:ascii="微软雅黑" w:hAnsi="微软雅黑" w:eastAsia="微软雅黑" w:cs="微软雅黑"/>
          <w:spacing w:val="13"/>
          <w:sz w:val="24"/>
          <w:szCs w:val="24"/>
          <w:lang w:eastAsia="zh-CN"/>
        </w:rPr>
        <w:t>，</w:t>
      </w:r>
      <w:r>
        <w:rPr>
          <w:rFonts w:ascii="微软雅黑" w:hAnsi="微软雅黑" w:eastAsia="微软雅黑" w:cs="微软雅黑"/>
          <w:spacing w:val="13"/>
          <w:sz w:val="24"/>
          <w:szCs w:val="24"/>
        </w:rPr>
        <w:t>环比升0.5%</w:t>
      </w:r>
      <w:r>
        <w:rPr>
          <w:rFonts w:hint="eastAsia" w:ascii="微软雅黑" w:hAnsi="微软雅黑" w:eastAsia="微软雅黑" w:cs="微软雅黑"/>
          <w:spacing w:val="13"/>
          <w:sz w:val="24"/>
          <w:szCs w:val="24"/>
          <w:lang w:eastAsia="zh-CN"/>
        </w:rPr>
        <w:t>。</w:t>
      </w:r>
      <w:r>
        <w:rPr>
          <w:rFonts w:ascii="微软雅黑" w:hAnsi="微软雅黑" w:eastAsia="微软雅黑" w:cs="微软雅黑"/>
          <w:spacing w:val="13"/>
          <w:sz w:val="24"/>
          <w:szCs w:val="24"/>
        </w:rPr>
        <w:t>1月未季调经常帐盈余248.7亿欧元，前值盈余426.6亿欧元；季调后经常帐盈余393.54亿欧元，前值盈余319.5亿欧元</w:t>
      </w:r>
      <w:r>
        <w:rPr>
          <w:rFonts w:hint="eastAsia" w:ascii="微软雅黑" w:hAnsi="微软雅黑" w:eastAsia="微软雅黑" w:cs="微软雅黑"/>
          <w:spacing w:val="13"/>
          <w:sz w:val="24"/>
          <w:szCs w:val="24"/>
          <w:lang w:eastAsia="zh-CN"/>
        </w:rPr>
        <w:t>。</w:t>
      </w:r>
      <w:r>
        <w:rPr>
          <w:rFonts w:hint="eastAsia" w:ascii="微软雅黑" w:hAnsi="微软雅黑" w:eastAsia="微软雅黑" w:cs="微软雅黑"/>
          <w:spacing w:val="12"/>
          <w:sz w:val="24"/>
          <w:szCs w:val="24"/>
          <w:lang w:eastAsia="zh-CN"/>
        </w:rPr>
        <w:t>1月季调后贸易帐顺差281亿欧元，前值顺差130亿欧元；未季调贸易帐顺差114亿欧元，前值顺差168亿欧元。</w:t>
      </w:r>
      <w:r>
        <w:rPr>
          <w:rFonts w:ascii="微软雅黑" w:hAnsi="微软雅黑" w:eastAsia="微软雅黑" w:cs="微软雅黑"/>
          <w:spacing w:val="13"/>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ascii="微软雅黑" w:hAnsi="微软雅黑" w:eastAsia="微软雅黑" w:cs="微软雅黑"/>
          <w:spacing w:val="13"/>
          <w:sz w:val="24"/>
          <w:szCs w:val="24"/>
        </w:rPr>
      </w:pPr>
      <w:r>
        <w:rPr>
          <w:rFonts w:ascii="微软雅黑" w:hAnsi="微软雅黑" w:eastAsia="微软雅黑" w:cs="微软雅黑"/>
          <w:spacing w:val="13"/>
          <w:sz w:val="24"/>
          <w:szCs w:val="24"/>
        </w:rPr>
        <w:t>【</w:t>
      </w:r>
      <w:r>
        <w:rPr>
          <w:rFonts w:hint="eastAsia" w:ascii="微软雅黑" w:hAnsi="微软雅黑" w:eastAsia="微软雅黑" w:cs="微软雅黑"/>
          <w:spacing w:val="12"/>
          <w:sz w:val="24"/>
          <w:szCs w:val="24"/>
          <w:lang w:eastAsia="zh-CN"/>
        </w:rPr>
        <w:t>欧元区2月调和CPI终值同比升2.6%，预期升2.6%，1月终值2.8%，环比升0.6%，预期升0.6%，1月终值降0.4%。核心调和CPI终值同比升3.3%，预期升3.3%；1月终值升3.6%，环比升0.6%，1月终值降0.6%。</w:t>
      </w:r>
      <w:r>
        <w:rPr>
          <w:rFonts w:ascii="微软雅黑" w:hAnsi="微软雅黑" w:eastAsia="微软雅黑" w:cs="微软雅黑"/>
          <w:spacing w:val="-4"/>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ascii="微软雅黑" w:hAnsi="微软雅黑" w:eastAsia="微软雅黑" w:cs="微软雅黑"/>
          <w:spacing w:val="13"/>
          <w:sz w:val="24"/>
          <w:szCs w:val="24"/>
        </w:rPr>
      </w:pPr>
      <w:r>
        <w:rPr>
          <w:rFonts w:ascii="微软雅黑" w:hAnsi="微软雅黑" w:eastAsia="微软雅黑" w:cs="微软雅黑"/>
          <w:spacing w:val="13"/>
          <w:sz w:val="24"/>
          <w:szCs w:val="24"/>
        </w:rPr>
        <w:t>【欧元区3月制造业PMI初值45.7，预期47，2月终值46.5，初值46.1；服务业PMI初值51.1，预期50.5，2月终值50.2，初值50.0；综合PMI初值49.9，预期49.7，2月终值49.2，初值48.9</w:t>
      </w:r>
      <w:r>
        <w:rPr>
          <w:rFonts w:hint="eastAsia" w:ascii="微软雅黑" w:hAnsi="微软雅黑" w:eastAsia="微软雅黑" w:cs="微软雅黑"/>
          <w:spacing w:val="13"/>
          <w:sz w:val="24"/>
          <w:szCs w:val="24"/>
          <w:lang w:eastAsia="zh-CN"/>
        </w:rPr>
        <w:t>。</w:t>
      </w:r>
      <w:r>
        <w:rPr>
          <w:rFonts w:ascii="微软雅黑" w:hAnsi="微软雅黑" w:eastAsia="微软雅黑" w:cs="微软雅黑"/>
          <w:spacing w:val="13"/>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ascii="微软雅黑" w:hAnsi="微软雅黑" w:eastAsia="微软雅黑" w:cs="微软雅黑"/>
          <w:spacing w:val="13"/>
          <w:sz w:val="24"/>
          <w:szCs w:val="24"/>
        </w:rPr>
      </w:pPr>
      <w:r>
        <w:rPr>
          <w:rFonts w:ascii="微软雅黑" w:hAnsi="微软雅黑" w:eastAsia="微软雅黑" w:cs="微软雅黑"/>
          <w:spacing w:val="13"/>
          <w:sz w:val="24"/>
          <w:szCs w:val="24"/>
        </w:rPr>
        <w:t>【德国2月PPI同比降4.1%，预期降3.8%；环比降0.4%，预期降0.1%</w:t>
      </w:r>
      <w:r>
        <w:rPr>
          <w:rFonts w:hint="eastAsia" w:ascii="微软雅黑" w:hAnsi="微软雅黑" w:eastAsia="微软雅黑" w:cs="微软雅黑"/>
          <w:spacing w:val="13"/>
          <w:sz w:val="24"/>
          <w:szCs w:val="24"/>
          <w:lang w:eastAsia="zh-CN"/>
        </w:rPr>
        <w:t>。</w:t>
      </w:r>
      <w:r>
        <w:rPr>
          <w:rFonts w:hint="eastAsia" w:ascii="微软雅黑" w:hAnsi="微软雅黑" w:eastAsia="微软雅黑" w:cs="微软雅黑"/>
          <w:spacing w:val="13"/>
          <w:sz w:val="24"/>
          <w:szCs w:val="24"/>
        </w:rPr>
        <w:t>德国3月制造业PMI初值41.6，预期43.1，前值42.5；服务业PMI初值49.8，预期48.8</w:t>
      </w:r>
      <w:r>
        <w:rPr>
          <w:rFonts w:hint="eastAsia" w:ascii="微软雅黑" w:hAnsi="微软雅黑" w:eastAsia="微软雅黑" w:cs="微软雅黑"/>
          <w:spacing w:val="13"/>
          <w:sz w:val="24"/>
          <w:szCs w:val="24"/>
          <w:lang w:eastAsia="zh-CN"/>
        </w:rPr>
        <w:t>，</w:t>
      </w:r>
      <w:r>
        <w:rPr>
          <w:rFonts w:hint="eastAsia" w:ascii="微软雅黑" w:hAnsi="微软雅黑" w:eastAsia="微软雅黑" w:cs="微软雅黑"/>
          <w:spacing w:val="13"/>
          <w:sz w:val="24"/>
          <w:szCs w:val="24"/>
        </w:rPr>
        <w:t>前值48.3；综合PMI初值47.4，预期47.0，前值46.3。</w:t>
      </w:r>
      <w:r>
        <w:rPr>
          <w:rFonts w:ascii="微软雅黑" w:hAnsi="微软雅黑" w:eastAsia="微软雅黑" w:cs="微软雅黑"/>
          <w:spacing w:val="13"/>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hint="eastAsia" w:ascii="微软雅黑" w:hAnsi="微软雅黑" w:eastAsia="微软雅黑" w:cs="微软雅黑"/>
          <w:spacing w:val="13"/>
          <w:sz w:val="24"/>
          <w:szCs w:val="24"/>
          <w:lang w:eastAsia="zh-CN"/>
        </w:rPr>
      </w:pPr>
      <w:r>
        <w:rPr>
          <w:rFonts w:ascii="微软雅黑" w:hAnsi="微软雅黑" w:eastAsia="微软雅黑" w:cs="微软雅黑"/>
          <w:spacing w:val="13"/>
          <w:sz w:val="24"/>
          <w:szCs w:val="24"/>
        </w:rPr>
        <w:t>【</w:t>
      </w:r>
      <w:r>
        <w:rPr>
          <w:rFonts w:hint="eastAsia" w:ascii="微软雅黑" w:hAnsi="微软雅黑" w:eastAsia="微软雅黑" w:cs="微软雅黑"/>
          <w:spacing w:val="13"/>
          <w:sz w:val="24"/>
          <w:szCs w:val="24"/>
        </w:rPr>
        <w:t>法国3月制造业PMI初值45.8，为2个月新低，预期47.5，前值47.1；服务业PMI初值47.8，为2个月新低，预期48.7，前值48.4；综合PMI初值47.7，为2个月新低，预期48.6，前值48.1</w:t>
      </w:r>
      <w:r>
        <w:rPr>
          <w:rFonts w:hint="eastAsia" w:ascii="微软雅黑" w:hAnsi="微软雅黑" w:eastAsia="微软雅黑" w:cs="微软雅黑"/>
          <w:spacing w:val="13"/>
          <w:sz w:val="24"/>
          <w:szCs w:val="24"/>
          <w:lang w:eastAsia="zh-CN"/>
        </w:rPr>
        <w:t>。</w:t>
      </w:r>
      <w:r>
        <w:rPr>
          <w:rFonts w:ascii="微软雅黑" w:hAnsi="微软雅黑" w:eastAsia="微软雅黑" w:cs="微软雅黑"/>
          <w:spacing w:val="13"/>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ascii="微软雅黑" w:hAnsi="微软雅黑" w:eastAsia="微软雅黑" w:cs="微软雅黑"/>
          <w:spacing w:val="13"/>
          <w:sz w:val="24"/>
          <w:szCs w:val="24"/>
        </w:rPr>
      </w:pPr>
      <w:r>
        <w:rPr>
          <w:rFonts w:ascii="微软雅黑" w:hAnsi="微软雅黑" w:eastAsia="微软雅黑" w:cs="微软雅黑"/>
          <w:spacing w:val="13"/>
          <w:sz w:val="24"/>
          <w:szCs w:val="24"/>
        </w:rPr>
        <w:t>【英国央行连续第五次维持基准利率在5.25%不变，符合市场预期</w:t>
      </w:r>
      <w:r>
        <w:rPr>
          <w:rFonts w:hint="eastAsia" w:ascii="微软雅黑" w:hAnsi="微软雅黑" w:eastAsia="微软雅黑" w:cs="微软雅黑"/>
          <w:spacing w:val="13"/>
          <w:sz w:val="24"/>
          <w:szCs w:val="24"/>
          <w:lang w:eastAsia="zh-CN"/>
        </w:rPr>
        <w:t>。</w:t>
      </w:r>
      <w:r>
        <w:rPr>
          <w:rFonts w:ascii="微软雅黑" w:hAnsi="微软雅黑" w:eastAsia="微软雅黑" w:cs="微软雅黑"/>
          <w:spacing w:val="13"/>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ascii="微软雅黑" w:hAnsi="微软雅黑" w:eastAsia="微软雅黑" w:cs="微软雅黑"/>
          <w:spacing w:val="-4"/>
          <w:sz w:val="24"/>
          <w:szCs w:val="24"/>
        </w:rPr>
      </w:pPr>
      <w:r>
        <w:rPr>
          <w:rFonts w:ascii="微软雅黑" w:hAnsi="微软雅黑" w:eastAsia="微软雅黑" w:cs="微软雅黑"/>
          <w:spacing w:val="13"/>
          <w:sz w:val="24"/>
          <w:szCs w:val="24"/>
        </w:rPr>
        <w:t>【英国2月CPI同比增长3.4%，预期增长3.50%</w:t>
      </w:r>
      <w:r>
        <w:rPr>
          <w:rFonts w:hint="eastAsia" w:ascii="微软雅黑" w:hAnsi="微软雅黑" w:eastAsia="微软雅黑" w:cs="微软雅黑"/>
          <w:spacing w:val="13"/>
          <w:sz w:val="24"/>
          <w:szCs w:val="24"/>
          <w:lang w:eastAsia="zh-CN"/>
        </w:rPr>
        <w:t>；</w:t>
      </w:r>
      <w:r>
        <w:rPr>
          <w:rFonts w:ascii="微软雅黑" w:hAnsi="微软雅黑" w:eastAsia="微软雅黑" w:cs="微软雅黑"/>
          <w:spacing w:val="13"/>
          <w:sz w:val="24"/>
          <w:szCs w:val="24"/>
        </w:rPr>
        <w:t>2月CPI环比增长0.6%，预期增长0.70%。核心CPI同比升4.5%，预期升4.6%；环比升0.6%，预期升0.7%</w:t>
      </w:r>
      <w:r>
        <w:rPr>
          <w:rFonts w:hint="eastAsia" w:ascii="微软雅黑" w:hAnsi="微软雅黑" w:eastAsia="微软雅黑" w:cs="微软雅黑"/>
          <w:spacing w:val="13"/>
          <w:sz w:val="24"/>
          <w:szCs w:val="24"/>
          <w:lang w:eastAsia="zh-CN"/>
        </w:rPr>
        <w:t>。</w:t>
      </w:r>
      <w:r>
        <w:rPr>
          <w:rFonts w:ascii="微软雅黑" w:hAnsi="微软雅黑" w:eastAsia="微软雅黑" w:cs="微软雅黑"/>
          <w:spacing w:val="13"/>
          <w:sz w:val="24"/>
          <w:szCs w:val="24"/>
        </w:rPr>
        <w:t>英国3月制造业PMI初值49.9，为2022年7月以来新高，预期47.8，2月终值47.5，初值47.1</w:t>
      </w:r>
      <w:r>
        <w:rPr>
          <w:rFonts w:hint="eastAsia" w:ascii="微软雅黑" w:hAnsi="微软雅黑" w:eastAsia="微软雅黑" w:cs="微软雅黑"/>
          <w:spacing w:val="13"/>
          <w:sz w:val="24"/>
          <w:szCs w:val="24"/>
          <w:lang w:eastAsia="zh-CN"/>
        </w:rPr>
        <w:t>；</w:t>
      </w:r>
      <w:r>
        <w:rPr>
          <w:rFonts w:ascii="微软雅黑" w:hAnsi="微软雅黑" w:eastAsia="微软雅黑" w:cs="微软雅黑"/>
          <w:spacing w:val="13"/>
          <w:sz w:val="24"/>
          <w:szCs w:val="24"/>
        </w:rPr>
        <w:t>服务业PMI初值53.4，预期53.8，2月终值53.8，初值54.3；综合PMI初值52.9，预期53.1，2月终值53.0，初值53.3</w:t>
      </w:r>
      <w:r>
        <w:rPr>
          <w:rFonts w:hint="eastAsia" w:ascii="微软雅黑" w:hAnsi="微软雅黑" w:eastAsia="微软雅黑" w:cs="微软雅黑"/>
          <w:spacing w:val="13"/>
          <w:sz w:val="24"/>
          <w:szCs w:val="24"/>
          <w:lang w:eastAsia="zh-CN"/>
        </w:rPr>
        <w:t>。</w:t>
      </w:r>
      <w:r>
        <w:rPr>
          <w:rFonts w:ascii="微软雅黑" w:hAnsi="微软雅黑" w:eastAsia="微软雅黑" w:cs="微软雅黑"/>
          <w:spacing w:val="13"/>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64" w:firstLineChars="200"/>
        <w:jc w:val="both"/>
        <w:textAlignment w:val="baseline"/>
        <w:rPr>
          <w:rFonts w:ascii="微软雅黑" w:hAnsi="微软雅黑" w:eastAsia="微软雅黑" w:cs="微软雅黑"/>
          <w:spacing w:val="-4"/>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28" w:firstLineChars="200"/>
        <w:jc w:val="both"/>
        <w:textAlignment w:val="baseline"/>
        <w:rPr>
          <w:rFonts w:ascii="微软雅黑" w:hAnsi="微软雅黑" w:eastAsia="微软雅黑" w:cs="微软雅黑"/>
          <w:spacing w:val="4"/>
          <w:sz w:val="24"/>
          <w:szCs w:val="24"/>
        </w:rPr>
      </w:pPr>
      <w:r>
        <w:rPr>
          <w:rFonts w:ascii="微软雅黑" w:hAnsi="微软雅黑" w:eastAsia="微软雅黑" w:cs="微软雅黑"/>
          <w:spacing w:val="12"/>
          <w:sz w:val="24"/>
          <w:szCs w:val="24"/>
        </w:rPr>
        <w:t>【</w:t>
      </w:r>
      <w:r>
        <w:rPr>
          <w:rFonts w:hint="eastAsia" w:ascii="微软雅黑" w:hAnsi="微软雅黑" w:eastAsia="微软雅黑" w:cs="微软雅黑"/>
          <w:spacing w:val="13"/>
          <w:sz w:val="24"/>
          <w:szCs w:val="24"/>
          <w:lang w:eastAsia="zh-CN"/>
        </w:rPr>
        <w:t>加拿大2月CPI同比上涨2.8%，通胀水平继续放缓。</w:t>
      </w:r>
      <w:r>
        <w:rPr>
          <w:rFonts w:hint="eastAsia" w:ascii="微软雅黑" w:hAnsi="微软雅黑" w:eastAsia="微软雅黑" w:cs="微软雅黑"/>
          <w:spacing w:val="12"/>
          <w:sz w:val="24"/>
          <w:szCs w:val="24"/>
          <w:lang w:eastAsia="zh-CN"/>
        </w:rPr>
        <w:t>2月工业品价格指数同比降1.7%，前值降2.9%；环比升0.7%，前值降0.1%。原材料价格指数同比降4.7%，前值降6.4%；环比升2.1%，前值升1.2%。</w:t>
      </w:r>
      <w:r>
        <w:rPr>
          <w:rFonts w:ascii="微软雅黑" w:hAnsi="微软雅黑" w:eastAsia="微软雅黑" w:cs="微软雅黑"/>
          <w:spacing w:val="-8"/>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ascii="微软雅黑" w:hAnsi="微软雅黑" w:eastAsia="微软雅黑" w:cs="微软雅黑"/>
          <w:spacing w:val="4"/>
          <w:sz w:val="24"/>
          <w:szCs w:val="24"/>
        </w:rPr>
      </w:pPr>
      <w:r>
        <w:rPr>
          <w:rFonts w:ascii="微软雅黑" w:hAnsi="微软雅黑" w:eastAsia="微软雅黑" w:cs="微软雅黑"/>
          <w:spacing w:val="13"/>
          <w:sz w:val="24"/>
          <w:szCs w:val="24"/>
        </w:rPr>
        <w:t>【澳洲联储维持利率在4.35%不变，符合市场预期</w:t>
      </w:r>
      <w:r>
        <w:rPr>
          <w:rFonts w:hint="eastAsia" w:ascii="微软雅黑" w:hAnsi="微软雅黑" w:eastAsia="微软雅黑" w:cs="微软雅黑"/>
          <w:spacing w:val="13"/>
          <w:sz w:val="24"/>
          <w:szCs w:val="24"/>
          <w:lang w:eastAsia="zh-CN"/>
        </w:rPr>
        <w:t>。</w:t>
      </w:r>
      <w:r>
        <w:rPr>
          <w:rFonts w:ascii="微软雅黑" w:hAnsi="微软雅黑" w:eastAsia="微软雅黑" w:cs="微软雅黑"/>
          <w:spacing w:val="13"/>
          <w:sz w:val="24"/>
          <w:szCs w:val="24"/>
        </w:rPr>
        <w:t>澳大利亚2月就业人口增11.65万人，预期增4万人，前值增0.05万人；季调后失业率为3.7%</w:t>
      </w:r>
      <w:r>
        <w:rPr>
          <w:rFonts w:hint="eastAsia" w:ascii="微软雅黑" w:hAnsi="微软雅黑" w:eastAsia="微软雅黑" w:cs="微软雅黑"/>
          <w:spacing w:val="13"/>
          <w:sz w:val="24"/>
          <w:szCs w:val="24"/>
          <w:lang w:eastAsia="zh-CN"/>
        </w:rPr>
        <w:t>，</w:t>
      </w:r>
      <w:r>
        <w:rPr>
          <w:rFonts w:ascii="微软雅黑" w:hAnsi="微软雅黑" w:eastAsia="微软雅黑" w:cs="微软雅黑"/>
          <w:spacing w:val="13"/>
          <w:sz w:val="24"/>
          <w:szCs w:val="24"/>
        </w:rPr>
        <w:t>预期4%，前值4.1%。</w:t>
      </w:r>
      <w:r>
        <w:rPr>
          <w:rFonts w:ascii="微软雅黑" w:hAnsi="微软雅黑" w:eastAsia="微软雅黑" w:cs="微软雅黑"/>
          <w:spacing w:val="-4"/>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28" w:firstLineChars="200"/>
        <w:jc w:val="both"/>
        <w:textAlignment w:val="baseline"/>
        <w:rPr>
          <w:rFonts w:ascii="微软雅黑" w:hAnsi="微软雅黑" w:eastAsia="微软雅黑" w:cs="微软雅黑"/>
          <w:spacing w:val="13"/>
          <w:sz w:val="24"/>
          <w:szCs w:val="24"/>
        </w:rPr>
      </w:pPr>
      <w:r>
        <w:rPr>
          <w:rFonts w:ascii="微软雅黑" w:hAnsi="微软雅黑" w:eastAsia="微软雅黑" w:cs="微软雅黑"/>
          <w:spacing w:val="12"/>
          <w:sz w:val="24"/>
          <w:szCs w:val="24"/>
        </w:rPr>
        <w:t>【</w:t>
      </w:r>
      <w:r>
        <w:rPr>
          <w:rFonts w:hint="eastAsia" w:ascii="微软雅黑" w:hAnsi="微软雅黑" w:eastAsia="微软雅黑" w:cs="微软雅黑"/>
          <w:spacing w:val="12"/>
          <w:sz w:val="24"/>
          <w:szCs w:val="24"/>
          <w:lang w:eastAsia="zh-CN"/>
        </w:rPr>
        <w:t>日本央行退出持续8年之久的负利率政策，</w:t>
      </w:r>
      <w:r>
        <w:rPr>
          <w:rFonts w:ascii="微软雅黑" w:hAnsi="微软雅黑" w:eastAsia="微软雅黑" w:cs="微软雅黑"/>
          <w:spacing w:val="12"/>
          <w:sz w:val="24"/>
          <w:szCs w:val="24"/>
        </w:rPr>
        <w:t>将短期利率由此前的-0.1%</w:t>
      </w:r>
      <w:r>
        <w:rPr>
          <w:rFonts w:hint="eastAsia" w:ascii="微软雅黑" w:hAnsi="微软雅黑" w:eastAsia="微软雅黑" w:cs="微软雅黑"/>
          <w:spacing w:val="12"/>
          <w:sz w:val="24"/>
          <w:szCs w:val="24"/>
          <w:lang w:val="en-US" w:eastAsia="zh-CN"/>
        </w:rPr>
        <w:t>-</w:t>
      </w:r>
      <w:r>
        <w:rPr>
          <w:rFonts w:ascii="微软雅黑" w:hAnsi="微软雅黑" w:eastAsia="微软雅黑" w:cs="微软雅黑"/>
          <w:spacing w:val="12"/>
          <w:sz w:val="24"/>
          <w:szCs w:val="24"/>
        </w:rPr>
        <w:t>0%调整为0%</w:t>
      </w:r>
      <w:r>
        <w:rPr>
          <w:rFonts w:hint="eastAsia" w:ascii="微软雅黑" w:hAnsi="微软雅黑" w:eastAsia="微软雅黑" w:cs="微软雅黑"/>
          <w:spacing w:val="12"/>
          <w:sz w:val="24"/>
          <w:szCs w:val="24"/>
          <w:lang w:val="en-US" w:eastAsia="zh-CN"/>
        </w:rPr>
        <w:t>-</w:t>
      </w:r>
      <w:r>
        <w:rPr>
          <w:rFonts w:ascii="微软雅黑" w:hAnsi="微软雅黑" w:eastAsia="微软雅黑" w:cs="微软雅黑"/>
          <w:spacing w:val="12"/>
          <w:sz w:val="24"/>
          <w:szCs w:val="24"/>
        </w:rPr>
        <w:t>0.1%</w:t>
      </w:r>
      <w:r>
        <w:rPr>
          <w:rFonts w:hint="eastAsia" w:ascii="微软雅黑" w:hAnsi="微软雅黑" w:eastAsia="微软雅黑" w:cs="微软雅黑"/>
          <w:spacing w:val="12"/>
          <w:sz w:val="24"/>
          <w:szCs w:val="24"/>
          <w:lang w:eastAsia="zh-CN"/>
        </w:rPr>
        <w:t>，并放弃收益率曲线控制（YCC）和ETF购买计划，取消购买REITs，一年后将停止购买商业票据及公司债。</w:t>
      </w:r>
      <w:r>
        <w:rPr>
          <w:rFonts w:ascii="微软雅黑" w:hAnsi="微软雅黑" w:eastAsia="微软雅黑" w:cs="微软雅黑"/>
          <w:spacing w:val="-8"/>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ascii="微软雅黑" w:hAnsi="微软雅黑" w:eastAsia="微软雅黑" w:cs="微软雅黑"/>
          <w:spacing w:val="13"/>
          <w:sz w:val="24"/>
          <w:szCs w:val="24"/>
        </w:rPr>
      </w:pPr>
      <w:r>
        <w:rPr>
          <w:rFonts w:ascii="微软雅黑" w:hAnsi="微软雅黑" w:eastAsia="微软雅黑" w:cs="微软雅黑"/>
          <w:spacing w:val="13"/>
          <w:sz w:val="24"/>
          <w:szCs w:val="24"/>
        </w:rPr>
        <w:t>【</w:t>
      </w:r>
      <w:r>
        <w:rPr>
          <w:rFonts w:hint="eastAsia" w:ascii="微软雅黑" w:hAnsi="微软雅黑" w:eastAsia="微软雅黑" w:cs="微软雅黑"/>
          <w:spacing w:val="13"/>
          <w:sz w:val="24"/>
          <w:szCs w:val="24"/>
          <w:lang w:eastAsia="zh-CN"/>
        </w:rPr>
        <w:t>日本3月制造业PMI初值为48.2，2月初值及终值均为47.2；服务业PMI初值为54.9，2月终值52.9，初值52.5；综合PMI初值为52.3，2月终值50.6，初值50.3。</w:t>
      </w:r>
      <w:r>
        <w:rPr>
          <w:rFonts w:ascii="微软雅黑" w:hAnsi="微软雅黑" w:eastAsia="微软雅黑" w:cs="微软雅黑"/>
          <w:spacing w:val="13"/>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hint="eastAsia" w:ascii="微软雅黑" w:hAnsi="微软雅黑" w:eastAsia="微软雅黑" w:cs="微软雅黑"/>
          <w:spacing w:val="13"/>
          <w:sz w:val="24"/>
          <w:szCs w:val="24"/>
          <w:lang w:eastAsia="zh-CN"/>
        </w:rPr>
      </w:pPr>
      <w:r>
        <w:rPr>
          <w:rFonts w:ascii="微软雅黑" w:hAnsi="微软雅黑" w:eastAsia="微软雅黑" w:cs="微软雅黑"/>
          <w:spacing w:val="13"/>
          <w:sz w:val="24"/>
          <w:szCs w:val="24"/>
        </w:rPr>
        <w:t>【</w:t>
      </w:r>
      <w:r>
        <w:rPr>
          <w:rFonts w:hint="eastAsia" w:ascii="微软雅黑" w:hAnsi="微软雅黑" w:eastAsia="微软雅黑" w:cs="微软雅黑"/>
          <w:spacing w:val="13"/>
          <w:sz w:val="24"/>
          <w:szCs w:val="24"/>
          <w:lang w:eastAsia="zh-CN"/>
        </w:rPr>
        <w:t>瑞士央行意外降息，将关键政策利率下调25个基点，从1.75%降至1.5%。</w:t>
      </w:r>
      <w:r>
        <w:rPr>
          <w:rFonts w:ascii="微软雅黑" w:hAnsi="微软雅黑" w:eastAsia="微软雅黑" w:cs="微软雅黑"/>
          <w:spacing w:val="13"/>
          <w:sz w:val="24"/>
          <w:szCs w:val="24"/>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ascii="微软雅黑" w:hAnsi="微软雅黑" w:eastAsia="微软雅黑" w:cs="微软雅黑"/>
          <w:spacing w:val="13"/>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ascii="微软雅黑" w:hAnsi="微软雅黑" w:eastAsia="微软雅黑" w:cs="微软雅黑"/>
          <w:spacing w:val="13"/>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532" w:firstLineChars="200"/>
        <w:jc w:val="both"/>
        <w:textAlignment w:val="baseline"/>
        <w:rPr>
          <w:rFonts w:ascii="微软雅黑" w:hAnsi="微软雅黑" w:eastAsia="微软雅黑" w:cs="微软雅黑"/>
          <w:spacing w:val="13"/>
          <w:sz w:val="24"/>
          <w:szCs w:val="24"/>
        </w:rPr>
      </w:pPr>
    </w:p>
    <w:p>
      <w:pPr>
        <w:spacing w:before="120" w:line="190" w:lineRule="auto"/>
        <w:rPr>
          <w:rFonts w:hint="eastAsia" w:ascii="微软雅黑" w:hAnsi="微软雅黑" w:eastAsia="微软雅黑" w:cs="微软雅黑"/>
          <w:b/>
          <w:bCs/>
          <w:color w:val="036EB8"/>
          <w:spacing w:val="10"/>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20"/>
            <wp:cNvGraphicFramePr/>
            <a:graphic xmlns:a="http://schemas.openxmlformats.org/drawingml/2006/main">
              <a:graphicData uri="http://schemas.openxmlformats.org/drawingml/2006/picture">
                <pic:pic xmlns:pic="http://schemas.openxmlformats.org/drawingml/2006/picture">
                  <pic:nvPicPr>
                    <pic:cNvPr id="4" name="IM 20"/>
                    <pic:cNvPicPr/>
                  </pic:nvPicPr>
                  <pic:blipFill>
                    <a:blip r:embed="rId13"/>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ascii="微软雅黑" w:hAnsi="微软雅黑" w:eastAsia="微软雅黑" w:cs="微软雅黑"/>
          <w:b/>
          <w:bCs/>
          <w:color w:val="036EB8"/>
          <w:spacing w:val="10"/>
          <w:sz w:val="28"/>
          <w:szCs w:val="28"/>
        </w:rPr>
        <w:t>周度</w:t>
      </w:r>
      <w:r>
        <w:rPr>
          <w:rFonts w:hint="eastAsia" w:ascii="微软雅黑" w:hAnsi="微软雅黑" w:eastAsia="微软雅黑" w:cs="微软雅黑"/>
          <w:b/>
          <w:bCs/>
          <w:color w:val="036EB8"/>
          <w:spacing w:val="10"/>
          <w:sz w:val="28"/>
          <w:szCs w:val="28"/>
          <w:lang w:val="en-US" w:eastAsia="zh-CN"/>
        </w:rPr>
        <w:t xml:space="preserve">品种观点 </w:t>
      </w:r>
    </w:p>
    <w:tbl>
      <w:tblPr>
        <w:tblStyle w:val="6"/>
        <w:tblW w:w="107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9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tcBorders>
              <w:top w:val="single" w:color="2169C1" w:sz="4" w:space="0"/>
              <w:left w:val="single" w:color="FFFFFF" w:sz="4" w:space="0"/>
              <w:bottom w:val="dotted" w:color="auto" w:sz="4" w:space="0"/>
              <w:right w:val="dotted" w:color="auto" w:sz="4" w:space="0"/>
            </w:tcBorders>
            <w:shd w:val="clear" w:color="auto" w:fill="729ED8"/>
            <w:vAlign w:val="center"/>
          </w:tcPr>
          <w:p>
            <w:pPr>
              <w:pStyle w:val="9"/>
              <w:widowControl w:val="0"/>
              <w:spacing w:before="221" w:line="182" w:lineRule="auto"/>
              <w:jc w:val="center"/>
              <w:rPr>
                <w:rFonts w:hint="eastAsia" w:ascii="微软雅黑" w:hAnsi="微软雅黑" w:eastAsia="微软雅黑" w:cs="微软雅黑"/>
                <w:snapToGrid w:val="0"/>
                <w:color w:val="FFFFFF" w:themeColor="background1"/>
                <w:kern w:val="0"/>
                <w:sz w:val="24"/>
                <w:szCs w:val="24"/>
                <w:lang w:val="en-US" w:eastAsia="zh-CN" w:bidi="ar-SA"/>
                <w14:textFill>
                  <w14:solidFill>
                    <w14:schemeClr w14:val="bg1"/>
                  </w14:solidFill>
                </w14:textFill>
              </w:rPr>
            </w:pPr>
            <w:r>
              <w:rPr>
                <w:rFonts w:hint="eastAsia" w:ascii="微软雅黑" w:hAnsi="微软雅黑" w:eastAsia="微软雅黑" w:cs="微软雅黑"/>
                <w:b/>
                <w:bCs/>
                <w:color w:val="FFFFFF" w:themeColor="background1"/>
                <w:spacing w:val="10"/>
                <w:sz w:val="28"/>
                <w:szCs w:val="28"/>
                <w:vertAlign w:val="baseline"/>
                <w:lang w:val="en-US" w:eastAsia="zh-CN"/>
                <w14:textFill>
                  <w14:solidFill>
                    <w14:schemeClr w14:val="bg1"/>
                  </w14:solidFill>
                </w14:textFill>
              </w:rPr>
              <w:t>品种</w:t>
            </w:r>
          </w:p>
        </w:tc>
        <w:tc>
          <w:tcPr>
            <w:tcW w:w="9039" w:type="dxa"/>
            <w:tcBorders>
              <w:top w:val="single" w:color="2169C1" w:sz="4" w:space="0"/>
              <w:left w:val="dotted" w:color="auto" w:sz="4" w:space="0"/>
              <w:bottom w:val="dotted" w:color="auto" w:sz="4" w:space="0"/>
              <w:right w:val="single" w:color="FFFFFF" w:sz="4" w:space="0"/>
            </w:tcBorders>
            <w:shd w:val="clear" w:color="auto" w:fill="729ED8"/>
            <w:vAlign w:val="center"/>
          </w:tcPr>
          <w:p>
            <w:pPr>
              <w:widowControl w:val="0"/>
              <w:spacing w:before="120" w:line="190" w:lineRule="auto"/>
              <w:jc w:val="center"/>
              <w:rPr>
                <w:rFonts w:hint="default" w:ascii="微软雅黑" w:hAnsi="微软雅黑" w:eastAsia="微软雅黑" w:cs="微软雅黑"/>
                <w:b/>
                <w:bCs/>
                <w:color w:val="FFFFFF" w:themeColor="background1"/>
                <w:spacing w:val="10"/>
                <w:sz w:val="28"/>
                <w:szCs w:val="28"/>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pacing w:val="10"/>
                <w:sz w:val="28"/>
                <w:szCs w:val="28"/>
                <w:vertAlign w:val="baseline"/>
                <w:lang w:val="en-US" w:eastAsia="zh-CN"/>
                <w14:textFill>
                  <w14:solidFill>
                    <w14:schemeClr w14:val="bg1"/>
                  </w14:solidFill>
                </w14:textFill>
              </w:rPr>
              <w:t>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tcBorders>
              <w:top w:val="dotted" w:color="auto" w:sz="4" w:space="0"/>
              <w:left w:val="single" w:color="FFFFFF" w:sz="4" w:space="0"/>
              <w:bottom w:val="dotted" w:color="auto" w:sz="4" w:space="0"/>
              <w:right w:val="dotted" w:color="auto" w:sz="4" w:space="0"/>
            </w:tcBorders>
            <w:shd w:val="clear" w:color="auto" w:fill="C7DAF1" w:themeFill="text2" w:themeFillTint="32"/>
            <w:vAlign w:val="center"/>
          </w:tcPr>
          <w:p>
            <w:pPr>
              <w:pStyle w:val="9"/>
              <w:widowControl w:val="0"/>
              <w:spacing w:before="228" w:line="191" w:lineRule="auto"/>
              <w:jc w:val="center"/>
              <w:rPr>
                <w:rFonts w:hint="eastAsia" w:eastAsia="微软雅黑"/>
                <w:b/>
                <w:bCs/>
                <w:sz w:val="19"/>
                <w:szCs w:val="19"/>
                <w:lang w:eastAsia="zh-CN"/>
              </w:rPr>
            </w:pPr>
            <w:r>
              <w:rPr>
                <w:rFonts w:hint="eastAsia" w:eastAsia="微软雅黑"/>
                <w:b/>
                <w:bCs/>
                <w:sz w:val="19"/>
                <w:szCs w:val="19"/>
                <w:lang w:eastAsia="zh-CN"/>
              </w:rPr>
              <w:t>富时中国A50</w:t>
            </w:r>
          </w:p>
          <w:p>
            <w:pPr>
              <w:pStyle w:val="9"/>
              <w:widowControl w:val="0"/>
              <w:spacing w:before="228" w:line="191" w:lineRule="auto"/>
              <w:ind w:left="449" w:leftChars="0" w:firstLine="190" w:firstLineChars="100"/>
              <w:jc w:val="center"/>
              <w:rPr>
                <w:rFonts w:hint="eastAsia" w:ascii="微软雅黑" w:hAnsi="微软雅黑" w:eastAsia="微软雅黑" w:cs="微软雅黑"/>
                <w:snapToGrid w:val="0"/>
                <w:color w:val="000000"/>
                <w:kern w:val="0"/>
                <w:sz w:val="19"/>
                <w:szCs w:val="19"/>
                <w:lang w:val="en-US" w:eastAsia="zh-CN" w:bidi="ar-SA"/>
              </w:rPr>
            </w:pP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rPr>
                <w:rFonts w:hint="eastAsia" w:asciiTheme="majorEastAsia" w:hAnsiTheme="majorEastAsia" w:eastAsiaTheme="majorEastAsia" w:cstheme="majorEastAsia"/>
                <w:spacing w:val="25"/>
                <w:sz w:val="19"/>
                <w:szCs w:val="19"/>
                <w:lang w:val="en-US" w:eastAsia="zh-CN"/>
              </w:rPr>
            </w:pPr>
            <w:r>
              <w:rPr>
                <w:rFonts w:hint="eastAsia" w:asciiTheme="majorEastAsia" w:hAnsiTheme="majorEastAsia" w:eastAsiaTheme="majorEastAsia" w:cstheme="majorEastAsia"/>
                <w:spacing w:val="25"/>
                <w:sz w:val="19"/>
                <w:szCs w:val="19"/>
                <w:lang w:val="en-US" w:eastAsia="zh-CN"/>
              </w:rPr>
              <w:t>上周富时中国A50指数周跌0.02%至12117.21点；新交所富时A50期指主力合约周涨0.02%至12132点。政海外预期波动，美股降息时点及幅度不确定性上升，扩大全球风险资产波动，离岸人民币亦波动放大，叠加短线资金获利兑现，市场做多情绪近日明显降温。基本面上，国内政策平稳落地、与市场预期一致，财政政策力度中性、房地产延续弱势、经济持续修复但结构性改善仍需时间。策略上，短线观望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tcBorders>
              <w:top w:val="dotted" w:color="auto" w:sz="4" w:space="0"/>
              <w:left w:val="single" w:color="FFFFFF" w:sz="4" w:space="0"/>
              <w:bottom w:val="dotted" w:color="auto" w:sz="4" w:space="0"/>
              <w:right w:val="dotted" w:color="auto" w:sz="4" w:space="0"/>
            </w:tcBorders>
            <w:shd w:val="clear" w:color="auto" w:fill="C7DAF1" w:themeFill="text2" w:themeFillTint="32"/>
            <w:vAlign w:val="center"/>
          </w:tcPr>
          <w:p>
            <w:pPr>
              <w:pStyle w:val="9"/>
              <w:widowControl w:val="0"/>
              <w:spacing w:before="230" w:line="191" w:lineRule="auto"/>
              <w:jc w:val="center"/>
              <w:rPr>
                <w:b/>
                <w:bCs/>
                <w:sz w:val="19"/>
                <w:szCs w:val="19"/>
              </w:rPr>
            </w:pPr>
            <w:r>
              <w:rPr>
                <w:rFonts w:hint="eastAsia"/>
                <w:b/>
                <w:bCs/>
                <w:sz w:val="19"/>
                <w:szCs w:val="19"/>
              </w:rPr>
              <w:t>S&amp;P500</w:t>
            </w:r>
          </w:p>
          <w:p>
            <w:pPr>
              <w:pStyle w:val="9"/>
              <w:widowControl w:val="0"/>
              <w:spacing w:before="230" w:line="191" w:lineRule="auto"/>
              <w:jc w:val="center"/>
              <w:rPr>
                <w:rFonts w:hint="eastAsia" w:ascii="微软雅黑" w:hAnsi="微软雅黑" w:eastAsia="微软雅黑" w:cs="微软雅黑"/>
                <w:snapToGrid w:val="0"/>
                <w:color w:val="000000"/>
                <w:kern w:val="0"/>
                <w:sz w:val="19"/>
                <w:szCs w:val="19"/>
                <w:lang w:val="en-US" w:eastAsia="zh-CN" w:bidi="ar-SA"/>
              </w:rPr>
            </w:pPr>
          </w:p>
        </w:tc>
        <w:tc>
          <w:tcPr>
            <w:tcW w:w="9039" w:type="dxa"/>
            <w:tcBorders>
              <w:top w:val="dotted" w:color="auto" w:sz="4" w:space="0"/>
              <w:left w:val="dotted" w:color="auto" w:sz="4" w:space="0"/>
              <w:bottom w:val="dotted" w:color="auto" w:sz="4" w:space="0"/>
              <w:right w:val="single" w:color="FFFFFF" w:sz="4" w:space="0"/>
            </w:tcBorders>
            <w:shd w:val="clear" w:color="auto" w:fill="E6EFFB"/>
          </w:tcPr>
          <w:p>
            <w:pPr>
              <w:widowControl w:val="0"/>
              <w:spacing w:before="120" w:line="240" w:lineRule="auto"/>
              <w:rPr>
                <w:rFonts w:hint="eastAsia" w:asciiTheme="majorEastAsia" w:hAnsiTheme="majorEastAsia" w:eastAsiaTheme="majorEastAsia" w:cstheme="majorEastAsia"/>
                <w:spacing w:val="25"/>
                <w:sz w:val="19"/>
                <w:szCs w:val="19"/>
                <w:lang w:val="en-US" w:eastAsia="zh-CN"/>
              </w:rPr>
            </w:pPr>
            <w:r>
              <w:rPr>
                <w:rFonts w:hint="eastAsia" w:asciiTheme="majorEastAsia" w:hAnsiTheme="majorEastAsia" w:eastAsiaTheme="majorEastAsia" w:cstheme="majorEastAsia"/>
                <w:spacing w:val="25"/>
                <w:sz w:val="19"/>
                <w:szCs w:val="19"/>
                <w:lang w:val="en-US" w:eastAsia="zh-CN"/>
              </w:rPr>
              <w:t>上周标普500指数周涨2.29%至5234.18点；迷你标普500主力合约周涨2.05%至5289.75点。本周三美联储宣布维持利率不变，并预计今年仍将降息三次。在本周早些时候的会议上， FOMC预计今年可能降息三次、每次降息四分之一个百分点。美联储主席杰罗姆-鲍威尔表示，通胀回落和强劲的经济为政策制定者提供了降息空间。策略上，逢低试多。</w:t>
            </w:r>
          </w:p>
          <w:p>
            <w:pPr>
              <w:widowControl w:val="0"/>
              <w:spacing w:before="120" w:line="240" w:lineRule="auto"/>
              <w:rPr>
                <w:rFonts w:hint="eastAsia" w:asciiTheme="majorEastAsia" w:hAnsiTheme="majorEastAsia" w:eastAsiaTheme="majorEastAsia" w:cstheme="majorEastAsia"/>
                <w:spacing w:val="25"/>
                <w:sz w:val="19"/>
                <w:szCs w:val="19"/>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tcBorders>
              <w:top w:val="dotted" w:color="auto" w:sz="4" w:space="0"/>
              <w:left w:val="single" w:color="FFFFFF" w:sz="4" w:space="0"/>
              <w:bottom w:val="dotted" w:color="auto" w:sz="4" w:space="0"/>
              <w:right w:val="dotted" w:color="auto" w:sz="4" w:space="0"/>
            </w:tcBorders>
            <w:shd w:val="clear" w:color="auto" w:fill="C7DAF1" w:themeFill="text2" w:themeFillTint="32"/>
            <w:vAlign w:val="center"/>
          </w:tcPr>
          <w:p>
            <w:pPr>
              <w:pStyle w:val="9"/>
              <w:widowControl w:val="0"/>
              <w:spacing w:before="231" w:line="191" w:lineRule="auto"/>
              <w:ind w:left="449" w:leftChars="0"/>
              <w:jc w:val="both"/>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铁矿石</w:t>
            </w: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rPr>
                <w:rFonts w:hint="eastAsia" w:asciiTheme="majorEastAsia" w:hAnsiTheme="majorEastAsia" w:eastAsiaTheme="majorEastAsia" w:cstheme="majorEastAsia"/>
                <w:spacing w:val="25"/>
                <w:sz w:val="19"/>
                <w:szCs w:val="19"/>
                <w:lang w:val="en-US" w:eastAsia="zh-CN"/>
              </w:rPr>
            </w:pPr>
            <w:r>
              <w:rPr>
                <w:rFonts w:hint="eastAsia" w:asciiTheme="majorEastAsia" w:hAnsiTheme="majorEastAsia" w:eastAsiaTheme="majorEastAsia" w:cstheme="majorEastAsia"/>
                <w:spacing w:val="25"/>
                <w:sz w:val="19"/>
                <w:szCs w:val="19"/>
                <w:lang w:val="en-US" w:eastAsia="zh-CN"/>
              </w:rPr>
              <w:t>上周铁矿石期价止跌向上走高。随着钢价持续走高，同时国内以旧换新和大规模的设备更新政策信号带来提振，支撑矿价向上扩大涨幅。供应端，国内铁矿石港口库存继续增加，目前已上升至1.44亿吨，较去年同期增加761万吨，当前钢厂持观望态度较多，采购较为谨慎。需求端近期部分钢厂执行限产计划，但我们发现钢厂高炉开工率及产能利用率还是小幅上调，对铁矿石现货需求构成支撑。整体上多空因素交织，铁矿石价格或陷入区间宽幅整理。目前铁矿石港口库存持续增加，供应相对宽松。虽然当前钢厂高炉开工率和产能利用率变化不大，但后市复产预期较强将增加铁矿石现货需求。</w:t>
            </w:r>
          </w:p>
          <w:p>
            <w:pPr>
              <w:widowControl w:val="0"/>
              <w:spacing w:before="120" w:line="240" w:lineRule="auto"/>
              <w:rPr>
                <w:rFonts w:hint="eastAsia" w:asciiTheme="majorEastAsia" w:hAnsiTheme="majorEastAsia" w:eastAsiaTheme="majorEastAsia" w:cstheme="majorEastAsia"/>
                <w:spacing w:val="25"/>
                <w:sz w:val="19"/>
                <w:szCs w:val="19"/>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tcBorders>
              <w:top w:val="dotted" w:color="auto" w:sz="4" w:space="0"/>
              <w:left w:val="single" w:color="FFFFFF" w:sz="4" w:space="0"/>
              <w:bottom w:val="dotted" w:color="auto" w:sz="4" w:space="0"/>
              <w:right w:val="dotted" w:color="auto" w:sz="4" w:space="0"/>
            </w:tcBorders>
            <w:shd w:val="clear" w:color="auto" w:fill="C7DAF1" w:themeFill="text2" w:themeFillTint="32"/>
            <w:vAlign w:val="center"/>
          </w:tcPr>
          <w:p>
            <w:pPr>
              <w:pStyle w:val="9"/>
              <w:widowControl w:val="0"/>
              <w:spacing w:before="232" w:line="191" w:lineRule="auto"/>
              <w:jc w:val="center"/>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LME铜</w:t>
            </w:r>
          </w:p>
        </w:tc>
        <w:tc>
          <w:tcPr>
            <w:tcW w:w="9039" w:type="dxa"/>
            <w:tcBorders>
              <w:top w:val="dotted" w:color="auto" w:sz="4" w:space="0"/>
              <w:left w:val="dotted" w:color="auto" w:sz="4" w:space="0"/>
              <w:bottom w:val="dotted" w:color="auto" w:sz="4" w:space="0"/>
              <w:right w:val="single" w:color="FFFFFF" w:sz="4" w:space="0"/>
            </w:tcBorders>
            <w:shd w:val="clear" w:color="auto" w:fill="E6EFFB"/>
          </w:tcPr>
          <w:p>
            <w:pPr>
              <w:widowControl w:val="0"/>
              <w:spacing w:before="120" w:line="240" w:lineRule="auto"/>
              <w:rPr>
                <w:rFonts w:hint="eastAsia" w:asciiTheme="majorEastAsia" w:hAnsiTheme="majorEastAsia" w:eastAsiaTheme="majorEastAsia" w:cstheme="majorEastAsia"/>
                <w:spacing w:val="25"/>
                <w:sz w:val="19"/>
                <w:szCs w:val="19"/>
                <w:lang w:val="en-US" w:eastAsia="zh-CN"/>
              </w:rPr>
            </w:pPr>
            <w:r>
              <w:rPr>
                <w:rFonts w:hint="eastAsia" w:asciiTheme="majorEastAsia" w:hAnsiTheme="majorEastAsia" w:eastAsiaTheme="majorEastAsia" w:cstheme="majorEastAsia"/>
                <w:spacing w:val="25"/>
                <w:sz w:val="19"/>
                <w:szCs w:val="19"/>
                <w:lang w:val="en-US" w:eastAsia="zh-CN"/>
              </w:rPr>
              <w:t>市场开始考虑美联储将较晚降息的可能性，美元指数继续走强。国际方面，亚特兰大联储主席博斯蒂克当地时间周五发表讲话称，他现在预计2024年将降息一次，幅度为25个基点，低于此前预期的两次。他预计降息会发生在今年晚些时候。国内方面，国务院总理李强表示，依法保护各类企业合法权益，稳步推进制度型开放，将加大宏观政策调节力度，进一步推进全国统一大市场建设。基本面上，供给端1-2月表观消费量整体小幅下降，加之铜矿端的偏紧供应会致使冶炼厂减产预期提升，需求上来看，下游铜材加工厂对精铜的价格接受度和外采情况或因价格的走高而有所影响。整体来看，宏观环境呈现偏暖局面，供给预期偏紧，而需求在政策指引下预期提振。</w:t>
            </w:r>
          </w:p>
          <w:p>
            <w:pPr>
              <w:widowControl w:val="0"/>
              <w:spacing w:before="120" w:line="240" w:lineRule="auto"/>
              <w:rPr>
                <w:rFonts w:hint="eastAsia" w:asciiTheme="majorEastAsia" w:hAnsiTheme="majorEastAsia" w:eastAsiaTheme="majorEastAsia" w:cstheme="majorEastAsia"/>
                <w:spacing w:val="25"/>
                <w:sz w:val="19"/>
                <w:szCs w:val="19"/>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6" w:hRule="atLeast"/>
        </w:trPr>
        <w:tc>
          <w:tcPr>
            <w:tcW w:w="1744" w:type="dxa"/>
            <w:tcBorders>
              <w:top w:val="dotted" w:color="auto" w:sz="4" w:space="0"/>
              <w:left w:val="single" w:color="FFFFFF" w:sz="4" w:space="0"/>
              <w:bottom w:val="dotted" w:color="auto" w:sz="4" w:space="0"/>
              <w:right w:val="dotted" w:color="auto" w:sz="4" w:space="0"/>
            </w:tcBorders>
            <w:shd w:val="clear" w:color="auto" w:fill="C7DAF1" w:themeFill="text2" w:themeFillTint="32"/>
            <w:vAlign w:val="center"/>
          </w:tcPr>
          <w:p>
            <w:pPr>
              <w:pStyle w:val="9"/>
              <w:widowControl w:val="0"/>
              <w:spacing w:before="232" w:line="191" w:lineRule="auto"/>
              <w:jc w:val="center"/>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CBOT大豆</w:t>
            </w: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rPr>
                <w:rFonts w:hint="eastAsia" w:asciiTheme="majorEastAsia" w:hAnsiTheme="majorEastAsia" w:eastAsiaTheme="majorEastAsia" w:cstheme="majorEastAsia"/>
                <w:spacing w:val="25"/>
                <w:sz w:val="19"/>
                <w:szCs w:val="19"/>
                <w:lang w:val="en-US" w:eastAsia="zh-CN"/>
              </w:rPr>
            </w:pPr>
            <w:r>
              <w:rPr>
                <w:rFonts w:hint="eastAsia" w:asciiTheme="majorEastAsia" w:hAnsiTheme="majorEastAsia" w:eastAsiaTheme="majorEastAsia" w:cstheme="majorEastAsia"/>
                <w:spacing w:val="25"/>
                <w:sz w:val="19"/>
                <w:szCs w:val="19"/>
                <w:lang w:val="en-US" w:eastAsia="zh-CN"/>
              </w:rPr>
              <w:t>上周美豆下跌0.56%。Safras&amp;Mercado预计巴西大豆产量为1.486亿吨，较2月预测值下调0.32%，较上年创纪录的1.578亿吨低5.8%。巴西新豆收割已过六成，尽管产量低于去年，但仍处于历史偏高水平，而且阿根廷大豆产量较上年翻番，全球远期大豆供应保持宽松格局。美国全国油籽加工商协会(NOPA)发布的月报显示，美国2月大豆压榨量为1.86194亿蒲式耳，为历年同期最高水平，环比增加0.2%，同比增幅达到12.6%。美国国内需求保持旺盛，部分缓解美豆出口低迷对价格的影响。盘面来看，美豆虽然有所反弹，不过目前来看，反弹力度受限，在全球大豆供应仍偏宽松的背景下，后期继续反弹力度有限，或限制豆类走势。</w:t>
            </w:r>
          </w:p>
          <w:p>
            <w:pPr>
              <w:widowControl w:val="0"/>
              <w:spacing w:before="120" w:line="240" w:lineRule="auto"/>
              <w:rPr>
                <w:rFonts w:hint="eastAsia" w:asciiTheme="majorEastAsia" w:hAnsiTheme="majorEastAsia" w:eastAsiaTheme="majorEastAsia" w:cstheme="majorEastAsia"/>
                <w:spacing w:val="25"/>
                <w:sz w:val="19"/>
                <w:szCs w:val="19"/>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trPr>
        <w:tc>
          <w:tcPr>
            <w:tcW w:w="1744" w:type="dxa"/>
            <w:tcBorders>
              <w:top w:val="dotted" w:color="auto" w:sz="4" w:space="0"/>
              <w:left w:val="single" w:color="FFFFFF" w:sz="4" w:space="0"/>
              <w:bottom w:val="dotted" w:color="auto" w:sz="4" w:space="0"/>
              <w:right w:val="dotted" w:color="auto" w:sz="4" w:space="0"/>
            </w:tcBorders>
            <w:shd w:val="clear" w:color="auto" w:fill="C7DAF1" w:themeFill="text2" w:themeFillTint="32"/>
            <w:vAlign w:val="center"/>
          </w:tcPr>
          <w:p>
            <w:pPr>
              <w:pStyle w:val="9"/>
              <w:widowControl w:val="0"/>
              <w:spacing w:before="234" w:line="191" w:lineRule="auto"/>
              <w:jc w:val="center"/>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原油</w:t>
            </w:r>
          </w:p>
        </w:tc>
        <w:tc>
          <w:tcPr>
            <w:tcW w:w="9039" w:type="dxa"/>
            <w:tcBorders>
              <w:top w:val="dotted" w:color="auto" w:sz="4" w:space="0"/>
              <w:left w:val="dotted" w:color="auto" w:sz="4" w:space="0"/>
              <w:bottom w:val="dotted" w:color="auto" w:sz="4" w:space="0"/>
              <w:right w:val="single" w:color="FFFFFF" w:sz="4" w:space="0"/>
            </w:tcBorders>
            <w:shd w:val="clear" w:color="auto" w:fill="E6EFFB"/>
          </w:tcPr>
          <w:p>
            <w:pPr>
              <w:widowControl w:val="0"/>
              <w:spacing w:before="120" w:line="240" w:lineRule="auto"/>
              <w:rPr>
                <w:rFonts w:hint="eastAsia" w:ascii="微软雅黑" w:hAnsi="微软雅黑" w:eastAsia="微软雅黑" w:cs="微软雅黑"/>
                <w:b/>
                <w:bCs/>
                <w:color w:val="000000"/>
                <w:spacing w:val="10"/>
                <w:sz w:val="28"/>
                <w:szCs w:val="28"/>
                <w:vertAlign w:val="baseline"/>
                <w:lang w:val="en-US" w:eastAsia="zh-CN"/>
              </w:rPr>
            </w:pPr>
            <w:r>
              <w:rPr>
                <w:rFonts w:hint="eastAsia" w:asciiTheme="majorEastAsia" w:hAnsiTheme="majorEastAsia" w:eastAsiaTheme="majorEastAsia" w:cstheme="majorEastAsia"/>
                <w:spacing w:val="25"/>
                <w:sz w:val="19"/>
                <w:szCs w:val="19"/>
                <w:lang w:val="en-US" w:eastAsia="zh-CN"/>
              </w:rPr>
              <w:t>美联储维持利率不变，但预计2024年将降息75基点，市场对于美联储6月降息概率略有上升，瑞士央行意外降息提振美元，美元指数先抑后扬。欧佩克联盟产油国将自愿减产措施延长到二季度，沙特将自愿减产100万桶/日，俄罗斯将在二季度自愿削减供应47.1万桶/日。美国炼厂开工继续回升，原油及汽油库存下降；俄罗斯炼厂频遭袭击，炼厂开工下降而原油出口增加。整体上，欧佩克联盟减产及地缘局势支撑油市，市场权衡地缘局势及需求前景，短线原油期价呈现高位震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744" w:type="dxa"/>
            <w:tcBorders>
              <w:top w:val="dotted" w:color="auto" w:sz="4" w:space="0"/>
              <w:left w:val="single" w:color="FFFFFF" w:sz="4" w:space="0"/>
              <w:bottom w:val="dotted" w:color="auto" w:sz="4" w:space="0"/>
              <w:right w:val="dotted" w:color="auto" w:sz="4" w:space="0"/>
            </w:tcBorders>
            <w:shd w:val="clear" w:color="auto" w:fill="C7DAF1" w:themeFill="text2" w:themeFillTint="32"/>
            <w:vAlign w:val="center"/>
          </w:tcPr>
          <w:p>
            <w:pPr>
              <w:pStyle w:val="9"/>
              <w:widowControl w:val="0"/>
              <w:spacing w:before="234" w:line="191" w:lineRule="auto"/>
              <w:jc w:val="center"/>
              <w:rPr>
                <w:rFonts w:hint="eastAsia" w:ascii="微软雅黑" w:hAnsi="微软雅黑" w:eastAsia="微软雅黑" w:cs="微软雅黑"/>
                <w:snapToGrid w:val="0"/>
                <w:color w:val="000000"/>
                <w:kern w:val="0"/>
                <w:sz w:val="19"/>
                <w:szCs w:val="19"/>
                <w:lang w:val="en-US" w:eastAsia="zh-CN" w:bidi="ar-SA"/>
              </w:rPr>
            </w:pPr>
            <w:r>
              <w:rPr>
                <w:b/>
                <w:bCs/>
                <w:sz w:val="19"/>
                <w:szCs w:val="19"/>
              </w:rPr>
              <w:t>ICE原糖</w:t>
            </w: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jc w:val="both"/>
              <w:rPr>
                <w:rFonts w:hint="eastAsia" w:ascii="微软雅黑" w:hAnsi="微软雅黑" w:eastAsia="微软雅黑" w:cs="微软雅黑"/>
                <w:b/>
                <w:bCs/>
                <w:color w:val="000000"/>
                <w:spacing w:val="10"/>
                <w:sz w:val="28"/>
                <w:szCs w:val="28"/>
                <w:vertAlign w:val="baseline"/>
                <w:lang w:val="en-US" w:eastAsia="zh-CN"/>
              </w:rPr>
            </w:pPr>
            <w:r>
              <w:rPr>
                <w:rFonts w:hint="eastAsia" w:ascii="宋体" w:hAnsi="宋体" w:eastAsia="宋体" w:cs="宋体"/>
                <w:spacing w:val="25"/>
                <w:sz w:val="19"/>
                <w:szCs w:val="19"/>
                <w:lang w:val="en-US" w:eastAsia="zh-CN"/>
              </w:rPr>
              <w:t>上周美糖5月合约期价下探回升，周度跌幅约0.40%。新榨季巴西产区甘蔗即将压榨，产区降雨量明显偏少，市场对新榨季产量不断下修可能，支撑原糖市场。巴西对外贸易秘书处公布的出口数据显示，巴西3月前三周出口糖及糖蜜157.71万吨，日均出口量为14.34万吨，较上年3月全月的日均出口量7.95万吨增加80%，巴西糖出口量仍较大，但同比增幅有所放缓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7" w:hRule="atLeast"/>
        </w:trPr>
        <w:tc>
          <w:tcPr>
            <w:tcW w:w="1744" w:type="dxa"/>
            <w:tcBorders>
              <w:top w:val="dotted" w:color="auto" w:sz="4" w:space="0"/>
              <w:left w:val="single" w:color="FFFFFF" w:sz="4" w:space="0"/>
              <w:bottom w:val="dotted" w:color="auto" w:sz="4" w:space="0"/>
              <w:right w:val="dotted" w:color="auto" w:sz="4" w:space="0"/>
            </w:tcBorders>
            <w:shd w:val="clear" w:color="auto" w:fill="C7DAF1" w:themeFill="text2" w:themeFillTint="32"/>
            <w:vAlign w:val="center"/>
          </w:tcPr>
          <w:p>
            <w:pPr>
              <w:pStyle w:val="9"/>
              <w:widowControl w:val="0"/>
              <w:spacing w:before="234" w:line="191" w:lineRule="auto"/>
              <w:jc w:val="center"/>
              <w:rPr>
                <w:rFonts w:hint="eastAsia" w:ascii="微软雅黑" w:hAnsi="微软雅黑" w:eastAsia="微软雅黑" w:cs="微软雅黑"/>
                <w:b/>
                <w:bCs/>
                <w:snapToGrid w:val="0"/>
                <w:color w:val="000000"/>
                <w:spacing w:val="3"/>
                <w:kern w:val="0"/>
                <w:sz w:val="19"/>
                <w:szCs w:val="19"/>
                <w:lang w:val="en-US" w:eastAsia="zh-CN" w:bidi="ar-SA"/>
              </w:rPr>
            </w:pPr>
            <w:r>
              <w:rPr>
                <w:b/>
                <w:bCs/>
                <w:sz w:val="19"/>
                <w:szCs w:val="19"/>
              </w:rPr>
              <w:t>ICE</w:t>
            </w:r>
            <w:r>
              <w:rPr>
                <w:rFonts w:hint="eastAsia"/>
                <w:b/>
                <w:bCs/>
                <w:sz w:val="19"/>
                <w:szCs w:val="19"/>
                <w:lang w:val="en-US" w:eastAsia="zh-CN"/>
              </w:rPr>
              <w:t>棉花</w:t>
            </w:r>
          </w:p>
        </w:tc>
        <w:tc>
          <w:tcPr>
            <w:tcW w:w="9039" w:type="dxa"/>
            <w:tcBorders>
              <w:top w:val="dotted" w:color="auto" w:sz="4" w:space="0"/>
              <w:left w:val="dotted" w:color="auto" w:sz="4" w:space="0"/>
              <w:bottom w:val="dotted" w:color="auto" w:sz="4" w:space="0"/>
              <w:right w:val="single" w:color="FFFFFF" w:sz="4" w:space="0"/>
            </w:tcBorders>
            <w:shd w:val="clear" w:color="auto" w:fill="E6EFFB"/>
          </w:tcPr>
          <w:p>
            <w:pPr>
              <w:widowControl w:val="0"/>
              <w:spacing w:before="120" w:line="240" w:lineRule="auto"/>
              <w:rPr>
                <w:rFonts w:hint="eastAsia" w:ascii="微软雅黑" w:hAnsi="微软雅黑" w:eastAsia="微软雅黑" w:cs="微软雅黑"/>
                <w:b/>
                <w:bCs/>
                <w:color w:val="000000"/>
                <w:spacing w:val="10"/>
                <w:sz w:val="28"/>
                <w:szCs w:val="28"/>
                <w:vertAlign w:val="baseline"/>
                <w:lang w:val="en-US" w:eastAsia="zh-CN"/>
              </w:rPr>
            </w:pPr>
            <w:r>
              <w:rPr>
                <w:rFonts w:hint="eastAsia" w:ascii="宋体" w:hAnsi="宋体" w:eastAsia="宋体" w:cs="宋体"/>
                <w:spacing w:val="25"/>
                <w:sz w:val="19"/>
                <w:szCs w:val="19"/>
                <w:lang w:val="en-US" w:eastAsia="zh-CN"/>
              </w:rPr>
              <w:t>上周美棉5月合约价格下跌，周度跌幅约2.08%。上周美棉出口数据转好，棉价下方存一定支撑，后市预计低位运行为主。美国农业部(USDA)报告显示，2024年3月8-14日，2023/24年度美国陆地棉出口签约量21020吨，较前周增长8%，但较前4周平均水平增长20%；2023/24年度美国陆地棉出口装运量90187吨，创下销售年度新高，较前周增长36%，较前4周平均水平增长39%，当周美棉出口签约较前周增长明显，装运量创年度新高，美棉出口销售相对利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744" w:type="dxa"/>
            <w:tcBorders>
              <w:top w:val="dotted" w:color="auto" w:sz="4" w:space="0"/>
              <w:left w:val="single" w:color="FFFFFF" w:sz="4" w:space="0"/>
              <w:bottom w:val="dotted" w:color="auto" w:sz="4" w:space="0"/>
              <w:right w:val="dotted" w:color="auto" w:sz="4" w:space="0"/>
            </w:tcBorders>
            <w:shd w:val="clear" w:color="auto" w:fill="B8CCE4" w:themeFill="accent1" w:themeFillTint="66"/>
            <w:vAlign w:val="center"/>
          </w:tcPr>
          <w:p>
            <w:pPr>
              <w:pStyle w:val="9"/>
              <w:widowControl w:val="0"/>
              <w:spacing w:before="234" w:line="191" w:lineRule="auto"/>
              <w:jc w:val="center"/>
              <w:rPr>
                <w:rFonts w:hint="eastAsia" w:ascii="微软雅黑" w:hAnsi="微软雅黑" w:eastAsia="微软雅黑" w:cs="微软雅黑"/>
                <w:b/>
                <w:bCs/>
                <w:snapToGrid w:val="0"/>
                <w:color w:val="000000"/>
                <w:kern w:val="0"/>
                <w:sz w:val="19"/>
                <w:szCs w:val="19"/>
                <w:lang w:val="en-US" w:eastAsia="zh-CN" w:bidi="ar-SA"/>
              </w:rPr>
            </w:pPr>
            <w:r>
              <w:rPr>
                <w:rFonts w:hint="eastAsia"/>
                <w:b/>
                <w:bCs/>
                <w:sz w:val="19"/>
                <w:szCs w:val="19"/>
                <w:lang w:val="en-US" w:eastAsia="zh-CN"/>
              </w:rPr>
              <w:t>美元指数</w:t>
            </w: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rPr>
                <w:rFonts w:hint="eastAsia" w:ascii="微软雅黑" w:hAnsi="微软雅黑" w:eastAsia="微软雅黑" w:cs="微软雅黑"/>
                <w:b/>
                <w:bCs/>
                <w:color w:val="000000"/>
                <w:spacing w:val="10"/>
                <w:sz w:val="28"/>
                <w:szCs w:val="28"/>
                <w:vertAlign w:val="baseline"/>
                <w:lang w:val="en-US" w:eastAsia="zh-CN"/>
              </w:rPr>
            </w:pPr>
            <w:r>
              <w:rPr>
                <w:rFonts w:hint="eastAsia" w:ascii="宋体" w:hAnsi="宋体" w:eastAsia="宋体" w:cs="宋体"/>
                <w:spacing w:val="25"/>
                <w:sz w:val="19"/>
                <w:szCs w:val="19"/>
                <w:lang w:val="en-US" w:eastAsia="zh-CN"/>
              </w:rPr>
              <w:t>上周美联储及英国央行于3月会议将利率水平维持不变，但瑞士央行意外降息导致市场提高了其他G10非美国家早于美国降息的预期，利差受影响有所扩大。除此之外，美国最新经济数据再次显示整体经济活跃度有所回升，同时制造业持续复苏，或给予未来商品价格一定支撑。未来美国与非美国家经济增速差异以及利率预期差异或持续走阔，美元指数或将得到一定提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8" w:hRule="atLeast"/>
        </w:trPr>
        <w:tc>
          <w:tcPr>
            <w:tcW w:w="1744" w:type="dxa"/>
            <w:tcBorders>
              <w:top w:val="dotted" w:color="auto" w:sz="4" w:space="0"/>
              <w:left w:val="single" w:color="FFFFFF" w:sz="4" w:space="0"/>
              <w:bottom w:val="single" w:color="2169C1" w:sz="4" w:space="0"/>
              <w:right w:val="dotted" w:color="auto" w:sz="4" w:space="0"/>
            </w:tcBorders>
            <w:shd w:val="clear" w:color="auto" w:fill="B8CCE4" w:themeFill="accent1" w:themeFillTint="66"/>
            <w:vAlign w:val="center"/>
          </w:tcPr>
          <w:p>
            <w:pPr>
              <w:pStyle w:val="9"/>
              <w:widowControl w:val="0"/>
              <w:spacing w:before="234" w:line="191" w:lineRule="auto"/>
              <w:jc w:val="center"/>
              <w:rPr>
                <w:rFonts w:hint="eastAsia" w:ascii="微软雅黑" w:hAnsi="微软雅黑" w:eastAsia="微软雅黑" w:cs="微软雅黑"/>
                <w:b/>
                <w:bCs/>
                <w:snapToGrid w:val="0"/>
                <w:color w:val="000000"/>
                <w:kern w:val="0"/>
                <w:sz w:val="19"/>
                <w:szCs w:val="19"/>
                <w:lang w:val="en-US" w:eastAsia="zh-CN" w:bidi="ar-SA"/>
              </w:rPr>
            </w:pPr>
            <w:r>
              <w:rPr>
                <w:rFonts w:hint="eastAsia"/>
                <w:b/>
                <w:bCs/>
                <w:sz w:val="19"/>
                <w:szCs w:val="19"/>
                <w:lang w:val="en-US" w:eastAsia="zh-CN"/>
              </w:rPr>
              <w:t>贵金属</w:t>
            </w:r>
          </w:p>
        </w:tc>
        <w:tc>
          <w:tcPr>
            <w:tcW w:w="9039" w:type="dxa"/>
            <w:tcBorders>
              <w:top w:val="dotted" w:color="auto" w:sz="4" w:space="0"/>
              <w:left w:val="dotted" w:color="auto" w:sz="4" w:space="0"/>
              <w:bottom w:val="single" w:color="2169C1" w:sz="4" w:space="0"/>
              <w:right w:val="single" w:color="FFFFFF" w:sz="4" w:space="0"/>
            </w:tcBorders>
            <w:shd w:val="clear" w:color="auto" w:fill="DCE6F2" w:themeFill="accent1" w:themeFillTint="32"/>
          </w:tcPr>
          <w:p>
            <w:pPr>
              <w:widowControl w:val="0"/>
              <w:spacing w:before="120" w:line="240" w:lineRule="auto"/>
              <w:rPr>
                <w:rFonts w:hint="eastAsia" w:ascii="宋体" w:hAnsi="宋体" w:eastAsia="宋体" w:cs="宋体"/>
                <w:spacing w:val="25"/>
                <w:sz w:val="19"/>
                <w:szCs w:val="19"/>
                <w:lang w:val="en-US" w:eastAsia="zh-CN"/>
              </w:rPr>
            </w:pPr>
            <w:r>
              <w:rPr>
                <w:rFonts w:hint="eastAsia" w:ascii="宋体" w:hAnsi="宋体" w:eastAsia="宋体" w:cs="宋体"/>
                <w:spacing w:val="25"/>
                <w:sz w:val="19"/>
                <w:szCs w:val="19"/>
                <w:shd w:val="clear" w:fill="DCE6F2" w:themeFill="accent1" w:themeFillTint="32"/>
                <w:lang w:val="en-US" w:eastAsia="zh-CN"/>
              </w:rPr>
              <w:t>近期公布的美国pmi数据反映整体经济韧性尚存，且制造业相关指数持续复苏或给予未来商品价格一定支撑，通胀下行或将受阻的情况下市场有所上调美国利率预期。除此之外，上周瑞士央行意外降息使市场抬高g10非美国家提前降息的预期，未来美国与非美国家利差预期走阔或使美元指数持续得到提振，往后看，短期内美国与非美国家经济走势差异或使市场提高非 美央行提前降息的预期，美国与非美国家利差扩大或持续提振美元指数及美债收益率，贵金属价格或相对承压。</w:t>
            </w:r>
          </w:p>
        </w:tc>
      </w:tr>
    </w:tbl>
    <w:p>
      <w:pPr>
        <w:spacing w:before="120" w:line="190" w:lineRule="auto"/>
        <w:rPr>
          <w:rFonts w:hint="eastAsia" w:ascii="微软雅黑" w:hAnsi="微软雅黑" w:eastAsia="微软雅黑" w:cs="微软雅黑"/>
          <w:b/>
          <w:bCs/>
          <w:color w:val="036EB8"/>
          <w:spacing w:val="10"/>
          <w:sz w:val="28"/>
          <w:szCs w:val="28"/>
          <w:lang w:val="en-US" w:eastAsia="zh-CN"/>
        </w:rPr>
      </w:pPr>
    </w:p>
    <w:p>
      <w:pPr>
        <w:spacing w:before="120" w:line="190" w:lineRule="auto"/>
        <w:rPr>
          <w:rFonts w:hint="eastAsia" w:ascii="微软雅黑" w:hAnsi="微软雅黑" w:eastAsia="微软雅黑" w:cs="微软雅黑"/>
          <w:b/>
          <w:bCs/>
          <w:color w:val="036EB8"/>
          <w:spacing w:val="10"/>
          <w:sz w:val="28"/>
          <w:szCs w:val="28"/>
          <w:lang w:val="en-US" w:eastAsia="zh-CN"/>
        </w:rPr>
      </w:pPr>
    </w:p>
    <w:p>
      <w:pPr>
        <w:spacing w:before="120" w:line="190" w:lineRule="auto"/>
        <w:rPr>
          <w:rFonts w:hint="eastAsia" w:ascii="微软雅黑" w:hAnsi="微软雅黑" w:eastAsia="微软雅黑" w:cs="微软雅黑"/>
          <w:b/>
          <w:bCs/>
          <w:color w:val="036EB8"/>
          <w:spacing w:val="10"/>
          <w:sz w:val="28"/>
          <w:szCs w:val="28"/>
          <w:lang w:val="en-US" w:eastAsia="zh-CN"/>
        </w:rPr>
      </w:pPr>
    </w:p>
    <w:p>
      <w:pPr>
        <w:spacing w:before="120" w:line="190" w:lineRule="auto"/>
        <w:rPr>
          <w:rFonts w:hint="eastAsia" w:ascii="微软雅黑" w:hAnsi="微软雅黑" w:eastAsia="微软雅黑" w:cs="微软雅黑"/>
          <w:b/>
          <w:bCs/>
          <w:color w:val="036EB8"/>
          <w:spacing w:val="10"/>
          <w:sz w:val="28"/>
          <w:szCs w:val="28"/>
          <w:lang w:val="en-US" w:eastAsia="zh-CN"/>
        </w:rPr>
      </w:pPr>
    </w:p>
    <w:p>
      <w:pPr>
        <w:spacing w:before="120" w:line="190" w:lineRule="auto"/>
        <w:rPr>
          <w:rFonts w:hint="eastAsia" w:ascii="微软雅黑" w:hAnsi="微软雅黑" w:eastAsia="微软雅黑" w:cs="微软雅黑"/>
          <w:b/>
          <w:bCs/>
          <w:color w:val="036EB8"/>
          <w:spacing w:val="10"/>
          <w:sz w:val="28"/>
          <w:szCs w:val="28"/>
          <w:lang w:val="en-US" w:eastAsia="zh-CN"/>
        </w:rPr>
      </w:pPr>
    </w:p>
    <w:p>
      <w:pPr>
        <w:pStyle w:val="2"/>
        <w:spacing w:line="263" w:lineRule="auto"/>
      </w:pPr>
      <w:bookmarkStart w:id="0" w:name="_GoBack"/>
      <w:bookmarkEnd w:id="0"/>
    </w:p>
    <w:p>
      <w:pPr>
        <w:pStyle w:val="2"/>
        <w:spacing w:line="263" w:lineRule="auto"/>
      </w:pPr>
    </w:p>
    <w:p>
      <w:pPr>
        <w:pStyle w:val="2"/>
        <w:spacing w:line="263" w:lineRule="auto"/>
      </w:pPr>
    </w:p>
    <w:p>
      <w:pPr>
        <w:pStyle w:val="2"/>
        <w:spacing w:line="263" w:lineRule="auto"/>
        <w:rPr>
          <w:rFonts w:hint="default" w:ascii="微软雅黑" w:hAnsi="微软雅黑" w:eastAsia="微软雅黑" w:cs="微软雅黑"/>
          <w:color w:val="036EB8"/>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4"/>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ascii="微软雅黑" w:hAnsi="微软雅黑" w:eastAsia="微软雅黑" w:cs="微软雅黑"/>
          <w:b/>
          <w:bCs/>
          <w:color w:val="036EB8"/>
          <w:spacing w:val="10"/>
          <w:sz w:val="28"/>
          <w:szCs w:val="28"/>
        </w:rPr>
        <w:t>周度</w:t>
      </w:r>
      <w:r>
        <w:rPr>
          <w:rFonts w:hint="eastAsia" w:ascii="微软雅黑" w:hAnsi="微软雅黑" w:eastAsia="微软雅黑" w:cs="微软雅黑"/>
          <w:b/>
          <w:bCs/>
          <w:color w:val="036EB8"/>
          <w:spacing w:val="10"/>
          <w:sz w:val="28"/>
          <w:szCs w:val="28"/>
          <w:lang w:val="en-US" w:eastAsia="zh-CN"/>
        </w:rPr>
        <w:t>品种图表</w:t>
      </w:r>
    </w:p>
    <w:tbl>
      <w:tblPr>
        <w:tblStyle w:val="8"/>
        <w:tblW w:w="9416" w:type="dxa"/>
        <w:tblInd w:w="210" w:type="dxa"/>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Layout w:type="fixed"/>
        <w:tblCellMar>
          <w:top w:w="0" w:type="dxa"/>
          <w:left w:w="0" w:type="dxa"/>
          <w:bottom w:w="0" w:type="dxa"/>
          <w:right w:w="0" w:type="dxa"/>
        </w:tblCellMar>
      </w:tblPr>
      <w:tblGrid>
        <w:gridCol w:w="9416"/>
      </w:tblGrid>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3516" w:hRule="atLeast"/>
        </w:trPr>
        <w:tc>
          <w:tcPr>
            <w:tcW w:w="9416" w:type="dxa"/>
            <w:vAlign w:val="top"/>
          </w:tcPr>
          <w:p>
            <w:pPr>
              <w:spacing w:line="4053" w:lineRule="exact"/>
              <w:jc w:val="center"/>
              <w:rPr>
                <w:rFonts w:hint="eastAsia" w:eastAsia="宋体"/>
                <w:lang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2946400</wp:posOffset>
                      </wp:positionH>
                      <wp:positionV relativeFrom="paragraph">
                        <wp:posOffset>2095500</wp:posOffset>
                      </wp:positionV>
                      <wp:extent cx="2849245" cy="287655"/>
                      <wp:effectExtent l="5080" t="4445" r="22225" b="12700"/>
                      <wp:wrapNone/>
                      <wp:docPr id="39" name="文本框 39"/>
                      <wp:cNvGraphicFramePr/>
                      <a:graphic xmlns:a="http://schemas.openxmlformats.org/drawingml/2006/main">
                        <a:graphicData uri="http://schemas.microsoft.com/office/word/2010/wordprocessingShape">
                          <wps:wsp>
                            <wps:cNvSpPr txBox="1"/>
                            <wps:spPr>
                              <a:xfrm>
                                <a:off x="0" y="0"/>
                                <a:ext cx="2849245"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图2 ：CFTC持仓情况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pt;margin-top:165pt;height:22.65pt;width:224.35pt;z-index:251663360;mso-width-relative:page;mso-height-relative:page;" fillcolor="#FFFFFF [3201]" filled="t" stroked="t" coordsize="21600,21600" o:gfxdata="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4Z1TNoAAAAL&#10;AQAADwAAAAAAAAABACAAAAAiAAAAZHJzL2Rvd25yZXYueG1sUEsBAhQAFAAAAAgAh07iQBJtEm1T&#10;AgAAugQAAA4AAAAAAAAAAQAgAAAAKQEAAGRycy9lMm9Eb2MueG1sUEsFBgAAAAAGAAYAWQEAAO4F&#10;AAAAAA==&#10;">
                      <v:fill on="t" focussize="0,0"/>
                      <v:stroke weight="0.5pt" color="#FFFFFF [3212]" joinstyle="round"/>
                      <v:imagedata o:title=""/>
                      <o:lock v:ext="edit" aspectratio="f"/>
                      <v:textbox>
                        <w:txbxContent>
                          <w:p>
                            <w:pPr>
                              <w:jc w:val="center"/>
                              <w:rPr>
                                <w:rFonts w:hint="default" w:eastAsia="宋体"/>
                                <w:lang w:val="en-US" w:eastAsia="zh-CN"/>
                              </w:rPr>
                            </w:pPr>
                            <w:r>
                              <w:rPr>
                                <w:rFonts w:hint="eastAsia" w:eastAsia="宋体"/>
                                <w:lang w:val="en-US" w:eastAsia="zh-CN"/>
                              </w:rPr>
                              <w:t>图2 ：CFTC持仓情况</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135890</wp:posOffset>
                      </wp:positionH>
                      <wp:positionV relativeFrom="paragraph">
                        <wp:posOffset>2115820</wp:posOffset>
                      </wp:positionV>
                      <wp:extent cx="2797175" cy="287655"/>
                      <wp:effectExtent l="0" t="0" r="3175" b="17145"/>
                      <wp:wrapNone/>
                      <wp:docPr id="38" name="文本框 38"/>
                      <wp:cNvGraphicFramePr/>
                      <a:graphic xmlns:a="http://schemas.openxmlformats.org/drawingml/2006/main">
                        <a:graphicData uri="http://schemas.microsoft.com/office/word/2010/wordprocessingShape">
                          <wps:wsp>
                            <wps:cNvSpPr txBox="1"/>
                            <wps:spPr>
                              <a:xfrm>
                                <a:off x="897890" y="4470400"/>
                                <a:ext cx="2797175"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图1 ：LME铜/CMX/SHFE活跃合约报价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7pt;margin-top:166.6pt;height:22.65pt;width:220.25pt;z-index:251662336;mso-width-relative:page;mso-height-relative:page;" fillcolor="#FFFFFF [3201]" filled="t" stroked="f" coordsize="21600,21600" o:gfxdata="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KVT5m&#10;1gAAAAoBAAAPAAAAAAAAAAEAIAAAACIAAABkcnMvZG93bnJldi54bWxQSwECFAAUAAAACACHTuJA&#10;tMCLi1wCAACcBAAADgAAAAAAAAABACAAAAAlAQAAZHJzL2Uyb0RvYy54bWxQSwUGAAAAAAYABgBZ&#10;AQAA8wU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图1 ：LME铜/CMX/SHFE活跃合约报价</w:t>
                            </w:r>
                          </w:p>
                        </w:txbxContent>
                      </v:textbox>
                    </v:shape>
                  </w:pict>
                </mc:Fallback>
              </mc:AlternateContent>
            </w:r>
            <w:r>
              <w:rPr>
                <w:rFonts w:hint="eastAsia" w:eastAsia="宋体"/>
                <w:lang w:eastAsia="zh-CN"/>
              </w:rPr>
              <w:drawing>
                <wp:inline distT="0" distB="0" distL="114300" distR="114300">
                  <wp:extent cx="2761615" cy="1943100"/>
                  <wp:effectExtent l="0" t="0" r="635" b="0"/>
                  <wp:docPr id="19" name="图片 19" descr="b58bef9c1752c6419315ef8b530b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58bef9c1752c6419315ef8b530b310"/>
                          <pic:cNvPicPr>
                            <a:picLocks noChangeAspect="1"/>
                          </pic:cNvPicPr>
                        </pic:nvPicPr>
                        <pic:blipFill>
                          <a:blip r:embed="rId15"/>
                          <a:stretch>
                            <a:fillRect/>
                          </a:stretch>
                        </pic:blipFill>
                        <pic:spPr>
                          <a:xfrm>
                            <a:off x="0" y="0"/>
                            <a:ext cx="2761615" cy="1943100"/>
                          </a:xfrm>
                          <a:prstGeom prst="rect">
                            <a:avLst/>
                          </a:prstGeom>
                        </pic:spPr>
                      </pic:pic>
                    </a:graphicData>
                  </a:graphic>
                </wp:inline>
              </w:drawing>
            </w:r>
            <w:r>
              <w:rPr>
                <w:rFonts w:hint="eastAsia" w:eastAsia="宋体"/>
                <w:lang w:eastAsia="zh-CN"/>
              </w:rPr>
              <w:drawing>
                <wp:inline distT="0" distB="0" distL="114300" distR="114300">
                  <wp:extent cx="2828290" cy="1934845"/>
                  <wp:effectExtent l="0" t="0" r="10160" b="8255"/>
                  <wp:docPr id="21" name="图片 21" descr="7c68d58def4331bc899e01c157ca1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c68d58def4331bc899e01c157ca1a1"/>
                          <pic:cNvPicPr>
                            <a:picLocks noChangeAspect="1"/>
                          </pic:cNvPicPr>
                        </pic:nvPicPr>
                        <pic:blipFill>
                          <a:blip r:embed="rId16"/>
                          <a:stretch>
                            <a:fillRect/>
                          </a:stretch>
                        </pic:blipFill>
                        <pic:spPr>
                          <a:xfrm>
                            <a:off x="0" y="0"/>
                            <a:ext cx="2828290" cy="1934845"/>
                          </a:xfrm>
                          <a:prstGeom prst="rect">
                            <a:avLst/>
                          </a:prstGeom>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jc w:val="center"/>
              <w:rPr>
                <w:rFonts w:hint="eastAsia" w:eastAsia="新宋体"/>
                <w:lang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3142615</wp:posOffset>
                      </wp:positionH>
                      <wp:positionV relativeFrom="paragraph">
                        <wp:posOffset>2124710</wp:posOffset>
                      </wp:positionV>
                      <wp:extent cx="2573020" cy="287655"/>
                      <wp:effectExtent l="0" t="0" r="17780" b="17145"/>
                      <wp:wrapNone/>
                      <wp:docPr id="43" name="文本框 43"/>
                      <wp:cNvGraphicFramePr/>
                      <a:graphic xmlns:a="http://schemas.openxmlformats.org/drawingml/2006/main">
                        <a:graphicData uri="http://schemas.microsoft.com/office/word/2010/wordprocessingShape">
                          <wps:wsp>
                            <wps:cNvSpPr txBox="1"/>
                            <wps:spPr>
                              <a:xfrm>
                                <a:off x="0" y="0"/>
                                <a:ext cx="25730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图4：IF/IH主力合约持仓量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7.45pt;margin-top:167.3pt;height:22.65pt;width:202.6pt;z-index:251665408;mso-width-relative:page;mso-height-relative:page;" fillcolor="#FFFFFF [3201]" filled="t" stroked="f" coordsize="21600,21600" o:gfxdata="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b7MB01gAAAAsBAAAPAAAA&#10;AAAAAAEAIAAAACIAAABkcnMvZG93bnJldi54bWxQSwECFAAUAAAACACHTuJAKNdXSVACAACRBAAA&#10;DgAAAAAAAAABACAAAAAlAQAAZHJzL2Uyb0RvYy54bWxQSwUGAAAAAAYABgBZAQAA5wU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图4：IF/IH主力合约持仓量</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236855</wp:posOffset>
                      </wp:positionH>
                      <wp:positionV relativeFrom="paragraph">
                        <wp:posOffset>2127885</wp:posOffset>
                      </wp:positionV>
                      <wp:extent cx="2849245" cy="287655"/>
                      <wp:effectExtent l="0" t="0" r="8255" b="17145"/>
                      <wp:wrapNone/>
                      <wp:docPr id="40" name="文本框 40"/>
                      <wp:cNvGraphicFramePr/>
                      <a:graphic xmlns:a="http://schemas.openxmlformats.org/drawingml/2006/main">
                        <a:graphicData uri="http://schemas.microsoft.com/office/word/2010/wordprocessingShape">
                          <wps:wsp>
                            <wps:cNvSpPr txBox="1"/>
                            <wps:spPr>
                              <a:xfrm>
                                <a:off x="0" y="0"/>
                                <a:ext cx="2849245"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图3：美国通胀水平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5pt;margin-top:167.55pt;height:22.65pt;width:224.35pt;z-index:251664384;mso-width-relative:page;mso-height-relative:page;" fillcolor="#FFFFFF [3201]" filled="t" stroked="f" coordsize="21600,21600" o:gfxdata="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u4w29YAAAAKAQAADwAA&#10;AAAAAAABACAAAAAiAAAAZHJzL2Rvd25yZXYueG1sUEsBAhQAFAAAAAgAh07iQDpyiwJRAgAAkQQA&#10;AA4AAAAAAAAAAQAgAAAAJQEAAGRycy9lMm9Eb2MueG1sUEsFBgAAAAAGAAYAWQEAAOgFA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图3：美国通胀水平</w:t>
                            </w:r>
                          </w:p>
                        </w:txbxContent>
                      </v:textbox>
                    </v:shape>
                  </w:pict>
                </mc:Fallback>
              </mc:AlternateContent>
            </w:r>
            <w:r>
              <w:rPr>
                <w:rFonts w:hint="eastAsia" w:eastAsia="新宋体"/>
                <w:lang w:eastAsia="zh-CN"/>
              </w:rPr>
              <w:drawing>
                <wp:inline distT="0" distB="0" distL="114300" distR="114300">
                  <wp:extent cx="3028315" cy="1922780"/>
                  <wp:effectExtent l="0" t="0" r="635" b="1270"/>
                  <wp:docPr id="35" name="图片 35" descr="bfbdccd99e26f0a5699201bad8aee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bfbdccd99e26f0a5699201bad8aee4f"/>
                          <pic:cNvPicPr>
                            <a:picLocks noChangeAspect="1"/>
                          </pic:cNvPicPr>
                        </pic:nvPicPr>
                        <pic:blipFill>
                          <a:blip r:embed="rId17"/>
                          <a:stretch>
                            <a:fillRect/>
                          </a:stretch>
                        </pic:blipFill>
                        <pic:spPr>
                          <a:xfrm>
                            <a:off x="0" y="0"/>
                            <a:ext cx="3028315" cy="1922780"/>
                          </a:xfrm>
                          <a:prstGeom prst="rect">
                            <a:avLst/>
                          </a:prstGeom>
                        </pic:spPr>
                      </pic:pic>
                    </a:graphicData>
                  </a:graphic>
                </wp:inline>
              </w:drawing>
            </w:r>
            <w:r>
              <w:rPr>
                <w:rFonts w:hint="eastAsia" w:eastAsia="新宋体"/>
                <w:lang w:eastAsia="zh-CN"/>
              </w:rPr>
              <w:drawing>
                <wp:inline distT="0" distB="0" distL="114300" distR="114300">
                  <wp:extent cx="2596515" cy="1946910"/>
                  <wp:effectExtent l="0" t="0" r="13335" b="15240"/>
                  <wp:docPr id="28" name="图片 28" descr="84bda48b619da34d5da39b64f3a5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84bda48b619da34d5da39b64f3a5309"/>
                          <pic:cNvPicPr>
                            <a:picLocks noChangeAspect="1"/>
                          </pic:cNvPicPr>
                        </pic:nvPicPr>
                        <pic:blipFill>
                          <a:blip r:embed="rId18"/>
                          <a:stretch>
                            <a:fillRect/>
                          </a:stretch>
                        </pic:blipFill>
                        <pic:spPr>
                          <a:xfrm>
                            <a:off x="0" y="0"/>
                            <a:ext cx="2596515" cy="1946910"/>
                          </a:xfrm>
                          <a:prstGeom prst="rect">
                            <a:avLst/>
                          </a:prstGeom>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ind w:firstLine="1470" w:firstLineChars="700"/>
              <w:jc w:val="both"/>
              <w:rPr>
                <w:rFonts w:ascii="宋体" w:hAnsi="宋体" w:eastAsia="宋体"/>
                <w:color w:val="000000"/>
                <w:szCs w:val="21"/>
              </w:rPr>
            </w:pPr>
          </w:p>
          <w:p>
            <w:pPr>
              <w:spacing w:line="4053" w:lineRule="exact"/>
              <w:jc w:val="center"/>
            </w:pPr>
            <w:r>
              <w:rPr>
                <w:sz w:val="21"/>
              </w:rPr>
              <mc:AlternateContent>
                <mc:Choice Requires="wps">
                  <w:drawing>
                    <wp:anchor distT="0" distB="0" distL="114300" distR="114300" simplePos="0" relativeHeight="251669504" behindDoc="0" locked="0" layoutInCell="1" allowOverlap="1">
                      <wp:simplePos x="0" y="0"/>
                      <wp:positionH relativeFrom="column">
                        <wp:posOffset>3223260</wp:posOffset>
                      </wp:positionH>
                      <wp:positionV relativeFrom="paragraph">
                        <wp:posOffset>2013585</wp:posOffset>
                      </wp:positionV>
                      <wp:extent cx="2580640" cy="302895"/>
                      <wp:effectExtent l="0" t="0" r="10160" b="1905"/>
                      <wp:wrapNone/>
                      <wp:docPr id="66" name="文本框 66"/>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图6：美国炼厂产能利用率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8pt;margin-top:158.55pt;height:23.85pt;width:203.2pt;z-index:251669504;mso-width-relative:page;mso-height-relative:page;" fillcolor="#FFFFFF [3201]" filled="t" stroked="f" coordsize="21600,21600" o:gfxdata="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9QeXX1gAAAAsBAAAPAAAA&#10;AAAAAAEAIAAAACIAAABkcnMvZG93bnJldi54bWxQSwECFAAUAAAACACHTuJAHO/hlFACAACRBAAA&#10;DgAAAAAAAAABACAAAAAlAQAAZHJzL2Uyb0RvYy54bWxQSwUGAAAAAAYABgBZAQAA5wU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图6：美国炼厂产能利用率</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334645</wp:posOffset>
                      </wp:positionH>
                      <wp:positionV relativeFrom="paragraph">
                        <wp:posOffset>1999615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1079500" y="9404985"/>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图5：EIA美国商业原油库存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5pt;margin-top:157.45pt;height:23.85pt;width:203.2pt;z-index:251668480;mso-width-relative:page;mso-height-relative:page;" fillcolor="#FFFFFF [3201]" filled="t" stroked="f" coordsize="21600,21600" o:gfxdata="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3&#10;PGzWAAAACgEAAA8AAAAAAAAAAQAgAAAAIgAAAGRycy9kb3ducmV2LnhtbFBLAQIUABQAAAAIAIdO&#10;4kAwO/XXXgIAAJ0EAAAOAAAAAAAAAAEAIAAAACUBAABkcnMvZTJvRG9jLnhtbFBLBQYAAAAABgAG&#10;AFkBAAD1BQ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图5：EIA美国商业原油库存</w:t>
                            </w:r>
                          </w:p>
                        </w:txbxContent>
                      </v:textbox>
                    </v:shape>
                  </w:pict>
                </mc:Fallback>
              </mc:AlternateContent>
            </w:r>
            <w:r>
              <w:rPr>
                <w:rFonts w:ascii="宋体" w:hAnsi="宋体" w:eastAsia="宋体"/>
              </w:rPr>
              <w:drawing>
                <wp:inline distT="0" distB="0" distL="0" distR="0">
                  <wp:extent cx="3119755" cy="2021205"/>
                  <wp:effectExtent l="0" t="0" r="4445" b="171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119755" cy="2021205"/>
                          </a:xfrm>
                          <a:prstGeom prst="rect">
                            <a:avLst/>
                          </a:prstGeom>
                          <a:noFill/>
                        </pic:spPr>
                      </pic:pic>
                    </a:graphicData>
                  </a:graphic>
                </wp:inline>
              </w:drawing>
            </w:r>
            <w:r>
              <w:rPr>
                <w:rFonts w:ascii="宋体" w:hAnsi="宋体" w:eastAsia="宋体"/>
              </w:rPr>
              <w:drawing>
                <wp:inline distT="0" distB="0" distL="0" distR="0">
                  <wp:extent cx="2558415" cy="2030095"/>
                  <wp:effectExtent l="0" t="0" r="13335"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558415" cy="2030095"/>
                          </a:xfrm>
                          <a:prstGeom prst="rect">
                            <a:avLst/>
                          </a:prstGeom>
                          <a:noFill/>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rPr>
                <w:rFonts w:hint="eastAsia" w:eastAsia="宋体"/>
                <w:lang w:eastAsia="zh-CN"/>
              </w:rPr>
            </w:pPr>
            <w:r>
              <w:rPr>
                <w:sz w:val="21"/>
              </w:rPr>
              <mc:AlternateContent>
                <mc:Choice Requires="wps">
                  <w:drawing>
                    <wp:anchor distT="0" distB="0" distL="114300" distR="114300" simplePos="0" relativeHeight="251671552" behindDoc="0" locked="0" layoutInCell="1" allowOverlap="1">
                      <wp:simplePos x="0" y="0"/>
                      <wp:positionH relativeFrom="column">
                        <wp:posOffset>3041650</wp:posOffset>
                      </wp:positionH>
                      <wp:positionV relativeFrom="paragraph">
                        <wp:posOffset>2099945</wp:posOffset>
                      </wp:positionV>
                      <wp:extent cx="2580005" cy="300990"/>
                      <wp:effectExtent l="0" t="0" r="10795" b="3810"/>
                      <wp:wrapNone/>
                      <wp:docPr id="68" name="文本框 68"/>
                      <wp:cNvGraphicFramePr/>
                      <a:graphic xmlns:a="http://schemas.openxmlformats.org/drawingml/2006/main">
                        <a:graphicData uri="http://schemas.microsoft.com/office/word/2010/wordprocessingShape">
                          <wps:wsp>
                            <wps:cNvSpPr txBox="1"/>
                            <wps:spPr>
                              <a:xfrm>
                                <a:off x="0" y="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图8：美国陆地棉当周出口量及累计值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5pt;margin-top:165.35pt;height:23.7pt;width:203.15pt;z-index:251671552;mso-width-relative:page;mso-height-relative:page;" fillcolor="#FFFFFF [3201]" filled="t" stroked="f" coordsize="21600,21600" o:gfxdata="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poS6k1wAAAAsBAAAP&#10;AAAAAAAAAAEAIAAAACIAAABkcnMvZG93bnJldi54bWxQSwECFAAUAAAACACHTuJABAvyLlICAACR&#10;BAAADgAAAAAAAAABACAAAAAmAQAAZHJzL2Uyb0RvYy54bWxQSwUGAAAAAAYABgBZAQAA6gU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图8：美国陆地棉当周出口量及累计值</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222250</wp:posOffset>
                      </wp:positionH>
                      <wp:positionV relativeFrom="paragraph">
                        <wp:posOffset>2112010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图7：巴西糖生产进度季节性走势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pt;margin-top:166.3pt;height:23.7pt;width:203.15pt;z-index:251670528;mso-width-relative:page;mso-height-relative:page;" fillcolor="#FFFFFF [3201]" filled="t" stroked="f" coordsize="21600,21600" o:gfxdata="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91HX&#10;e9YAAAAKAQAADwAAAAAAAAABACAAAAAiAAAAZHJzL2Rvd25yZXYueG1sUEsBAhQAFAAAAAgAh07i&#10;QDRebtxdAgAAnAQAAA4AAAAAAAAAAQAgAAAAJQEAAGRycy9lMm9Eb2MueG1sUEsFBgAAAAAGAAYA&#10;WQEAAPQFA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图7：巴西糖生产进度季节性走势</w:t>
                            </w:r>
                          </w:p>
                        </w:txbxContent>
                      </v:textbox>
                    </v:shape>
                  </w:pict>
                </mc:Fallback>
              </mc:AlternateContent>
            </w:r>
            <w:r>
              <w:rPr>
                <w:rFonts w:hint="eastAsia" w:eastAsia="宋体"/>
                <w:lang w:eastAsia="zh-CN"/>
              </w:rPr>
              <w:drawing>
                <wp:inline distT="0" distB="0" distL="114300" distR="114300">
                  <wp:extent cx="2934970" cy="1826895"/>
                  <wp:effectExtent l="0" t="0" r="17780" b="1905"/>
                  <wp:docPr id="36" name="图片 36" descr="f365dffe624b320284867b6939ac3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f365dffe624b320284867b6939ac3fc"/>
                          <pic:cNvPicPr>
                            <a:picLocks noChangeAspect="1"/>
                          </pic:cNvPicPr>
                        </pic:nvPicPr>
                        <pic:blipFill>
                          <a:blip r:embed="rId21"/>
                          <a:stretch>
                            <a:fillRect/>
                          </a:stretch>
                        </pic:blipFill>
                        <pic:spPr>
                          <a:xfrm>
                            <a:off x="0" y="0"/>
                            <a:ext cx="2934970" cy="1826895"/>
                          </a:xfrm>
                          <a:prstGeom prst="rect">
                            <a:avLst/>
                          </a:prstGeom>
                        </pic:spPr>
                      </pic:pic>
                    </a:graphicData>
                  </a:graphic>
                </wp:inline>
              </w:drawing>
            </w:r>
            <w:r>
              <w:rPr>
                <w:rFonts w:hint="eastAsia" w:eastAsia="宋体"/>
                <w:lang w:eastAsia="zh-CN"/>
              </w:rPr>
              <w:drawing>
                <wp:inline distT="0" distB="0" distL="114300" distR="114300">
                  <wp:extent cx="2988310" cy="1793240"/>
                  <wp:effectExtent l="0" t="0" r="2540" b="16510"/>
                  <wp:docPr id="37" name="图片 37" descr="e3d723a07a2ae2067e6150da5965f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3d723a07a2ae2067e6150da5965fe1"/>
                          <pic:cNvPicPr>
                            <a:picLocks noChangeAspect="1"/>
                          </pic:cNvPicPr>
                        </pic:nvPicPr>
                        <pic:blipFill>
                          <a:blip r:embed="rId22"/>
                          <a:stretch>
                            <a:fillRect/>
                          </a:stretch>
                        </pic:blipFill>
                        <pic:spPr>
                          <a:xfrm>
                            <a:off x="0" y="0"/>
                            <a:ext cx="2988310" cy="1793240"/>
                          </a:xfrm>
                          <a:prstGeom prst="rect">
                            <a:avLst/>
                          </a:prstGeom>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jc w:val="center"/>
              <w:rPr>
                <w:rFonts w:hint="eastAsia" w:eastAsia="宋体"/>
                <w:lang w:eastAsia="zh-CN"/>
              </w:rPr>
            </w:pPr>
            <w:r>
              <w:rPr>
                <w:sz w:val="21"/>
              </w:rPr>
              <mc:AlternateContent>
                <mc:Choice Requires="wps">
                  <w:drawing>
                    <wp:anchor distT="0" distB="0" distL="114300" distR="114300" simplePos="0" relativeHeight="251673600" behindDoc="0" locked="0" layoutInCell="1" allowOverlap="1">
                      <wp:simplePos x="0" y="0"/>
                      <wp:positionH relativeFrom="column">
                        <wp:posOffset>3032125</wp:posOffset>
                      </wp:positionH>
                      <wp:positionV relativeFrom="paragraph">
                        <wp:posOffset>2147570</wp:posOffset>
                      </wp:positionV>
                      <wp:extent cx="2641600" cy="289560"/>
                      <wp:effectExtent l="0" t="0" r="6350" b="15240"/>
                      <wp:wrapNone/>
                      <wp:docPr id="70" name="文本框 70"/>
                      <wp:cNvGraphicFramePr/>
                      <a:graphic xmlns:a="http://schemas.openxmlformats.org/drawingml/2006/main">
                        <a:graphicData uri="http://schemas.microsoft.com/office/word/2010/wordprocessingShape">
                          <wps:wsp>
                            <wps:cNvSpPr txBox="1"/>
                            <wps:spPr>
                              <a:xfrm>
                                <a:off x="0" y="0"/>
                                <a:ext cx="2641600" cy="2895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图10：全国247家钢厂高炉开工率及产能利用率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75pt;margin-top:169.1pt;height:22.8pt;width:208pt;z-index:251673600;mso-width-relative:page;mso-height-relative:page;" fillcolor="#FFFFFF [3201]" filled="t" stroked="f" coordsize="21600,21600" o:gfxdata="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A3pv/WAAAACwEAAA8A&#10;AAAAAAAAAQAgAAAAIgAAAGRycy9kb3ducmV2LnhtbFBLAQIUABQAAAAIAIdO4kAgetVMUgIAAJEE&#10;AAAOAAAAAAAAAAEAIAAAACUBAABkcnMvZTJvRG9jLnhtbFBLBQYAAAAABgAGAFkBAADpBQ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图10：全国247家钢厂高炉开工率及产能利用率</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230505</wp:posOffset>
                      </wp:positionH>
                      <wp:positionV relativeFrom="paragraph">
                        <wp:posOffset>2142490</wp:posOffset>
                      </wp:positionV>
                      <wp:extent cx="2641600" cy="309245"/>
                      <wp:effectExtent l="0" t="0" r="6350" b="14605"/>
                      <wp:wrapNone/>
                      <wp:docPr id="69" name="文本框 69"/>
                      <wp:cNvGraphicFramePr/>
                      <a:graphic xmlns:a="http://schemas.openxmlformats.org/drawingml/2006/main">
                        <a:graphicData uri="http://schemas.microsoft.com/office/word/2010/wordprocessingShape">
                          <wps:wsp>
                            <wps:cNvSpPr txBox="1"/>
                            <wps:spPr>
                              <a:xfrm>
                                <a:off x="975360" y="591312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图9：铁矿石港口库存与矿价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5pt;margin-top:168.7pt;height:24.35pt;width:208pt;z-index:251672576;mso-width-relative:page;mso-height-relative:page;" fillcolor="#FFFFFF [3201]" filled="t" stroked="f" coordsize="21600,21600" o:gfxdata="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JdBobW&#10;AAAACgEAAA8AAAAAAAAAAQAgAAAAIgAAAGRycy9kb3ducmV2LnhtbFBLAQIUABQAAAAIAIdO4kDb&#10;bVtGWwIAAJwEAAAOAAAAAAAAAAEAIAAAACUBAABkcnMvZTJvRG9jLnhtbFBLBQYAAAAABgAGAFkB&#10;AADyBQ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图9：铁矿石港口库存与矿价</w:t>
                            </w:r>
                          </w:p>
                        </w:txbxContent>
                      </v:textbox>
                    </v:shape>
                  </w:pict>
                </mc:Fallback>
              </mc:AlternateContent>
            </w:r>
            <w:r>
              <w:rPr>
                <w:rFonts w:ascii="宋体" w:hAnsi="宋体" w:eastAsia="宋体"/>
              </w:rPr>
              <w:object>
                <v:shape id="_x0000_i1025" o:spt="75" type="#_x0000_t75" style="height:155.9pt;width:217.85pt;" o:ole="t" filled="f" o:preferrelative="t" stroked="f" coordsize="21600,21600">
                  <v:path/>
                  <v:fill on="f" focussize="0,0"/>
                  <v:stroke on="f"/>
                  <v:imagedata r:id="rId23" o:title=""/>
                  <o:lock v:ext="edit" aspectratio="t"/>
                  <w10:wrap type="none"/>
                  <w10:anchorlock/>
                </v:shape>
                <o:OLEObject Type="Link" ProgID="Excel.Sheet.12" ShapeID="_x0000_i1025" UpdateMode="Always" DrawAspect="Content" ObjectID="_1468075725" r:id="rId24">
                  <o:LinkType>EnhancedMetaFile</o:LinkType>
                  <o:LockedField>false</o:LockedField>
                </o:OLEObject>
              </w:object>
            </w:r>
            <w:r>
              <w:rPr>
                <w:rFonts w:ascii="宋体" w:hAnsi="宋体" w:eastAsia="宋体"/>
              </w:rPr>
              <w:object>
                <v:shape id="_x0000_i1026" o:spt="75" type="#_x0000_t75" style="height:156.9pt;width:228.6pt;" o:ole="t" filled="f" o:preferrelative="t" stroked="f" coordsize="21600,21600">
                  <v:path/>
                  <v:fill on="f" focussize="0,0"/>
                  <v:stroke on="f"/>
                  <v:imagedata r:id="rId25" o:title=""/>
                  <o:lock v:ext="edit" aspectratio="t"/>
                  <w10:wrap type="none"/>
                  <w10:anchorlock/>
                </v:shape>
                <o:OLEObject Type="Link" ProgID="Excel.Sheet.12" ShapeID="_x0000_i1026" UpdateMode="Always" DrawAspect="Content" ObjectID="_1468075726" r:id="rId26">
                  <o:LinkType>EnhancedMetaFile</o:LinkType>
                  <o:LockedField>false</o:LockedField>
                </o:OLEObject>
              </w:object>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jc w:val="both"/>
              <w:rPr>
                <w:rFonts w:hint="eastAsia" w:eastAsia="宋体"/>
                <w:lang w:eastAsia="zh-CN"/>
              </w:rPr>
            </w:pPr>
            <w:r>
              <w:rPr>
                <w:sz w:val="20"/>
              </w:rPr>
              <mc:AlternateContent>
                <mc:Choice Requires="wps">
                  <w:drawing>
                    <wp:anchor distT="0" distB="0" distL="114300" distR="114300" simplePos="0" relativeHeight="251675648" behindDoc="0" locked="0" layoutInCell="1" allowOverlap="1">
                      <wp:simplePos x="0" y="0"/>
                      <wp:positionH relativeFrom="column">
                        <wp:posOffset>3188335</wp:posOffset>
                      </wp:positionH>
                      <wp:positionV relativeFrom="paragraph">
                        <wp:posOffset>2125345</wp:posOffset>
                      </wp:positionV>
                      <wp:extent cx="2562860" cy="261620"/>
                      <wp:effectExtent l="0" t="0" r="8890" b="5080"/>
                      <wp:wrapNone/>
                      <wp:docPr id="72" name="文本框 72"/>
                      <wp:cNvGraphicFramePr/>
                      <a:graphic xmlns:a="http://schemas.openxmlformats.org/drawingml/2006/main">
                        <a:graphicData uri="http://schemas.microsoft.com/office/word/2010/wordprocessingShape">
                          <wps:wsp>
                            <wps:cNvSpPr txBox="1"/>
                            <wps:spPr>
                              <a:xfrm>
                                <a:off x="0" y="0"/>
                                <a:ext cx="2562860" cy="2616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图12 ：中国黄金回收价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05pt;margin-top:167.35pt;height:20.6pt;width:201.8pt;z-index:251675648;mso-width-relative:page;mso-height-relative:page;" fillcolor="#FFFFFF [3201]" filled="t" stroked="f" coordsize="21600,21600" o:gfxdata="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PQ121gAAAAsBAAAP&#10;AAAAAAAAAAEAIAAAACIAAABkcnMvZG93bnJldi54bWxQSwECFAAUAAAACACHTuJAe53AOFMCAACR&#10;BAAADgAAAAAAAAABACAAAAAlAQAAZHJzL2Uyb0RvYy54bWxQSwUGAAAAAAYABgBZAQAA6gU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图12 ：中国黄金回收价</w:t>
                            </w:r>
                          </w:p>
                        </w:txbxContent>
                      </v:textbox>
                    </v:shape>
                  </w:pict>
                </mc:Fallback>
              </mc:AlternateContent>
            </w:r>
            <w:r>
              <w:rPr>
                <w:sz w:val="20"/>
              </w:rPr>
              <mc:AlternateContent>
                <mc:Choice Requires="wps">
                  <w:drawing>
                    <wp:anchor distT="0" distB="0" distL="114300" distR="114300" simplePos="0" relativeHeight="251674624" behindDoc="0" locked="0" layoutInCell="1" allowOverlap="1">
                      <wp:simplePos x="0" y="0"/>
                      <wp:positionH relativeFrom="column">
                        <wp:posOffset>239395</wp:posOffset>
                      </wp:positionH>
                      <wp:positionV relativeFrom="paragraph">
                        <wp:posOffset>2111375</wp:posOffset>
                      </wp:positionV>
                      <wp:extent cx="2562860" cy="261620"/>
                      <wp:effectExtent l="0" t="0" r="8890" b="5080"/>
                      <wp:wrapNone/>
                      <wp:docPr id="71" name="文本框 71"/>
                      <wp:cNvGraphicFramePr/>
                      <a:graphic xmlns:a="http://schemas.openxmlformats.org/drawingml/2006/main">
                        <a:graphicData uri="http://schemas.microsoft.com/office/word/2010/wordprocessingShape">
                          <wps:wsp>
                            <wps:cNvSpPr txBox="1"/>
                            <wps:spPr>
                              <a:xfrm>
                                <a:off x="984250" y="8478520"/>
                                <a:ext cx="2562860" cy="2616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图11 ：美元指数与利率走势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5pt;margin-top:166.25pt;height:20.6pt;width:201.8pt;z-index:251674624;mso-width-relative:page;mso-height-relative:page;" fillcolor="#FFFFFF [3201]" filled="t" stroked="f" coordsize="21600,21600" o:gfxdata="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SvXL/tUA&#10;AAAKAQAADwAAAAAAAAABACAAAAAiAAAAZHJzL2Rvd25yZXYueG1sUEsBAhQAFAAAAAgAh07iQMns&#10;mhlbAgAAnAQAAA4AAAAAAAAAAQAgAAAAJAEAAGRycy9lMm9Eb2MueG1sUEsFBgAAAAAGAAYAWQEA&#10;APEFA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图11 ：美元指数与利率走势</w:t>
                            </w:r>
                          </w:p>
                        </w:txbxContent>
                      </v:textbox>
                    </v:shape>
                  </w:pict>
                </mc:Fallback>
              </mc:AlternateContent>
            </w:r>
            <w:r>
              <w:rPr>
                <w:rFonts w:hint="default" w:ascii="宋体" w:hAnsi="宋体" w:eastAsia="宋体" w:cs="宋体"/>
                <w:b w:val="0"/>
                <w:bCs w:val="0"/>
                <w:color w:val="000000"/>
                <w:kern w:val="0"/>
                <w:sz w:val="20"/>
                <w:szCs w:val="20"/>
                <w:lang w:val="en-US" w:eastAsia="zh-CN" w:bidi="ar"/>
              </w:rPr>
              <w:drawing>
                <wp:inline distT="0" distB="0" distL="114300" distR="114300">
                  <wp:extent cx="3016250" cy="1838325"/>
                  <wp:effectExtent l="0" t="0" r="12700" b="9525"/>
                  <wp:docPr id="63" name="Picture 4" descr="Screen Shot 2024-03-25 at 9.38.07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4" descr="Screen Shot 2024-03-25 at 9.38.07 AM"/>
                          <pic:cNvPicPr>
                            <a:picLocks noChangeAspect="1"/>
                          </pic:cNvPicPr>
                        </pic:nvPicPr>
                        <pic:blipFill>
                          <a:blip r:embed="rId27"/>
                          <a:stretch>
                            <a:fillRect/>
                          </a:stretch>
                        </pic:blipFill>
                        <pic:spPr>
                          <a:xfrm>
                            <a:off x="0" y="0"/>
                            <a:ext cx="3016250" cy="1838325"/>
                          </a:xfrm>
                          <a:prstGeom prst="rect">
                            <a:avLst/>
                          </a:prstGeom>
                        </pic:spPr>
                      </pic:pic>
                    </a:graphicData>
                  </a:graphic>
                </wp:inline>
              </w:drawing>
            </w:r>
            <w:r>
              <w:rPr>
                <w:rFonts w:hint="eastAsia" w:eastAsiaTheme="minorEastAsia"/>
                <w:lang w:eastAsia="zh-CN"/>
              </w:rPr>
              <w:drawing>
                <wp:inline distT="0" distB="0" distL="114300" distR="114300">
                  <wp:extent cx="2927985" cy="1828800"/>
                  <wp:effectExtent l="0" t="0" r="5715" b="0"/>
                  <wp:docPr id="64" name="Picture 3" descr="Screen Shot 2024-03-25 at 9.05.1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3" descr="Screen Shot 2024-03-25 at 9.05.10 AM"/>
                          <pic:cNvPicPr>
                            <a:picLocks noChangeAspect="1"/>
                          </pic:cNvPicPr>
                        </pic:nvPicPr>
                        <pic:blipFill>
                          <a:blip r:embed="rId28"/>
                          <a:stretch>
                            <a:fillRect/>
                          </a:stretch>
                        </pic:blipFill>
                        <pic:spPr>
                          <a:xfrm>
                            <a:off x="0" y="0"/>
                            <a:ext cx="2927985" cy="1828800"/>
                          </a:xfrm>
                          <a:prstGeom prst="rect">
                            <a:avLst/>
                          </a:prstGeom>
                        </pic:spPr>
                      </pic:pic>
                    </a:graphicData>
                  </a:graphic>
                </wp:inline>
              </w:drawing>
            </w:r>
            <w:r>
              <w:rPr>
                <w:sz w:val="21"/>
              </w:rPr>
              <mc:AlternateContent>
                <mc:Choice Requires="wps">
                  <w:drawing>
                    <wp:anchor distT="0" distB="0" distL="114300" distR="114300" simplePos="0" relativeHeight="251677696" behindDoc="0" locked="0" layoutInCell="1" allowOverlap="1">
                      <wp:simplePos x="0" y="0"/>
                      <wp:positionH relativeFrom="column">
                        <wp:posOffset>3197860</wp:posOffset>
                      </wp:positionH>
                      <wp:positionV relativeFrom="paragraph">
                        <wp:posOffset>2122170</wp:posOffset>
                      </wp:positionV>
                      <wp:extent cx="2519680" cy="250825"/>
                      <wp:effectExtent l="0" t="0" r="13970" b="15875"/>
                      <wp:wrapNone/>
                      <wp:docPr id="74" name="文本框 74"/>
                      <wp:cNvGraphicFramePr/>
                      <a:graphic xmlns:a="http://schemas.openxmlformats.org/drawingml/2006/main">
                        <a:graphicData uri="http://schemas.microsoft.com/office/word/2010/wordprocessingShape">
                          <wps:wsp>
                            <wps:cNvSpPr txBox="1"/>
                            <wps:spPr>
                              <a:xfrm>
                                <a:off x="0" y="0"/>
                                <a:ext cx="2519680" cy="250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图14：CBOT大豆皮活跃价格 季节性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8pt;margin-top:167.1pt;height:19.75pt;width:198.4pt;z-index:251677696;mso-width-relative:page;mso-height-relative:page;" fillcolor="#FFFFFF [3201]" filled="t" stroked="f" coordsize="21600,21600" o:gfxdata="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OEM3PXAAAACwEAAA8A&#10;AAAAAAAAAQAgAAAAIgAAAGRycy9kb3ducmV2LnhtbFBLAQIUABQAAAAIAIdO4kCcx+umUQIAAJEE&#10;AAAOAAAAAAAAAAEAIAAAACYBAABkcnMvZTJvRG9jLnhtbFBLBQYAAAAABgAGAFkBAADpBQ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图14：CBOT大豆皮活跃价格 季节性</w:t>
                            </w:r>
                          </w:p>
                        </w:txbxContent>
                      </v:textbox>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257175</wp:posOffset>
                      </wp:positionH>
                      <wp:positionV relativeFrom="paragraph">
                        <wp:posOffset>2116455</wp:posOffset>
                      </wp:positionV>
                      <wp:extent cx="2519680" cy="250825"/>
                      <wp:effectExtent l="0" t="0" r="13970" b="15875"/>
                      <wp:wrapNone/>
                      <wp:docPr id="73" name="文本框 73"/>
                      <wp:cNvGraphicFramePr/>
                      <a:graphic xmlns:a="http://schemas.openxmlformats.org/drawingml/2006/main">
                        <a:graphicData uri="http://schemas.microsoft.com/office/word/2010/wordprocessingShape">
                          <wps:wsp>
                            <wps:cNvSpPr txBox="1"/>
                            <wps:spPr>
                              <a:xfrm>
                                <a:off x="1019175" y="3311525"/>
                                <a:ext cx="2519680" cy="250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eastAsia="宋体"/>
                                      <w:lang w:val="en-US" w:eastAsia="zh-CN"/>
                                    </w:rPr>
                                    <w:t>图13：豆油5月与9月历史价差趋势图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25pt;margin-top:166.65pt;height:19.75pt;width:198.4pt;z-index:251676672;mso-width-relative:page;mso-height-relative:page;" fillcolor="#FFFFFF [3201]" filled="t" stroked="f" coordsize="21600,21600" o:gfxdata="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CSWi&#10;T9QAAAAKAQAADwAAAAAAAAABACAAAAAiAAAAZHJzL2Rvd25yZXYueG1sUEsBAhQAFAAAAAgAh07i&#10;QCMP7EdfAgAAnQQAAA4AAAAAAAAAAQAgAAAAIwEAAGRycy9lMm9Eb2MueG1sUEsFBgAAAAAGAAYA&#10;WQEAAPQFAAAAAA==&#10;">
                      <v:fill on="t" focussize="0,0"/>
                      <v:stroke on="f" weight="0.5pt"/>
                      <v:imagedata o:title=""/>
                      <o:lock v:ext="edit" aspectratio="f"/>
                      <v:textbox>
                        <w:txbxContent>
                          <w:p>
                            <w:pPr>
                              <w:rPr>
                                <w:rFonts w:hint="default" w:eastAsia="宋体"/>
                                <w:lang w:val="en-US" w:eastAsia="zh-CN"/>
                              </w:rPr>
                            </w:pPr>
                            <w:r>
                              <w:rPr>
                                <w:rFonts w:hint="eastAsia" w:eastAsia="宋体"/>
                                <w:lang w:val="en-US" w:eastAsia="zh-CN"/>
                              </w:rPr>
                              <w:t>图13：豆油5月与9月历史价差趋势图</w:t>
                            </w:r>
                          </w:p>
                        </w:txbxContent>
                      </v:textbox>
                    </v:shape>
                  </w:pict>
                </mc:Fallback>
              </mc:AlternateContent>
            </w:r>
            <w:r>
              <w:rPr>
                <w:rFonts w:hint="eastAsia" w:eastAsia="宋体"/>
                <w:lang w:eastAsia="zh-CN"/>
              </w:rPr>
              <w:drawing>
                <wp:inline distT="0" distB="0" distL="114300" distR="114300">
                  <wp:extent cx="3030855" cy="1971040"/>
                  <wp:effectExtent l="0" t="0" r="17145" b="10160"/>
                  <wp:docPr id="44" name="图片 44" descr="cc9cb5756e40aeb2d8ff6f2b4173f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c9cb5756e40aeb2d8ff6f2b4173fc2"/>
                          <pic:cNvPicPr>
                            <a:picLocks noChangeAspect="1"/>
                          </pic:cNvPicPr>
                        </pic:nvPicPr>
                        <pic:blipFill>
                          <a:blip r:embed="rId29"/>
                          <a:stretch>
                            <a:fillRect/>
                          </a:stretch>
                        </pic:blipFill>
                        <pic:spPr>
                          <a:xfrm>
                            <a:off x="0" y="0"/>
                            <a:ext cx="3030855" cy="1971040"/>
                          </a:xfrm>
                          <a:prstGeom prst="rect">
                            <a:avLst/>
                          </a:prstGeom>
                        </pic:spPr>
                      </pic:pic>
                    </a:graphicData>
                  </a:graphic>
                </wp:inline>
              </w:drawing>
            </w:r>
            <w:r>
              <w:rPr>
                <w:rFonts w:hint="eastAsia" w:eastAsia="宋体"/>
                <w:lang w:eastAsia="zh-CN"/>
              </w:rPr>
              <w:drawing>
                <wp:inline distT="0" distB="0" distL="114300" distR="114300">
                  <wp:extent cx="2882900" cy="1921510"/>
                  <wp:effectExtent l="0" t="0" r="12700" b="2540"/>
                  <wp:docPr id="45" name="图片 45" descr="26555351cbd6bb754c554dccffe4f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6555351cbd6bb754c554dccffe4fa5"/>
                          <pic:cNvPicPr>
                            <a:picLocks noChangeAspect="1"/>
                          </pic:cNvPicPr>
                        </pic:nvPicPr>
                        <pic:blipFill>
                          <a:blip r:embed="rId30"/>
                          <a:stretch>
                            <a:fillRect/>
                          </a:stretch>
                        </pic:blipFill>
                        <pic:spPr>
                          <a:xfrm>
                            <a:off x="0" y="0"/>
                            <a:ext cx="2882900" cy="1921510"/>
                          </a:xfrm>
                          <a:prstGeom prst="rect">
                            <a:avLst/>
                          </a:prstGeom>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jc w:val="both"/>
              <w:rPr>
                <w:rFonts w:hint="eastAsia" w:eastAsia="宋体"/>
                <w:lang w:eastAsia="zh-CN"/>
              </w:rPr>
            </w:pPr>
            <w:r>
              <w:rPr>
                <w:sz w:val="20"/>
              </w:rPr>
              <mc:AlternateContent>
                <mc:Choice Requires="wps">
                  <w:drawing>
                    <wp:anchor distT="0" distB="0" distL="114300" distR="114300" simplePos="0" relativeHeight="251667456" behindDoc="0" locked="0" layoutInCell="1" allowOverlap="1">
                      <wp:simplePos x="0" y="0"/>
                      <wp:positionH relativeFrom="column">
                        <wp:posOffset>3188335</wp:posOffset>
                      </wp:positionH>
                      <wp:positionV relativeFrom="paragraph">
                        <wp:posOffset>2134870</wp:posOffset>
                      </wp:positionV>
                      <wp:extent cx="2190750" cy="252095"/>
                      <wp:effectExtent l="0" t="0" r="0" b="14605"/>
                      <wp:wrapNone/>
                      <wp:docPr id="62" name="文本框 62"/>
                      <wp:cNvGraphicFramePr/>
                      <a:graphic xmlns:a="http://schemas.openxmlformats.org/drawingml/2006/main">
                        <a:graphicData uri="http://schemas.microsoft.com/office/word/2010/wordprocessingShape">
                          <wps:wsp>
                            <wps:cNvSpPr txBox="1"/>
                            <wps:spPr>
                              <a:xfrm>
                                <a:off x="0" y="0"/>
                                <a:ext cx="2190750" cy="2520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 xml:space="preserve"> 图16：白银ETF持仓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05pt;margin-top:168.1pt;height:19.85pt;width:172.5pt;z-index:251667456;mso-width-relative:page;mso-height-relative:page;" fillcolor="#FFFFFF [3201]" filled="t" stroked="f" coordsize="21600,21600" o:gfxdata="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1ZGWTWAAAACwEAAA8AAAAA&#10;AAAAAQAgAAAAIgAAAGRycy9kb3ducmV2LnhtbFBLAQIUABQAAAAIAIdO4kAhWPRSTwIAAJEEAAAO&#10;AAAAAAAAAAEAIAAAACUBAABkcnMvZTJvRG9jLnhtbFBLBQYAAAAABgAGAFkBAADmBQ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 xml:space="preserve"> 图16：白银ETF持仓</w:t>
                            </w:r>
                          </w:p>
                        </w:txbxContent>
                      </v:textbox>
                    </v:shape>
                  </w:pict>
                </mc:Fallback>
              </mc:AlternateContent>
            </w:r>
            <w:r>
              <w:rPr>
                <w:sz w:val="20"/>
              </w:rPr>
              <mc:AlternateContent>
                <mc:Choice Requires="wps">
                  <w:drawing>
                    <wp:anchor distT="0" distB="0" distL="114300" distR="114300" simplePos="0" relativeHeight="251666432" behindDoc="0" locked="0" layoutInCell="1" allowOverlap="1">
                      <wp:simplePos x="0" y="0"/>
                      <wp:positionH relativeFrom="column">
                        <wp:posOffset>290830</wp:posOffset>
                      </wp:positionH>
                      <wp:positionV relativeFrom="paragraph">
                        <wp:posOffset>2129790</wp:posOffset>
                      </wp:positionV>
                      <wp:extent cx="2190750" cy="252095"/>
                      <wp:effectExtent l="0" t="0" r="0" b="14605"/>
                      <wp:wrapNone/>
                      <wp:docPr id="61" name="文本框 61"/>
                      <wp:cNvGraphicFramePr/>
                      <a:graphic xmlns:a="http://schemas.openxmlformats.org/drawingml/2006/main">
                        <a:graphicData uri="http://schemas.microsoft.com/office/word/2010/wordprocessingShape">
                          <wps:wsp>
                            <wps:cNvSpPr txBox="1"/>
                            <wps:spPr>
                              <a:xfrm>
                                <a:off x="1027430" y="3354070"/>
                                <a:ext cx="2190750" cy="2520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 xml:space="preserve"> 图15：美元指数与利率走势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pt;margin-top:167.7pt;height:19.85pt;width:172.5pt;z-index:251666432;mso-width-relative:page;mso-height-relative:page;" fillcolor="#FFFFFF [3201]" filled="t" stroked="f" coordsize="21600,21600" o:gfxdata="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tCMTtYA&#10;AAAKAQAADwAAAAAAAAABACAAAAAiAAAAZHJzL2Rvd25yZXYueG1sUEsBAhQAFAAAAAgAh07iQM0S&#10;AaZaAgAAnQQAAA4AAAAAAAAAAQAgAAAAJQEAAGRycy9lMm9Eb2MueG1sUEsFBgAAAAAGAAYAWQEA&#10;APEFAAAAAA==&#10;">
                      <v:fill on="t" focussize="0,0"/>
                      <v:stroke on="f" weight="0.5pt"/>
                      <v:imagedata o:title=""/>
                      <o:lock v:ext="edit" aspectratio="f"/>
                      <v:textbox>
                        <w:txbxContent>
                          <w:p>
                            <w:pPr>
                              <w:jc w:val="center"/>
                              <w:rPr>
                                <w:rFonts w:hint="default" w:eastAsia="宋体"/>
                                <w:lang w:val="en-US" w:eastAsia="zh-CN"/>
                              </w:rPr>
                            </w:pPr>
                            <w:r>
                              <w:rPr>
                                <w:rFonts w:hint="eastAsia" w:eastAsia="宋体"/>
                                <w:lang w:val="en-US" w:eastAsia="zh-CN"/>
                              </w:rPr>
                              <w:t xml:space="preserve"> 图15：美元指数与利率走势</w:t>
                            </w:r>
                          </w:p>
                        </w:txbxContent>
                      </v:textbox>
                    </v:shape>
                  </w:pict>
                </mc:Fallback>
              </mc:AlternateContent>
            </w:r>
            <w:r>
              <w:rPr>
                <w:rFonts w:hint="default" w:ascii="宋体" w:hAnsi="宋体" w:eastAsia="宋体" w:cs="宋体"/>
                <w:b w:val="0"/>
                <w:bCs w:val="0"/>
                <w:color w:val="000000"/>
                <w:kern w:val="0"/>
                <w:sz w:val="20"/>
                <w:szCs w:val="20"/>
                <w:lang w:val="en-US" w:eastAsia="zh-CN" w:bidi="ar"/>
              </w:rPr>
              <w:drawing>
                <wp:inline distT="0" distB="0" distL="114300" distR="114300">
                  <wp:extent cx="3016250" cy="1812290"/>
                  <wp:effectExtent l="0" t="0" r="12700" b="16510"/>
                  <wp:docPr id="59" name="Picture 4" descr="Screen Shot 2024-03-25 at 9.38.07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4" descr="Screen Shot 2024-03-25 at 9.38.07 AM"/>
                          <pic:cNvPicPr>
                            <a:picLocks noChangeAspect="1"/>
                          </pic:cNvPicPr>
                        </pic:nvPicPr>
                        <pic:blipFill>
                          <a:blip r:embed="rId27"/>
                          <a:stretch>
                            <a:fillRect/>
                          </a:stretch>
                        </pic:blipFill>
                        <pic:spPr>
                          <a:xfrm>
                            <a:off x="0" y="0"/>
                            <a:ext cx="3016250" cy="1812290"/>
                          </a:xfrm>
                          <a:prstGeom prst="rect">
                            <a:avLst/>
                          </a:prstGeom>
                        </pic:spPr>
                      </pic:pic>
                    </a:graphicData>
                  </a:graphic>
                </wp:inline>
              </w:drawing>
            </w:r>
            <w:r>
              <w:rPr>
                <w:rFonts w:hint="eastAsia" w:eastAsiaTheme="minorEastAsia"/>
                <w:lang w:eastAsia="zh-CN"/>
              </w:rPr>
              <w:drawing>
                <wp:inline distT="0" distB="0" distL="114300" distR="114300">
                  <wp:extent cx="2895600" cy="1843405"/>
                  <wp:effectExtent l="0" t="0" r="0" b="4445"/>
                  <wp:docPr id="60" name="Picture 2" descr="Screen Shot 2024-03-25 at 9.04.13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 descr="Screen Shot 2024-03-25 at 9.04.13 AM"/>
                          <pic:cNvPicPr>
                            <a:picLocks noChangeAspect="1"/>
                          </pic:cNvPicPr>
                        </pic:nvPicPr>
                        <pic:blipFill>
                          <a:blip r:embed="rId31"/>
                          <a:stretch>
                            <a:fillRect/>
                          </a:stretch>
                        </pic:blipFill>
                        <pic:spPr>
                          <a:xfrm>
                            <a:off x="0" y="0"/>
                            <a:ext cx="2895600" cy="1843405"/>
                          </a:xfrm>
                          <a:prstGeom prst="rect">
                            <a:avLst/>
                          </a:prstGeom>
                        </pic:spPr>
                      </pic:pic>
                    </a:graphicData>
                  </a:graphic>
                </wp:inline>
              </w:drawing>
            </w:r>
          </w:p>
        </w:tc>
      </w:tr>
    </w:tbl>
    <w:p>
      <w:pPr>
        <w:sectPr>
          <w:headerReference r:id="rId6" w:type="default"/>
          <w:footerReference r:id="rId7" w:type="default"/>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pPr>
    </w:p>
    <w:p>
      <w:pPr>
        <w:pStyle w:val="2"/>
        <w:spacing w:line="312" w:lineRule="auto"/>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2"/>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hint="eastAsia" w:ascii="微软雅黑" w:hAnsi="微软雅黑" w:eastAsia="微软雅黑" w:cs="微软雅黑"/>
          <w:b/>
          <w:bCs/>
          <w:color w:val="036EB8"/>
          <w:spacing w:val="10"/>
          <w:sz w:val="28"/>
          <w:szCs w:val="28"/>
          <w:lang w:val="en-US" w:eastAsia="zh-CN"/>
        </w:rPr>
        <w:t>下周热点日程</w:t>
      </w:r>
    </w:p>
    <w:p>
      <w:pPr>
        <w:spacing w:before="84"/>
      </w:pPr>
    </w:p>
    <w:tbl>
      <w:tblPr>
        <w:tblStyle w:val="8"/>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478"/>
        <w:gridCol w:w="634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3045" w:type="dxa"/>
            <w:gridSpan w:val="2"/>
            <w:shd w:val="clear" w:color="auto" w:fill="3D85C1"/>
            <w:vAlign w:val="top"/>
          </w:tcPr>
          <w:p>
            <w:pPr>
              <w:pStyle w:val="9"/>
              <w:spacing w:before="221" w:line="182" w:lineRule="auto"/>
              <w:ind w:left="1142"/>
              <w:rPr>
                <w:sz w:val="19"/>
                <w:szCs w:val="19"/>
              </w:rPr>
            </w:pPr>
            <w:r>
              <w:rPr>
                <w:b/>
                <w:bCs/>
                <w:color w:val="FFFFFF"/>
                <w:spacing w:val="4"/>
                <w:sz w:val="19"/>
                <w:szCs w:val="19"/>
              </w:rPr>
              <w:t>时间</w:t>
            </w:r>
          </w:p>
        </w:tc>
        <w:tc>
          <w:tcPr>
            <w:tcW w:w="6344" w:type="dxa"/>
            <w:shd w:val="clear" w:color="auto" w:fill="3D85C1"/>
            <w:vAlign w:val="top"/>
          </w:tcPr>
          <w:p>
            <w:pPr>
              <w:pStyle w:val="9"/>
              <w:spacing w:before="221" w:line="195" w:lineRule="auto"/>
              <w:jc w:val="center"/>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9"/>
              <w:spacing w:before="228"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25</w:t>
            </w:r>
          </w:p>
        </w:tc>
        <w:tc>
          <w:tcPr>
            <w:tcW w:w="1478" w:type="dxa"/>
            <w:vAlign w:val="top"/>
          </w:tcPr>
          <w:p>
            <w:pPr>
              <w:pStyle w:val="9"/>
              <w:spacing w:before="243" w:line="172" w:lineRule="auto"/>
              <w:ind w:left="94"/>
              <w:rPr>
                <w:rFonts w:hint="default" w:eastAsia="微软雅黑"/>
                <w:sz w:val="19"/>
                <w:szCs w:val="19"/>
                <w:lang w:val="en-US" w:eastAsia="zh-CN"/>
              </w:rPr>
            </w:pPr>
            <w:r>
              <w:rPr>
                <w:rFonts w:hint="eastAsia"/>
                <w:b/>
                <w:bCs/>
                <w:spacing w:val="6"/>
                <w:sz w:val="19"/>
                <w:szCs w:val="19"/>
                <w:lang w:val="en-US" w:eastAsia="zh-CN"/>
              </w:rPr>
              <w:t>20</w:t>
            </w:r>
            <w:r>
              <w:rPr>
                <w:b/>
                <w:bCs/>
                <w:spacing w:val="6"/>
                <w:sz w:val="19"/>
                <w:szCs w:val="19"/>
              </w:rPr>
              <w:t>:</w:t>
            </w:r>
            <w:r>
              <w:rPr>
                <w:rFonts w:hint="eastAsia"/>
                <w:b/>
                <w:bCs/>
                <w:spacing w:val="6"/>
                <w:sz w:val="19"/>
                <w:szCs w:val="19"/>
                <w:lang w:val="en-US" w:eastAsia="zh-CN"/>
              </w:rPr>
              <w:t>0</w:t>
            </w:r>
            <w:r>
              <w:rPr>
                <w:b/>
                <w:bCs/>
                <w:spacing w:val="6"/>
                <w:sz w:val="19"/>
                <w:szCs w:val="19"/>
              </w:rPr>
              <w:t>0</w:t>
            </w:r>
          </w:p>
        </w:tc>
        <w:tc>
          <w:tcPr>
            <w:tcW w:w="6344" w:type="dxa"/>
            <w:vAlign w:val="top"/>
          </w:tcPr>
          <w:p>
            <w:pPr>
              <w:pStyle w:val="9"/>
              <w:spacing w:before="221" w:line="180" w:lineRule="auto"/>
              <w:jc w:val="center"/>
              <w:rPr>
                <w:rFonts w:hint="default" w:eastAsia="微软雅黑"/>
                <w:sz w:val="19"/>
                <w:szCs w:val="19"/>
                <w:lang w:val="en-US" w:eastAsia="zh-CN"/>
              </w:rPr>
            </w:pPr>
            <w:r>
              <w:rPr>
                <w:rFonts w:hint="eastAsia"/>
                <w:spacing w:val="25"/>
                <w:sz w:val="19"/>
                <w:szCs w:val="19"/>
                <w:lang w:val="en-US" w:eastAsia="zh-CN"/>
              </w:rPr>
              <w:t>美国营建许可数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9"/>
              <w:spacing w:before="230"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26</w:t>
            </w:r>
          </w:p>
        </w:tc>
        <w:tc>
          <w:tcPr>
            <w:tcW w:w="1478" w:type="dxa"/>
            <w:shd w:val="clear" w:color="auto" w:fill="D3EAFF"/>
            <w:vAlign w:val="top"/>
          </w:tcPr>
          <w:p>
            <w:pPr>
              <w:pStyle w:val="9"/>
              <w:spacing w:before="245" w:line="172" w:lineRule="auto"/>
              <w:ind w:left="101"/>
              <w:rPr>
                <w:sz w:val="19"/>
                <w:szCs w:val="19"/>
              </w:rPr>
            </w:pPr>
            <w:r>
              <w:rPr>
                <w:rFonts w:hint="eastAsia"/>
                <w:b/>
                <w:bCs/>
                <w:spacing w:val="5"/>
                <w:sz w:val="19"/>
                <w:szCs w:val="19"/>
                <w:lang w:val="en-US" w:eastAsia="zh-CN"/>
              </w:rPr>
              <w:t>21</w:t>
            </w:r>
            <w:r>
              <w:rPr>
                <w:b/>
                <w:bCs/>
                <w:spacing w:val="5"/>
                <w:sz w:val="19"/>
                <w:szCs w:val="19"/>
              </w:rPr>
              <w:t>:00</w:t>
            </w:r>
          </w:p>
        </w:tc>
        <w:tc>
          <w:tcPr>
            <w:tcW w:w="6344" w:type="dxa"/>
            <w:shd w:val="clear" w:color="auto" w:fill="D3EAFF"/>
            <w:vAlign w:val="top"/>
          </w:tcPr>
          <w:p>
            <w:pPr>
              <w:pStyle w:val="9"/>
              <w:spacing w:before="224" w:line="179" w:lineRule="auto"/>
              <w:jc w:val="center"/>
              <w:rPr>
                <w:rFonts w:hint="default" w:eastAsia="微软雅黑"/>
                <w:sz w:val="19"/>
                <w:szCs w:val="19"/>
                <w:lang w:val="en-US" w:eastAsia="zh-CN"/>
              </w:rPr>
            </w:pPr>
            <w:r>
              <w:rPr>
                <w:rFonts w:hint="eastAsia"/>
                <w:spacing w:val="32"/>
                <w:sz w:val="19"/>
                <w:szCs w:val="19"/>
                <w:lang w:val="en-US" w:eastAsia="zh-CN"/>
              </w:rPr>
              <w:t>美国FHFA房价指数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9"/>
              <w:spacing w:before="231" w:line="191" w:lineRule="auto"/>
              <w:ind w:left="449"/>
              <w:rPr>
                <w:rFonts w:hint="eastAsia" w:eastAsia="微软雅黑"/>
                <w:sz w:val="19"/>
                <w:szCs w:val="19"/>
                <w:lang w:val="en-US" w:eastAsia="zh-CN"/>
              </w:rPr>
            </w:pPr>
            <w:r>
              <w:rPr>
                <w:b/>
                <w:bCs/>
                <w:spacing w:val="3"/>
                <w:sz w:val="19"/>
                <w:szCs w:val="19"/>
              </w:rPr>
              <w:t>2024/3/</w:t>
            </w:r>
            <w:r>
              <w:rPr>
                <w:rFonts w:hint="eastAsia"/>
                <w:b/>
                <w:bCs/>
                <w:spacing w:val="3"/>
                <w:sz w:val="19"/>
                <w:szCs w:val="19"/>
                <w:lang w:val="en-US" w:eastAsia="zh-CN"/>
              </w:rPr>
              <w:t>27</w:t>
            </w:r>
          </w:p>
        </w:tc>
        <w:tc>
          <w:tcPr>
            <w:tcW w:w="1478" w:type="dxa"/>
            <w:vAlign w:val="top"/>
          </w:tcPr>
          <w:p>
            <w:pPr>
              <w:pStyle w:val="9"/>
              <w:spacing w:before="245" w:line="172" w:lineRule="auto"/>
              <w:ind w:left="101"/>
              <w:rPr>
                <w:sz w:val="19"/>
                <w:szCs w:val="19"/>
              </w:rPr>
            </w:pPr>
            <w:r>
              <w:rPr>
                <w:rFonts w:hint="eastAsia"/>
                <w:b/>
                <w:bCs/>
                <w:spacing w:val="5"/>
                <w:sz w:val="19"/>
                <w:szCs w:val="19"/>
                <w:lang w:val="en-US" w:eastAsia="zh-CN"/>
              </w:rPr>
              <w:t>9</w:t>
            </w:r>
            <w:r>
              <w:rPr>
                <w:b/>
                <w:bCs/>
                <w:spacing w:val="5"/>
                <w:sz w:val="19"/>
                <w:szCs w:val="19"/>
              </w:rPr>
              <w:t>:</w:t>
            </w:r>
            <w:r>
              <w:rPr>
                <w:rFonts w:hint="eastAsia"/>
                <w:b/>
                <w:bCs/>
                <w:spacing w:val="5"/>
                <w:sz w:val="19"/>
                <w:szCs w:val="19"/>
                <w:lang w:val="en-US" w:eastAsia="zh-CN"/>
              </w:rPr>
              <w:t>3</w:t>
            </w:r>
            <w:r>
              <w:rPr>
                <w:b/>
                <w:bCs/>
                <w:spacing w:val="5"/>
                <w:sz w:val="19"/>
                <w:szCs w:val="19"/>
              </w:rPr>
              <w:t>0</w:t>
            </w:r>
          </w:p>
        </w:tc>
        <w:tc>
          <w:tcPr>
            <w:tcW w:w="6344" w:type="dxa"/>
            <w:vAlign w:val="top"/>
          </w:tcPr>
          <w:p>
            <w:pPr>
              <w:pStyle w:val="9"/>
              <w:spacing w:before="221" w:line="180" w:lineRule="auto"/>
              <w:jc w:val="center"/>
              <w:rPr>
                <w:rFonts w:hint="default"/>
                <w:spacing w:val="25"/>
                <w:sz w:val="19"/>
                <w:szCs w:val="19"/>
                <w:lang w:val="en-US" w:eastAsia="zh-CN"/>
              </w:rPr>
            </w:pPr>
            <w:r>
              <w:rPr>
                <w:rFonts w:hint="eastAsia"/>
                <w:spacing w:val="25"/>
                <w:sz w:val="19"/>
                <w:szCs w:val="19"/>
                <w:lang w:val="en-US" w:eastAsia="zh-CN"/>
              </w:rPr>
              <w:t>中国规模以上工业企业利润</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9"/>
              <w:spacing w:before="232"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27</w:t>
            </w:r>
          </w:p>
        </w:tc>
        <w:tc>
          <w:tcPr>
            <w:tcW w:w="1478" w:type="dxa"/>
            <w:shd w:val="clear" w:color="auto" w:fill="D3EAFF"/>
            <w:vAlign w:val="top"/>
          </w:tcPr>
          <w:p>
            <w:pPr>
              <w:pStyle w:val="9"/>
              <w:spacing w:before="246" w:line="172" w:lineRule="auto"/>
              <w:ind w:left="101"/>
              <w:rPr>
                <w:sz w:val="19"/>
                <w:szCs w:val="19"/>
              </w:rPr>
            </w:pPr>
            <w:r>
              <w:rPr>
                <w:b/>
                <w:bCs/>
                <w:spacing w:val="5"/>
                <w:sz w:val="19"/>
                <w:szCs w:val="19"/>
              </w:rPr>
              <w:t>1</w:t>
            </w:r>
            <w:r>
              <w:rPr>
                <w:rFonts w:hint="eastAsia"/>
                <w:b/>
                <w:bCs/>
                <w:spacing w:val="5"/>
                <w:sz w:val="19"/>
                <w:szCs w:val="19"/>
                <w:lang w:val="en-US" w:eastAsia="zh-CN"/>
              </w:rPr>
              <w:t>8</w:t>
            </w:r>
            <w:r>
              <w:rPr>
                <w:b/>
                <w:bCs/>
                <w:spacing w:val="5"/>
                <w:sz w:val="19"/>
                <w:szCs w:val="19"/>
              </w:rPr>
              <w:t>:00</w:t>
            </w:r>
          </w:p>
        </w:tc>
        <w:tc>
          <w:tcPr>
            <w:tcW w:w="6344" w:type="dxa"/>
            <w:shd w:val="clear" w:color="auto" w:fill="D3EAFF"/>
            <w:vAlign w:val="top"/>
          </w:tcPr>
          <w:p>
            <w:pPr>
              <w:pStyle w:val="9"/>
              <w:spacing w:before="221" w:line="180" w:lineRule="auto"/>
              <w:jc w:val="center"/>
              <w:rPr>
                <w:rFonts w:hint="default"/>
                <w:spacing w:val="25"/>
                <w:sz w:val="19"/>
                <w:szCs w:val="19"/>
                <w:lang w:val="en-US" w:eastAsia="zh-CN"/>
              </w:rPr>
            </w:pPr>
            <w:r>
              <w:rPr>
                <w:rFonts w:hint="eastAsia"/>
                <w:spacing w:val="25"/>
                <w:sz w:val="19"/>
                <w:szCs w:val="19"/>
                <w:lang w:val="en-US" w:eastAsia="zh-CN"/>
              </w:rPr>
              <w:t>欧元区工业景气利润</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9"/>
              <w:spacing w:before="234"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28</w:t>
            </w:r>
          </w:p>
        </w:tc>
        <w:tc>
          <w:tcPr>
            <w:tcW w:w="1478" w:type="dxa"/>
            <w:vAlign w:val="top"/>
          </w:tcPr>
          <w:p>
            <w:pPr>
              <w:pStyle w:val="9"/>
              <w:spacing w:before="248" w:line="172" w:lineRule="auto"/>
              <w:ind w:left="92"/>
              <w:rPr>
                <w:sz w:val="19"/>
                <w:szCs w:val="19"/>
              </w:rPr>
            </w:pPr>
            <w:r>
              <w:rPr>
                <w:rFonts w:hint="eastAsia"/>
                <w:b/>
                <w:bCs/>
                <w:spacing w:val="3"/>
                <w:sz w:val="19"/>
                <w:szCs w:val="19"/>
                <w:lang w:val="en-US" w:eastAsia="zh-CN"/>
              </w:rPr>
              <w:t>15：00</w:t>
            </w:r>
          </w:p>
        </w:tc>
        <w:tc>
          <w:tcPr>
            <w:tcW w:w="6344" w:type="dxa"/>
            <w:vAlign w:val="top"/>
          </w:tcPr>
          <w:p>
            <w:pPr>
              <w:pStyle w:val="9"/>
              <w:spacing w:before="221" w:line="180" w:lineRule="auto"/>
              <w:jc w:val="center"/>
              <w:rPr>
                <w:rFonts w:hint="default"/>
                <w:spacing w:val="25"/>
                <w:sz w:val="19"/>
                <w:szCs w:val="19"/>
                <w:lang w:val="en-US" w:eastAsia="zh-CN"/>
              </w:rPr>
            </w:pPr>
            <w:r>
              <w:rPr>
                <w:rFonts w:hint="eastAsia"/>
                <w:spacing w:val="25"/>
                <w:sz w:val="19"/>
                <w:szCs w:val="19"/>
                <w:lang w:val="en-US" w:eastAsia="zh-CN"/>
              </w:rPr>
              <w:t>英国四季度GDP</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9"/>
              <w:spacing w:before="232" w:line="191" w:lineRule="auto"/>
              <w:ind w:left="449"/>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28</w:t>
            </w:r>
          </w:p>
        </w:tc>
        <w:tc>
          <w:tcPr>
            <w:tcW w:w="1478" w:type="dxa"/>
            <w:shd w:val="clear" w:color="auto" w:fill="D3EAFF"/>
            <w:vAlign w:val="top"/>
          </w:tcPr>
          <w:p>
            <w:pPr>
              <w:pStyle w:val="9"/>
              <w:spacing w:before="246" w:line="172" w:lineRule="auto"/>
              <w:ind w:left="101"/>
              <w:rPr>
                <w:sz w:val="19"/>
                <w:szCs w:val="19"/>
              </w:rPr>
            </w:pPr>
            <w:r>
              <w:rPr>
                <w:rFonts w:hint="eastAsia"/>
                <w:b/>
                <w:bCs/>
                <w:spacing w:val="5"/>
                <w:sz w:val="19"/>
                <w:szCs w:val="19"/>
                <w:lang w:val="en-US" w:eastAsia="zh-CN"/>
              </w:rPr>
              <w:t>20：30</w:t>
            </w:r>
          </w:p>
        </w:tc>
        <w:tc>
          <w:tcPr>
            <w:tcW w:w="6344" w:type="dxa"/>
            <w:shd w:val="clear" w:color="auto" w:fill="D3EAFF"/>
            <w:vAlign w:val="top"/>
          </w:tcPr>
          <w:p>
            <w:pPr>
              <w:pStyle w:val="9"/>
              <w:spacing w:before="221" w:line="180" w:lineRule="auto"/>
              <w:jc w:val="center"/>
              <w:rPr>
                <w:rFonts w:hint="default"/>
                <w:spacing w:val="25"/>
                <w:sz w:val="19"/>
                <w:szCs w:val="19"/>
                <w:lang w:val="en-US" w:eastAsia="zh-CN"/>
              </w:rPr>
            </w:pPr>
            <w:r>
              <w:rPr>
                <w:rFonts w:hint="eastAsia"/>
                <w:spacing w:val="25"/>
                <w:sz w:val="19"/>
                <w:szCs w:val="19"/>
                <w:lang w:val="en-US" w:eastAsia="zh-CN"/>
              </w:rPr>
              <w:t>美国GDP平减指数、初请失业人数、核心PCE物价指数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9"/>
              <w:spacing w:before="234" w:line="191" w:lineRule="auto"/>
              <w:ind w:left="449" w:leftChars="0"/>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28</w:t>
            </w:r>
          </w:p>
        </w:tc>
        <w:tc>
          <w:tcPr>
            <w:tcW w:w="1478" w:type="dxa"/>
            <w:vAlign w:val="top"/>
          </w:tcPr>
          <w:p>
            <w:pPr>
              <w:pStyle w:val="9"/>
              <w:spacing w:before="248" w:line="172" w:lineRule="auto"/>
              <w:ind w:left="101" w:leftChars="0"/>
              <w:rPr>
                <w:sz w:val="19"/>
                <w:szCs w:val="19"/>
              </w:rPr>
            </w:pPr>
            <w:r>
              <w:rPr>
                <w:rFonts w:hint="eastAsia"/>
                <w:b/>
                <w:bCs/>
                <w:spacing w:val="5"/>
                <w:sz w:val="19"/>
                <w:szCs w:val="19"/>
                <w:lang w:val="en-US" w:eastAsia="zh-CN"/>
              </w:rPr>
              <w:t>22</w:t>
            </w:r>
            <w:r>
              <w:rPr>
                <w:b/>
                <w:bCs/>
                <w:spacing w:val="5"/>
                <w:sz w:val="19"/>
                <w:szCs w:val="19"/>
              </w:rPr>
              <w:t>:00</w:t>
            </w:r>
          </w:p>
        </w:tc>
        <w:tc>
          <w:tcPr>
            <w:tcW w:w="6344" w:type="dxa"/>
            <w:vAlign w:val="top"/>
          </w:tcPr>
          <w:p>
            <w:pPr>
              <w:pStyle w:val="9"/>
              <w:spacing w:before="221" w:line="180" w:lineRule="auto"/>
              <w:jc w:val="center"/>
              <w:rPr>
                <w:rFonts w:hint="default"/>
                <w:spacing w:val="25"/>
                <w:sz w:val="19"/>
                <w:szCs w:val="19"/>
                <w:lang w:val="en-US" w:eastAsia="zh-CN"/>
              </w:rPr>
            </w:pPr>
            <w:r>
              <w:rPr>
                <w:rFonts w:hint="eastAsia"/>
                <w:spacing w:val="25"/>
                <w:sz w:val="19"/>
                <w:szCs w:val="19"/>
                <w:lang w:val="en-US" w:eastAsia="zh-CN"/>
              </w:rPr>
              <w:t>美国密歇根大学1年期通胀率预期</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9"/>
              <w:spacing w:before="234" w:line="191" w:lineRule="auto"/>
              <w:ind w:left="449" w:leftChars="0"/>
              <w:rPr>
                <w:rFonts w:hint="default" w:eastAsia="微软雅黑"/>
                <w:sz w:val="19"/>
                <w:szCs w:val="19"/>
                <w:lang w:val="en-US" w:eastAsia="zh-CN"/>
              </w:rPr>
            </w:pPr>
            <w:r>
              <w:rPr>
                <w:b/>
                <w:bCs/>
                <w:spacing w:val="3"/>
                <w:sz w:val="19"/>
                <w:szCs w:val="19"/>
              </w:rPr>
              <w:t>2024/3/</w:t>
            </w:r>
            <w:r>
              <w:rPr>
                <w:rFonts w:hint="eastAsia"/>
                <w:b/>
                <w:bCs/>
                <w:spacing w:val="3"/>
                <w:sz w:val="19"/>
                <w:szCs w:val="19"/>
                <w:lang w:val="en-US" w:eastAsia="zh-CN"/>
              </w:rPr>
              <w:t>28</w:t>
            </w:r>
          </w:p>
        </w:tc>
        <w:tc>
          <w:tcPr>
            <w:tcW w:w="1478" w:type="dxa"/>
            <w:shd w:val="clear" w:color="auto" w:fill="D3EAFF"/>
            <w:vAlign w:val="top"/>
          </w:tcPr>
          <w:p>
            <w:pPr>
              <w:pStyle w:val="9"/>
              <w:spacing w:before="248" w:line="172" w:lineRule="auto"/>
              <w:ind w:left="92" w:leftChars="0"/>
              <w:rPr>
                <w:sz w:val="19"/>
                <w:szCs w:val="19"/>
              </w:rPr>
            </w:pPr>
            <w:r>
              <w:rPr>
                <w:rFonts w:hint="eastAsia"/>
                <w:b/>
                <w:bCs/>
                <w:spacing w:val="3"/>
                <w:sz w:val="19"/>
                <w:szCs w:val="19"/>
                <w:lang w:val="en-US" w:eastAsia="zh-CN"/>
              </w:rPr>
              <w:t>16：55</w:t>
            </w:r>
          </w:p>
        </w:tc>
        <w:tc>
          <w:tcPr>
            <w:tcW w:w="6344" w:type="dxa"/>
            <w:shd w:val="clear" w:color="auto" w:fill="D3EAFF"/>
            <w:vAlign w:val="top"/>
          </w:tcPr>
          <w:p>
            <w:pPr>
              <w:pStyle w:val="9"/>
              <w:spacing w:before="221" w:line="180" w:lineRule="auto"/>
              <w:jc w:val="center"/>
              <w:rPr>
                <w:rFonts w:hint="default"/>
                <w:spacing w:val="25"/>
                <w:sz w:val="19"/>
                <w:szCs w:val="19"/>
                <w:lang w:val="en-US" w:eastAsia="zh-CN"/>
              </w:rPr>
            </w:pPr>
            <w:r>
              <w:rPr>
                <w:rFonts w:hint="eastAsia"/>
                <w:spacing w:val="25"/>
                <w:sz w:val="19"/>
                <w:szCs w:val="19"/>
                <w:lang w:val="en-US" w:eastAsia="zh-CN"/>
              </w:rPr>
              <w:t>德国3月失业率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9"/>
              <w:spacing w:before="234"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2024/3/</w:t>
            </w:r>
            <w:r>
              <w:rPr>
                <w:rFonts w:hint="eastAsia"/>
                <w:b/>
                <w:bCs/>
                <w:spacing w:val="3"/>
                <w:sz w:val="19"/>
                <w:szCs w:val="19"/>
                <w:lang w:val="en-US" w:eastAsia="zh-CN"/>
              </w:rPr>
              <w:t>29</w:t>
            </w:r>
          </w:p>
        </w:tc>
        <w:tc>
          <w:tcPr>
            <w:tcW w:w="1478" w:type="dxa"/>
            <w:shd w:val="clear" w:color="auto" w:fill="FFFFFF" w:themeFill="background1"/>
            <w:vAlign w:val="top"/>
          </w:tcPr>
          <w:p>
            <w:pPr>
              <w:pStyle w:val="9"/>
              <w:spacing w:before="248" w:line="172" w:lineRule="auto"/>
              <w:ind w:left="92" w:leftChars="0"/>
              <w:rPr>
                <w:rFonts w:hint="default" w:ascii="微软雅黑" w:hAnsi="微软雅黑" w:eastAsia="微软雅黑" w:cs="微软雅黑"/>
                <w:snapToGrid w:val="0"/>
                <w:color w:val="000000"/>
                <w:kern w:val="0"/>
                <w:sz w:val="19"/>
                <w:szCs w:val="19"/>
                <w:lang w:val="en-US" w:eastAsia="zh-CN" w:bidi="ar-SA"/>
              </w:rPr>
            </w:pPr>
            <w:r>
              <w:rPr>
                <w:rFonts w:hint="eastAsia"/>
                <w:b/>
                <w:bCs/>
                <w:spacing w:val="6"/>
                <w:sz w:val="19"/>
                <w:szCs w:val="19"/>
                <w:lang w:val="en-US" w:eastAsia="zh-CN"/>
              </w:rPr>
              <w:t>4</w:t>
            </w:r>
            <w:r>
              <w:rPr>
                <w:b/>
                <w:bCs/>
                <w:spacing w:val="6"/>
                <w:sz w:val="19"/>
                <w:szCs w:val="19"/>
              </w:rPr>
              <w:t>:30</w:t>
            </w:r>
          </w:p>
        </w:tc>
        <w:tc>
          <w:tcPr>
            <w:tcW w:w="6344" w:type="dxa"/>
            <w:shd w:val="clear" w:color="auto" w:fill="FFFFFF" w:themeFill="background1"/>
            <w:vAlign w:val="top"/>
          </w:tcPr>
          <w:p>
            <w:pPr>
              <w:pStyle w:val="9"/>
              <w:spacing w:before="221" w:line="180" w:lineRule="auto"/>
              <w:jc w:val="center"/>
              <w:rPr>
                <w:rFonts w:hint="default"/>
                <w:spacing w:val="25"/>
                <w:sz w:val="19"/>
                <w:szCs w:val="19"/>
                <w:lang w:val="en-US" w:eastAsia="zh-CN"/>
              </w:rPr>
            </w:pPr>
            <w:r>
              <w:rPr>
                <w:rFonts w:hint="eastAsia"/>
                <w:spacing w:val="25"/>
                <w:sz w:val="19"/>
                <w:szCs w:val="19"/>
                <w:lang w:val="en-US" w:eastAsia="zh-CN"/>
              </w:rPr>
              <w:t>美国联邦储备银行储备金余额</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9"/>
              <w:spacing w:before="235" w:line="191" w:lineRule="auto"/>
              <w:ind w:left="449" w:leftChars="0"/>
              <w:rPr>
                <w:rFonts w:hint="default" w:ascii="微软雅黑" w:hAnsi="微软雅黑" w:eastAsia="微软雅黑" w:cs="微软雅黑"/>
                <w:snapToGrid w:val="0"/>
                <w:color w:val="000000"/>
                <w:kern w:val="0"/>
                <w:sz w:val="19"/>
                <w:szCs w:val="19"/>
                <w:lang w:val="en-US" w:eastAsia="en-US" w:bidi="ar-SA"/>
              </w:rPr>
            </w:pPr>
            <w:r>
              <w:rPr>
                <w:b/>
                <w:bCs/>
                <w:spacing w:val="3"/>
                <w:sz w:val="19"/>
                <w:szCs w:val="19"/>
              </w:rPr>
              <w:t>2024/3/</w:t>
            </w:r>
            <w:r>
              <w:rPr>
                <w:rFonts w:hint="eastAsia"/>
                <w:b/>
                <w:bCs/>
                <w:spacing w:val="3"/>
                <w:sz w:val="19"/>
                <w:szCs w:val="19"/>
                <w:lang w:val="en-US" w:eastAsia="zh-CN"/>
              </w:rPr>
              <w:t>29</w:t>
            </w:r>
          </w:p>
        </w:tc>
        <w:tc>
          <w:tcPr>
            <w:tcW w:w="1478" w:type="dxa"/>
            <w:shd w:val="clear" w:color="auto" w:fill="D3EAFF"/>
            <w:vAlign w:val="top"/>
          </w:tcPr>
          <w:p>
            <w:pPr>
              <w:pStyle w:val="9"/>
              <w:spacing w:before="252" w:line="170" w:lineRule="auto"/>
              <w:ind w:left="101" w:leftChars="0"/>
              <w:rPr>
                <w:rFonts w:hint="eastAsia"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7</w:t>
            </w:r>
            <w:r>
              <w:rPr>
                <w:b/>
                <w:bCs/>
                <w:spacing w:val="5"/>
                <w:sz w:val="19"/>
                <w:szCs w:val="19"/>
              </w:rPr>
              <w:t>:</w:t>
            </w:r>
            <w:r>
              <w:rPr>
                <w:rFonts w:hint="eastAsia"/>
                <w:b/>
                <w:bCs/>
                <w:spacing w:val="5"/>
                <w:sz w:val="19"/>
                <w:szCs w:val="19"/>
                <w:lang w:val="en-US" w:eastAsia="zh-CN"/>
              </w:rPr>
              <w:t>30</w:t>
            </w:r>
          </w:p>
        </w:tc>
        <w:tc>
          <w:tcPr>
            <w:tcW w:w="6344" w:type="dxa"/>
            <w:shd w:val="clear" w:color="auto" w:fill="D3EAFF"/>
            <w:vAlign w:val="top"/>
          </w:tcPr>
          <w:p>
            <w:pPr>
              <w:pStyle w:val="9"/>
              <w:spacing w:before="221" w:line="180" w:lineRule="auto"/>
              <w:jc w:val="center"/>
              <w:rPr>
                <w:rFonts w:hint="eastAsia"/>
                <w:spacing w:val="25"/>
                <w:sz w:val="19"/>
                <w:szCs w:val="19"/>
                <w:lang w:val="en-US" w:eastAsia="zh-CN"/>
              </w:rPr>
            </w:pPr>
            <w:r>
              <w:rPr>
                <w:rFonts w:hint="eastAsia"/>
                <w:spacing w:val="25"/>
                <w:sz w:val="19"/>
                <w:szCs w:val="19"/>
                <w:lang w:val="en-US" w:eastAsia="zh-CN"/>
              </w:rPr>
              <w:t>日本2月失业率、2月工业产出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9"/>
              <w:spacing w:before="235"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2024/3/</w:t>
            </w:r>
            <w:r>
              <w:rPr>
                <w:rFonts w:hint="eastAsia"/>
                <w:b/>
                <w:bCs/>
                <w:spacing w:val="3"/>
                <w:sz w:val="19"/>
                <w:szCs w:val="19"/>
                <w:lang w:val="en-US" w:eastAsia="zh-CN"/>
              </w:rPr>
              <w:t>29</w:t>
            </w:r>
          </w:p>
        </w:tc>
        <w:tc>
          <w:tcPr>
            <w:tcW w:w="1478" w:type="dxa"/>
            <w:shd w:val="clear" w:color="auto" w:fill="FFFFFF" w:themeFill="background1"/>
            <w:vAlign w:val="top"/>
          </w:tcPr>
          <w:p>
            <w:pPr>
              <w:pStyle w:val="9"/>
              <w:spacing w:before="252" w:line="170" w:lineRule="auto"/>
              <w:ind w:left="101" w:leftChars="0"/>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15</w:t>
            </w:r>
            <w:r>
              <w:rPr>
                <w:b/>
                <w:bCs/>
                <w:spacing w:val="5"/>
                <w:sz w:val="19"/>
                <w:szCs w:val="19"/>
              </w:rPr>
              <w:t>:</w:t>
            </w:r>
            <w:r>
              <w:rPr>
                <w:rFonts w:hint="eastAsia"/>
                <w:b/>
                <w:bCs/>
                <w:spacing w:val="5"/>
                <w:sz w:val="19"/>
                <w:szCs w:val="19"/>
                <w:lang w:val="en-US" w:eastAsia="zh-CN"/>
              </w:rPr>
              <w:t>45</w:t>
            </w:r>
          </w:p>
        </w:tc>
        <w:tc>
          <w:tcPr>
            <w:tcW w:w="6344" w:type="dxa"/>
            <w:shd w:val="clear" w:color="auto" w:fill="FFFFFF" w:themeFill="background1"/>
            <w:vAlign w:val="top"/>
          </w:tcPr>
          <w:p>
            <w:pPr>
              <w:pStyle w:val="9"/>
              <w:spacing w:before="221" w:line="180" w:lineRule="auto"/>
              <w:jc w:val="center"/>
              <w:rPr>
                <w:rFonts w:hint="default"/>
                <w:spacing w:val="25"/>
                <w:sz w:val="19"/>
                <w:szCs w:val="19"/>
                <w:lang w:val="en-US" w:eastAsia="zh-CN"/>
              </w:rPr>
            </w:pPr>
            <w:r>
              <w:rPr>
                <w:rFonts w:hint="eastAsia"/>
                <w:spacing w:val="25"/>
                <w:sz w:val="19"/>
                <w:szCs w:val="19"/>
                <w:lang w:val="en-US" w:eastAsia="zh-CN"/>
              </w:rPr>
              <w:t>法国3月CPI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9"/>
              <w:spacing w:before="235" w:line="191" w:lineRule="auto"/>
              <w:ind w:left="449" w:leftChars="0"/>
              <w:rPr>
                <w:rFonts w:ascii="微软雅黑" w:hAnsi="微软雅黑" w:eastAsia="微软雅黑" w:cs="微软雅黑"/>
                <w:b/>
                <w:bCs/>
                <w:snapToGrid w:val="0"/>
                <w:color w:val="000000"/>
                <w:spacing w:val="3"/>
                <w:kern w:val="0"/>
                <w:sz w:val="19"/>
                <w:szCs w:val="19"/>
                <w:lang w:val="en-US" w:eastAsia="en-US" w:bidi="ar-SA"/>
              </w:rPr>
            </w:pPr>
            <w:r>
              <w:rPr>
                <w:b/>
                <w:bCs/>
                <w:spacing w:val="3"/>
                <w:sz w:val="19"/>
                <w:szCs w:val="19"/>
              </w:rPr>
              <w:t>2024/3/</w:t>
            </w:r>
            <w:r>
              <w:rPr>
                <w:rFonts w:hint="eastAsia"/>
                <w:b/>
                <w:bCs/>
                <w:spacing w:val="3"/>
                <w:sz w:val="19"/>
                <w:szCs w:val="19"/>
                <w:lang w:val="en-US" w:eastAsia="zh-CN"/>
              </w:rPr>
              <w:t>29</w:t>
            </w:r>
          </w:p>
        </w:tc>
        <w:tc>
          <w:tcPr>
            <w:tcW w:w="1478" w:type="dxa"/>
            <w:shd w:val="clear" w:color="auto" w:fill="D3EAFF"/>
            <w:vAlign w:val="top"/>
          </w:tcPr>
          <w:p>
            <w:pPr>
              <w:pStyle w:val="9"/>
              <w:spacing w:before="252" w:line="170" w:lineRule="auto"/>
              <w:ind w:left="101" w:leftChars="0"/>
              <w:rPr>
                <w:rFonts w:hint="default" w:ascii="微软雅黑" w:hAnsi="微软雅黑" w:eastAsia="微软雅黑" w:cs="微软雅黑"/>
                <w:b/>
                <w:bCs/>
                <w:snapToGrid w:val="0"/>
                <w:color w:val="000000"/>
                <w:spacing w:val="5"/>
                <w:kern w:val="0"/>
                <w:sz w:val="19"/>
                <w:szCs w:val="19"/>
                <w:lang w:val="en-US" w:eastAsia="zh-CN" w:bidi="ar-SA"/>
              </w:rPr>
            </w:pPr>
            <w:r>
              <w:rPr>
                <w:rFonts w:hint="eastAsia" w:cs="微软雅黑"/>
                <w:b/>
                <w:bCs/>
                <w:snapToGrid w:val="0"/>
                <w:color w:val="000000"/>
                <w:spacing w:val="5"/>
                <w:kern w:val="0"/>
                <w:sz w:val="19"/>
                <w:szCs w:val="19"/>
                <w:lang w:val="en-US" w:eastAsia="zh-CN" w:bidi="ar-SA"/>
              </w:rPr>
              <w:t>18：00</w:t>
            </w:r>
          </w:p>
        </w:tc>
        <w:tc>
          <w:tcPr>
            <w:tcW w:w="6344" w:type="dxa"/>
            <w:shd w:val="clear" w:color="auto" w:fill="D3EAFF"/>
            <w:vAlign w:val="top"/>
          </w:tcPr>
          <w:p>
            <w:pPr>
              <w:pStyle w:val="9"/>
              <w:spacing w:before="221" w:line="180" w:lineRule="auto"/>
              <w:jc w:val="center"/>
              <w:rPr>
                <w:rFonts w:hint="default"/>
                <w:spacing w:val="25"/>
                <w:sz w:val="19"/>
                <w:szCs w:val="19"/>
                <w:lang w:val="en-US" w:eastAsia="zh-CN"/>
              </w:rPr>
            </w:pPr>
            <w:r>
              <w:rPr>
                <w:rFonts w:hint="eastAsia"/>
                <w:spacing w:val="25"/>
                <w:sz w:val="19"/>
                <w:szCs w:val="19"/>
                <w:lang w:val="en-US" w:eastAsia="zh-CN"/>
              </w:rPr>
              <w:t>意大利3月CPI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9"/>
              <w:spacing w:before="235" w:line="191" w:lineRule="auto"/>
              <w:ind w:left="449" w:leftChars="0"/>
              <w:rPr>
                <w:rFonts w:ascii="微软雅黑" w:hAnsi="微软雅黑" w:eastAsia="微软雅黑" w:cs="微软雅黑"/>
                <w:b/>
                <w:bCs/>
                <w:snapToGrid w:val="0"/>
                <w:color w:val="000000"/>
                <w:spacing w:val="3"/>
                <w:kern w:val="0"/>
                <w:sz w:val="19"/>
                <w:szCs w:val="19"/>
                <w:lang w:val="en-US" w:eastAsia="en-US" w:bidi="ar-SA"/>
              </w:rPr>
            </w:pPr>
            <w:r>
              <w:rPr>
                <w:b/>
                <w:bCs/>
                <w:spacing w:val="3"/>
                <w:sz w:val="19"/>
                <w:szCs w:val="19"/>
              </w:rPr>
              <w:t>2024/3/</w:t>
            </w:r>
            <w:r>
              <w:rPr>
                <w:rFonts w:hint="eastAsia"/>
                <w:b/>
                <w:bCs/>
                <w:spacing w:val="3"/>
                <w:sz w:val="19"/>
                <w:szCs w:val="19"/>
                <w:lang w:val="en-US" w:eastAsia="zh-CN"/>
              </w:rPr>
              <w:t>29</w:t>
            </w:r>
          </w:p>
        </w:tc>
        <w:tc>
          <w:tcPr>
            <w:tcW w:w="1478" w:type="dxa"/>
            <w:shd w:val="clear" w:color="auto" w:fill="FFFFFF" w:themeFill="background1"/>
            <w:vAlign w:val="top"/>
          </w:tcPr>
          <w:p>
            <w:pPr>
              <w:pStyle w:val="9"/>
              <w:spacing w:before="252" w:line="170" w:lineRule="auto"/>
              <w:ind w:left="101" w:leftChars="0"/>
              <w:rPr>
                <w:rFonts w:hint="eastAsia" w:ascii="微软雅黑" w:hAnsi="微软雅黑" w:eastAsia="微软雅黑" w:cs="微软雅黑"/>
                <w:b/>
                <w:bCs/>
                <w:snapToGrid w:val="0"/>
                <w:color w:val="000000"/>
                <w:spacing w:val="5"/>
                <w:kern w:val="0"/>
                <w:sz w:val="19"/>
                <w:szCs w:val="19"/>
                <w:lang w:val="en-US" w:eastAsia="zh-CN" w:bidi="ar-SA"/>
              </w:rPr>
            </w:pPr>
            <w:r>
              <w:rPr>
                <w:rFonts w:hint="eastAsia"/>
                <w:b/>
                <w:bCs/>
                <w:spacing w:val="5"/>
                <w:sz w:val="19"/>
                <w:szCs w:val="19"/>
                <w:lang w:val="en-US" w:eastAsia="zh-CN"/>
              </w:rPr>
              <w:t>20：30</w:t>
            </w:r>
          </w:p>
        </w:tc>
        <w:tc>
          <w:tcPr>
            <w:tcW w:w="6344" w:type="dxa"/>
            <w:shd w:val="clear" w:color="auto" w:fill="FFFFFF" w:themeFill="background1"/>
            <w:vAlign w:val="top"/>
          </w:tcPr>
          <w:p>
            <w:pPr>
              <w:pStyle w:val="9"/>
              <w:spacing w:before="221" w:line="180" w:lineRule="auto"/>
              <w:jc w:val="center"/>
              <w:rPr>
                <w:rFonts w:hint="eastAsia"/>
                <w:spacing w:val="25"/>
                <w:sz w:val="19"/>
                <w:szCs w:val="19"/>
                <w:lang w:val="en-US" w:eastAsia="zh-CN"/>
              </w:rPr>
            </w:pPr>
            <w:r>
              <w:rPr>
                <w:rFonts w:hint="eastAsia"/>
                <w:spacing w:val="25"/>
                <w:sz w:val="19"/>
                <w:szCs w:val="19"/>
                <w:lang w:val="en-US" w:eastAsia="zh-CN"/>
              </w:rPr>
              <w:t>美国核心PCE物价指数</w:t>
            </w:r>
          </w:p>
        </w:tc>
      </w:tr>
    </w:tbl>
    <w:p>
      <w:pPr>
        <w:spacing w:before="172" w:line="417" w:lineRule="exact"/>
        <w:rPr>
          <w:rFonts w:ascii="微软雅黑" w:hAnsi="微软雅黑" w:eastAsia="微软雅黑" w:cs="微软雅黑"/>
          <w:color w:val="CE393F"/>
          <w:spacing w:val="8"/>
          <w:position w:val="2"/>
          <w:sz w:val="40"/>
          <w:szCs w:val="40"/>
        </w:rPr>
      </w:pPr>
    </w:p>
    <w:p>
      <w:pPr>
        <w:spacing w:before="172" w:line="417" w:lineRule="exact"/>
        <w:rPr>
          <w:rFonts w:ascii="微软雅黑" w:hAnsi="微软雅黑" w:eastAsia="微软雅黑" w:cs="微软雅黑"/>
          <w:color w:val="CE393F"/>
          <w:spacing w:val="8"/>
          <w:position w:val="2"/>
          <w:sz w:val="40"/>
          <w:szCs w:val="40"/>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8"/>
          <w:sz w:val="18"/>
          <w:szCs w:val="18"/>
        </w:rPr>
        <w:t>则。</w:t>
      </w:r>
    </w:p>
    <w:p>
      <w:pPr>
        <w:spacing w:before="34" w:line="189" w:lineRule="auto"/>
        <w:ind w:left="337" w:right="707" w:firstLine="381"/>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3"/>
                    <a:stretch>
                      <a:fillRect/>
                    </a:stretch>
                  </pic:blipFill>
                  <pic:spPr>
                    <a:xfrm>
                      <a:off x="0" y="0"/>
                      <a:ext cx="1936488" cy="1938179"/>
                    </a:xfrm>
                    <a:prstGeom prst="rect">
                      <a:avLst/>
                    </a:prstGeom>
                  </pic:spPr>
                </pic:pic>
              </a:graphicData>
            </a:graphic>
          </wp:inline>
        </w:drawing>
      </w:r>
    </w:p>
    <w:p>
      <w:pPr>
        <w:pStyle w:val="2"/>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思源黑体 CN Bold">
    <w:altName w:val="黑体"/>
    <w:panose1 w:val="020B0800000000000000"/>
    <w:charset w:val="86"/>
    <w:family w:val="auto"/>
    <w:pitch w:val="default"/>
    <w:sig w:usb0="00000000" w:usb1="00000000" w:usb2="00000016" w:usb3="00000000" w:csb0="60060107"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2"/>
      <w:pBdr>
        <w:bottom w:val="single" w:color="3669AB" w:sz="4" w:space="0"/>
      </w:pBdr>
      <w:spacing w:line="240" w:lineRule="auto"/>
      <w:ind w:right="420" w:rightChars="200"/>
      <w:jc w:val="right"/>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ODg0OTE2YjY5YTI4YTA0ODk4OGU0YzI0YTM5N2I2ZmEifQ=="/>
  </w:docVars>
  <w:rsids>
    <w:rsidRoot w:val="00000000"/>
    <w:rsid w:val="007D6A53"/>
    <w:rsid w:val="008C34FC"/>
    <w:rsid w:val="00A010BF"/>
    <w:rsid w:val="00C1153A"/>
    <w:rsid w:val="01341CF4"/>
    <w:rsid w:val="01E8409E"/>
    <w:rsid w:val="02005B8D"/>
    <w:rsid w:val="0213141D"/>
    <w:rsid w:val="02EC2F6F"/>
    <w:rsid w:val="03280EF8"/>
    <w:rsid w:val="034054FA"/>
    <w:rsid w:val="03824F0B"/>
    <w:rsid w:val="03CC3F74"/>
    <w:rsid w:val="03FD2384"/>
    <w:rsid w:val="042F62B6"/>
    <w:rsid w:val="049B394B"/>
    <w:rsid w:val="04B70785"/>
    <w:rsid w:val="04C17856"/>
    <w:rsid w:val="054364BD"/>
    <w:rsid w:val="059F35E1"/>
    <w:rsid w:val="06231E4A"/>
    <w:rsid w:val="06D373CC"/>
    <w:rsid w:val="06FC2D09"/>
    <w:rsid w:val="07021B58"/>
    <w:rsid w:val="07322345"/>
    <w:rsid w:val="073D0CEA"/>
    <w:rsid w:val="07653124"/>
    <w:rsid w:val="07707311"/>
    <w:rsid w:val="079511E1"/>
    <w:rsid w:val="07CC279A"/>
    <w:rsid w:val="080767B5"/>
    <w:rsid w:val="082C3238"/>
    <w:rsid w:val="085D6814"/>
    <w:rsid w:val="0869623A"/>
    <w:rsid w:val="09152EA8"/>
    <w:rsid w:val="09242B63"/>
    <w:rsid w:val="092959CA"/>
    <w:rsid w:val="097E5D15"/>
    <w:rsid w:val="09896468"/>
    <w:rsid w:val="098B5AA9"/>
    <w:rsid w:val="09970B85"/>
    <w:rsid w:val="09B5725D"/>
    <w:rsid w:val="09C75A8B"/>
    <w:rsid w:val="0A36214C"/>
    <w:rsid w:val="0A7A53A9"/>
    <w:rsid w:val="0A8A6AF0"/>
    <w:rsid w:val="0AAA22FF"/>
    <w:rsid w:val="0AC60ADC"/>
    <w:rsid w:val="0AE55920"/>
    <w:rsid w:val="0B7D2159"/>
    <w:rsid w:val="0C000C64"/>
    <w:rsid w:val="0C2A3F33"/>
    <w:rsid w:val="0C4072B2"/>
    <w:rsid w:val="0CC223BD"/>
    <w:rsid w:val="0CD7652D"/>
    <w:rsid w:val="0D1D5845"/>
    <w:rsid w:val="0D69568B"/>
    <w:rsid w:val="0DF31BD1"/>
    <w:rsid w:val="0E326BA2"/>
    <w:rsid w:val="0E4F7D75"/>
    <w:rsid w:val="0E927B6D"/>
    <w:rsid w:val="0F73174D"/>
    <w:rsid w:val="0F9B3E1D"/>
    <w:rsid w:val="0FCE6D9C"/>
    <w:rsid w:val="0FF161F3"/>
    <w:rsid w:val="103678CB"/>
    <w:rsid w:val="104B091B"/>
    <w:rsid w:val="10703EDE"/>
    <w:rsid w:val="10F7015B"/>
    <w:rsid w:val="110B6818"/>
    <w:rsid w:val="11691059"/>
    <w:rsid w:val="116C441E"/>
    <w:rsid w:val="11827C12"/>
    <w:rsid w:val="125D0492"/>
    <w:rsid w:val="12C237C9"/>
    <w:rsid w:val="12C749CB"/>
    <w:rsid w:val="1308350B"/>
    <w:rsid w:val="13220EF9"/>
    <w:rsid w:val="13DA4490"/>
    <w:rsid w:val="13FB6FAB"/>
    <w:rsid w:val="14C64A14"/>
    <w:rsid w:val="14E530ED"/>
    <w:rsid w:val="15107A3E"/>
    <w:rsid w:val="15267261"/>
    <w:rsid w:val="154A11A2"/>
    <w:rsid w:val="156B77ED"/>
    <w:rsid w:val="156F266A"/>
    <w:rsid w:val="16754247"/>
    <w:rsid w:val="16863709"/>
    <w:rsid w:val="16BE1855"/>
    <w:rsid w:val="16D01B7A"/>
    <w:rsid w:val="16DA0303"/>
    <w:rsid w:val="17A01C2C"/>
    <w:rsid w:val="17D17958"/>
    <w:rsid w:val="18C11800"/>
    <w:rsid w:val="18E04E3E"/>
    <w:rsid w:val="18E831AB"/>
    <w:rsid w:val="19061883"/>
    <w:rsid w:val="19341F4D"/>
    <w:rsid w:val="19767335"/>
    <w:rsid w:val="199E2264"/>
    <w:rsid w:val="19A60971"/>
    <w:rsid w:val="19AD1CFF"/>
    <w:rsid w:val="19BC1F42"/>
    <w:rsid w:val="19E358AB"/>
    <w:rsid w:val="1A372AF8"/>
    <w:rsid w:val="1A3D26DE"/>
    <w:rsid w:val="1AFC2F3E"/>
    <w:rsid w:val="1B593EEC"/>
    <w:rsid w:val="1B80591D"/>
    <w:rsid w:val="1B972C67"/>
    <w:rsid w:val="1BEC4D61"/>
    <w:rsid w:val="1CE52038"/>
    <w:rsid w:val="1D552DD9"/>
    <w:rsid w:val="1D623E20"/>
    <w:rsid w:val="1DC011C6"/>
    <w:rsid w:val="1DFB6D88"/>
    <w:rsid w:val="1E0565AE"/>
    <w:rsid w:val="1E746936"/>
    <w:rsid w:val="1E7B0D31"/>
    <w:rsid w:val="1E8815F3"/>
    <w:rsid w:val="1E9B2E83"/>
    <w:rsid w:val="1F1545CE"/>
    <w:rsid w:val="205C7FDB"/>
    <w:rsid w:val="208048FB"/>
    <w:rsid w:val="20853621"/>
    <w:rsid w:val="2095478D"/>
    <w:rsid w:val="20B35E4D"/>
    <w:rsid w:val="211A411E"/>
    <w:rsid w:val="21441E0B"/>
    <w:rsid w:val="21627B07"/>
    <w:rsid w:val="21AE4866"/>
    <w:rsid w:val="21F93D33"/>
    <w:rsid w:val="220426D8"/>
    <w:rsid w:val="2290778B"/>
    <w:rsid w:val="22AD4B1E"/>
    <w:rsid w:val="22BD1205"/>
    <w:rsid w:val="22BE4A13"/>
    <w:rsid w:val="232474D6"/>
    <w:rsid w:val="233D0598"/>
    <w:rsid w:val="238C2763"/>
    <w:rsid w:val="23B86E30"/>
    <w:rsid w:val="23D5257E"/>
    <w:rsid w:val="24250859"/>
    <w:rsid w:val="24334AC7"/>
    <w:rsid w:val="246425AE"/>
    <w:rsid w:val="247E49C4"/>
    <w:rsid w:val="24AD7057"/>
    <w:rsid w:val="251D242F"/>
    <w:rsid w:val="2535374E"/>
    <w:rsid w:val="25AD37B3"/>
    <w:rsid w:val="260165BE"/>
    <w:rsid w:val="26663961"/>
    <w:rsid w:val="26C54B2C"/>
    <w:rsid w:val="279D33B3"/>
    <w:rsid w:val="279F537D"/>
    <w:rsid w:val="27C929C0"/>
    <w:rsid w:val="283F26BC"/>
    <w:rsid w:val="284E0B51"/>
    <w:rsid w:val="286A598B"/>
    <w:rsid w:val="28881A4D"/>
    <w:rsid w:val="28B15B83"/>
    <w:rsid w:val="29017971"/>
    <w:rsid w:val="29455307"/>
    <w:rsid w:val="299D3B3E"/>
    <w:rsid w:val="29B30FEE"/>
    <w:rsid w:val="2A1E732F"/>
    <w:rsid w:val="2A272A4A"/>
    <w:rsid w:val="2AC22EAC"/>
    <w:rsid w:val="2ADC7592"/>
    <w:rsid w:val="2B085B32"/>
    <w:rsid w:val="2B4C22BD"/>
    <w:rsid w:val="2B6A2E6E"/>
    <w:rsid w:val="2B7E2269"/>
    <w:rsid w:val="2BB90E9F"/>
    <w:rsid w:val="2BD15D21"/>
    <w:rsid w:val="2BE23A8A"/>
    <w:rsid w:val="2C212804"/>
    <w:rsid w:val="2C3C763E"/>
    <w:rsid w:val="2C771152"/>
    <w:rsid w:val="2CD94E8D"/>
    <w:rsid w:val="2D855015"/>
    <w:rsid w:val="2D9708A4"/>
    <w:rsid w:val="2DF73448"/>
    <w:rsid w:val="2E480174"/>
    <w:rsid w:val="2EE10029"/>
    <w:rsid w:val="2F1E74CF"/>
    <w:rsid w:val="2F2148C9"/>
    <w:rsid w:val="2F275F54"/>
    <w:rsid w:val="2FB0511C"/>
    <w:rsid w:val="3011493E"/>
    <w:rsid w:val="305673F5"/>
    <w:rsid w:val="3095556F"/>
    <w:rsid w:val="32CB52DE"/>
    <w:rsid w:val="32D216B8"/>
    <w:rsid w:val="33081734"/>
    <w:rsid w:val="33245604"/>
    <w:rsid w:val="338E62A6"/>
    <w:rsid w:val="33F00D0E"/>
    <w:rsid w:val="345C4021"/>
    <w:rsid w:val="34711E4F"/>
    <w:rsid w:val="34A74BC5"/>
    <w:rsid w:val="356A1C52"/>
    <w:rsid w:val="36632192"/>
    <w:rsid w:val="37702892"/>
    <w:rsid w:val="380B4369"/>
    <w:rsid w:val="38170F5F"/>
    <w:rsid w:val="38BC51B4"/>
    <w:rsid w:val="38C91989"/>
    <w:rsid w:val="38E5105E"/>
    <w:rsid w:val="38F25761"/>
    <w:rsid w:val="38FB56B5"/>
    <w:rsid w:val="39086136"/>
    <w:rsid w:val="39A14C56"/>
    <w:rsid w:val="39D53024"/>
    <w:rsid w:val="3A985990"/>
    <w:rsid w:val="3AA07D8C"/>
    <w:rsid w:val="3AFE01B5"/>
    <w:rsid w:val="3B111523"/>
    <w:rsid w:val="3B2571C4"/>
    <w:rsid w:val="3B3E47CB"/>
    <w:rsid w:val="3B4113C5"/>
    <w:rsid w:val="3B495521"/>
    <w:rsid w:val="3B5507F7"/>
    <w:rsid w:val="3B997AE8"/>
    <w:rsid w:val="3BEC4FAF"/>
    <w:rsid w:val="3BF70E8C"/>
    <w:rsid w:val="3BF9665A"/>
    <w:rsid w:val="3C70150C"/>
    <w:rsid w:val="3C771FCD"/>
    <w:rsid w:val="3CA516B0"/>
    <w:rsid w:val="3CAE072D"/>
    <w:rsid w:val="3D37175C"/>
    <w:rsid w:val="3D6062BD"/>
    <w:rsid w:val="3D78424E"/>
    <w:rsid w:val="3D9B618F"/>
    <w:rsid w:val="3DD52283"/>
    <w:rsid w:val="3DE2791A"/>
    <w:rsid w:val="3ED92ACB"/>
    <w:rsid w:val="3EED6576"/>
    <w:rsid w:val="3F19736B"/>
    <w:rsid w:val="3F1C5D68"/>
    <w:rsid w:val="3F2301EA"/>
    <w:rsid w:val="3F65386F"/>
    <w:rsid w:val="3FA0766C"/>
    <w:rsid w:val="3FC05C11"/>
    <w:rsid w:val="40645910"/>
    <w:rsid w:val="408B24EB"/>
    <w:rsid w:val="40E65864"/>
    <w:rsid w:val="413E57AF"/>
    <w:rsid w:val="41A978DB"/>
    <w:rsid w:val="4206489E"/>
    <w:rsid w:val="420C1409"/>
    <w:rsid w:val="427F759D"/>
    <w:rsid w:val="42E94BAC"/>
    <w:rsid w:val="433C618D"/>
    <w:rsid w:val="43813731"/>
    <w:rsid w:val="438C4632"/>
    <w:rsid w:val="44801C3A"/>
    <w:rsid w:val="449B0822"/>
    <w:rsid w:val="44BF1176"/>
    <w:rsid w:val="451E7EF2"/>
    <w:rsid w:val="454A348C"/>
    <w:rsid w:val="455D12B0"/>
    <w:rsid w:val="458F65D9"/>
    <w:rsid w:val="45AA6F6F"/>
    <w:rsid w:val="461D4A07"/>
    <w:rsid w:val="47997CE8"/>
    <w:rsid w:val="48A04659"/>
    <w:rsid w:val="48BD345D"/>
    <w:rsid w:val="497C0C22"/>
    <w:rsid w:val="4A0C170B"/>
    <w:rsid w:val="4A461194"/>
    <w:rsid w:val="4A513E5D"/>
    <w:rsid w:val="4A6D4A0F"/>
    <w:rsid w:val="4B125CE2"/>
    <w:rsid w:val="4B2A4783"/>
    <w:rsid w:val="4B920B0A"/>
    <w:rsid w:val="4BC33D4A"/>
    <w:rsid w:val="4BEB208F"/>
    <w:rsid w:val="4C037B20"/>
    <w:rsid w:val="4C2537F3"/>
    <w:rsid w:val="4C4A325A"/>
    <w:rsid w:val="4CC052CA"/>
    <w:rsid w:val="4D2D5540"/>
    <w:rsid w:val="4D5763B7"/>
    <w:rsid w:val="4D64659D"/>
    <w:rsid w:val="4D7E37F5"/>
    <w:rsid w:val="4DA92202"/>
    <w:rsid w:val="4F336227"/>
    <w:rsid w:val="4FD80B7D"/>
    <w:rsid w:val="4FE318C7"/>
    <w:rsid w:val="501F67AB"/>
    <w:rsid w:val="510065DD"/>
    <w:rsid w:val="51037E7B"/>
    <w:rsid w:val="51220301"/>
    <w:rsid w:val="51234079"/>
    <w:rsid w:val="51456AAA"/>
    <w:rsid w:val="51620377"/>
    <w:rsid w:val="519F7BA4"/>
    <w:rsid w:val="528F7C18"/>
    <w:rsid w:val="52CB6777"/>
    <w:rsid w:val="531157E2"/>
    <w:rsid w:val="5325057D"/>
    <w:rsid w:val="536270DB"/>
    <w:rsid w:val="538B00F8"/>
    <w:rsid w:val="54776C52"/>
    <w:rsid w:val="54907C78"/>
    <w:rsid w:val="55463B13"/>
    <w:rsid w:val="555B64D8"/>
    <w:rsid w:val="55A21A11"/>
    <w:rsid w:val="55DB78B9"/>
    <w:rsid w:val="56F20776"/>
    <w:rsid w:val="576D24F2"/>
    <w:rsid w:val="577606F8"/>
    <w:rsid w:val="57A50689"/>
    <w:rsid w:val="57A97DE4"/>
    <w:rsid w:val="57BA337A"/>
    <w:rsid w:val="583F43FF"/>
    <w:rsid w:val="59827FC3"/>
    <w:rsid w:val="59A7266E"/>
    <w:rsid w:val="59A9669B"/>
    <w:rsid w:val="59B82194"/>
    <w:rsid w:val="59FC7B29"/>
    <w:rsid w:val="5BA069F2"/>
    <w:rsid w:val="5C3B496D"/>
    <w:rsid w:val="5C5F065B"/>
    <w:rsid w:val="5C737378"/>
    <w:rsid w:val="5C7E1C3C"/>
    <w:rsid w:val="5CBE30B7"/>
    <w:rsid w:val="5D192F00"/>
    <w:rsid w:val="5DF9773E"/>
    <w:rsid w:val="5E3653EC"/>
    <w:rsid w:val="5E371DF4"/>
    <w:rsid w:val="5E5341F0"/>
    <w:rsid w:val="5F1F01BF"/>
    <w:rsid w:val="5F9745B0"/>
    <w:rsid w:val="5FB92779"/>
    <w:rsid w:val="5FEE2232"/>
    <w:rsid w:val="6005776C"/>
    <w:rsid w:val="61192EF2"/>
    <w:rsid w:val="61952D71"/>
    <w:rsid w:val="620C01CC"/>
    <w:rsid w:val="625C73EB"/>
    <w:rsid w:val="62B64D4D"/>
    <w:rsid w:val="63275C4B"/>
    <w:rsid w:val="63612F0B"/>
    <w:rsid w:val="637D586B"/>
    <w:rsid w:val="64BE438D"/>
    <w:rsid w:val="64DE058B"/>
    <w:rsid w:val="6554474E"/>
    <w:rsid w:val="6582360D"/>
    <w:rsid w:val="65A76BCF"/>
    <w:rsid w:val="66014531"/>
    <w:rsid w:val="66617CA0"/>
    <w:rsid w:val="669E6224"/>
    <w:rsid w:val="672D1356"/>
    <w:rsid w:val="678E6299"/>
    <w:rsid w:val="67E45EB9"/>
    <w:rsid w:val="680D795E"/>
    <w:rsid w:val="68C276F0"/>
    <w:rsid w:val="69A11EA3"/>
    <w:rsid w:val="6A415844"/>
    <w:rsid w:val="6A4D41E9"/>
    <w:rsid w:val="6A663D31"/>
    <w:rsid w:val="6A7B74E7"/>
    <w:rsid w:val="6AA10091"/>
    <w:rsid w:val="6AF1097E"/>
    <w:rsid w:val="6BB107A8"/>
    <w:rsid w:val="6BDF3567"/>
    <w:rsid w:val="6C3118E9"/>
    <w:rsid w:val="6C353187"/>
    <w:rsid w:val="6DB462E4"/>
    <w:rsid w:val="6DBF668C"/>
    <w:rsid w:val="6E082B50"/>
    <w:rsid w:val="6EEC6B7A"/>
    <w:rsid w:val="6F4831D1"/>
    <w:rsid w:val="6F857F81"/>
    <w:rsid w:val="6FFE7D34"/>
    <w:rsid w:val="70EC5DDE"/>
    <w:rsid w:val="70F075DB"/>
    <w:rsid w:val="715B3540"/>
    <w:rsid w:val="717007BD"/>
    <w:rsid w:val="71766B1B"/>
    <w:rsid w:val="71F33A18"/>
    <w:rsid w:val="722872EA"/>
    <w:rsid w:val="73351CBE"/>
    <w:rsid w:val="74027F72"/>
    <w:rsid w:val="74387CB8"/>
    <w:rsid w:val="7504558C"/>
    <w:rsid w:val="75213902"/>
    <w:rsid w:val="75297601"/>
    <w:rsid w:val="754461E9"/>
    <w:rsid w:val="75584AC8"/>
    <w:rsid w:val="757478E2"/>
    <w:rsid w:val="75AD3717"/>
    <w:rsid w:val="75B75911"/>
    <w:rsid w:val="75DF4A2B"/>
    <w:rsid w:val="76342701"/>
    <w:rsid w:val="76704DAF"/>
    <w:rsid w:val="76816FC9"/>
    <w:rsid w:val="76A72ED3"/>
    <w:rsid w:val="76FE0619"/>
    <w:rsid w:val="77327474"/>
    <w:rsid w:val="77381D7D"/>
    <w:rsid w:val="77A86F03"/>
    <w:rsid w:val="77FA7033"/>
    <w:rsid w:val="78177C7A"/>
    <w:rsid w:val="78DB6BE6"/>
    <w:rsid w:val="798017B9"/>
    <w:rsid w:val="79894B12"/>
    <w:rsid w:val="7A8552D9"/>
    <w:rsid w:val="7AA267FE"/>
    <w:rsid w:val="7B191EC6"/>
    <w:rsid w:val="7B220D7A"/>
    <w:rsid w:val="7B4F7695"/>
    <w:rsid w:val="7B565AC9"/>
    <w:rsid w:val="7BD81D81"/>
    <w:rsid w:val="7C122B9D"/>
    <w:rsid w:val="7C5036C5"/>
    <w:rsid w:val="7CA26617"/>
    <w:rsid w:val="7CDC31AB"/>
    <w:rsid w:val="7D3F04A6"/>
    <w:rsid w:val="7D910439"/>
    <w:rsid w:val="7E2E7A36"/>
    <w:rsid w:val="7E5C5697"/>
    <w:rsid w:val="7E7C69F3"/>
    <w:rsid w:val="7E9142D6"/>
    <w:rsid w:val="7E9975A5"/>
    <w:rsid w:val="7EE527EB"/>
    <w:rsid w:val="7EED7AFA"/>
    <w:rsid w:val="7F2D3B44"/>
    <w:rsid w:val="7F8244DD"/>
    <w:rsid w:val="7F89586C"/>
    <w:rsid w:val="7FBA01BB"/>
    <w:rsid w:val="7FBD72C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7">
    <w:name w:val="Default Paragraph Font"/>
    <w:autoRedefine/>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Arial" w:hAnsi="Arial" w:eastAsia="Arial" w:cs="Arial"/>
      <w:sz w:val="21"/>
      <w:szCs w:val="21"/>
      <w:lang w:val="en-US" w:eastAsia="en-US" w:bidi="ar-SA"/>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Table Normal"/>
    <w:autoRedefine/>
    <w:semiHidden/>
    <w:unhideWhenUsed/>
    <w:qFormat/>
    <w:uiPriority w:val="0"/>
    <w:tblPr>
      <w:tblCellMar>
        <w:top w:w="0" w:type="dxa"/>
        <w:left w:w="0" w:type="dxa"/>
        <w:bottom w:w="0" w:type="dxa"/>
        <w:right w:w="0" w:type="dxa"/>
      </w:tblCellMar>
    </w:tblPr>
  </w:style>
  <w:style w:type="paragraph" w:customStyle="1" w:styleId="9">
    <w:name w:val="Table Text"/>
    <w:basedOn w:val="1"/>
    <w:autoRedefine/>
    <w:semiHidden/>
    <w:qFormat/>
    <w:uiPriority w:val="0"/>
    <w:rPr>
      <w:rFonts w:ascii="微软雅黑" w:hAnsi="微软雅黑" w:eastAsia="微软雅黑" w:cs="微软雅黑"/>
      <w:sz w:val="17"/>
      <w:szCs w:val="17"/>
      <w:lang w:val="en-US" w:eastAsia="en-US" w:bidi="ar-SA"/>
    </w:rPr>
  </w:style>
  <w:style w:type="paragraph" w:customStyle="1" w:styleId="10">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oleObject" Target="file:///E:\&#21508;&#21697;&#31181;\3&#12289;&#38081;&#30719;&#30707;\&#25968;&#25454;&#24211;\&#38050;&#21378;&#39640;&#28809;&#35843;&#26597;&#32479;&#35745;.xlsx!247&#23478;&#21450;163&#23478;(&#25163;)!%5b&#38050;&#21378;&#39640;&#28809;&#35843;&#26597;&#32479;&#35745;.xlsx%5d247&#23478;&#21450;163&#23478;(&#25163;)%20&#22270;&#34920;%202" TargetMode="External"/><Relationship Id="rId25" Type="http://schemas.openxmlformats.org/officeDocument/2006/relationships/image" Target="media/image18.emf"/><Relationship Id="rId24" Type="http://schemas.openxmlformats.org/officeDocument/2006/relationships/oleObject" Target="file:///E:\&#21508;&#21697;&#31181;\3&#12289;&#38081;&#30719;&#30707;\&#25968;&#25454;&#24211;\1&#12289;&#38081;&#30719;&#30707;&#28207;&#21475;&#24211;&#23384;.xlsx!45&#28207;&#24211;&#23384;&#37327;!%5b1&#12289;&#38081;&#30719;&#30707;&#28207;&#21475;&#24211;&#23384;.xlsx%5d45&#28207;&#24211;&#23384;&#37327;%20&#22270;&#34920;%202" TargetMode="External"/><Relationship Id="rId23" Type="http://schemas.openxmlformats.org/officeDocument/2006/relationships/image" Target="media/image17.emf"/><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25</TotalTime>
  <ScaleCrop>false</ScaleCrop>
  <LinksUpToDate>false</LinksUpToDate>
  <Application>WPS Office_12.1.0.16412_F1E327BC-269C-435d-A152-05C5408002CA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2024-03-18T15:25:00Z</dcterms:created>
  <dc:creator>Hi</dc:creator>
  <cp:lastModifiedBy>WPS_1180513195</cp:lastModifiedBy>
  <dcterms:modified xsi:type="dcterms:W3CDTF">2024-03-25T02:40:25Z</dcterms:modified>
  <dc:title>海外市场周报（全封面）</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2024-03-19T09:56:29Z</vt:filetime>
  </property>
  <property fmtid="{D5CDD505-2E9C-101B-9397-08002B2CF9AE}" pid="4" name="KSOProductBuildVer">
    <vt:lpwstr>2052-12.1.0.16412</vt:lpwstr>
  </property>
  <property fmtid="{D5CDD505-2E9C-101B-9397-08002B2CF9AE}" pid="5" name="ICV">
    <vt:lpwstr>2010127852F74D4FBB5AF5D53A0CCF63_13</vt:lpwstr>
  </property>
</Properties>
</file>