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2024年3月</w:t>
      </w:r>
      <w:r>
        <w:rPr>
          <w:rFonts w:hint="eastAsia" w:ascii="微软雅黑" w:hAnsi="微软雅黑" w:eastAsia="微软雅黑" w:cs="微软雅黑"/>
          <w:b/>
          <w:bCs/>
          <w:color w:val="005D97"/>
          <w:spacing w:val="-22"/>
          <w:sz w:val="48"/>
          <w:szCs w:val="48"/>
          <w:lang w:val="en-US" w:eastAsia="zh-CN"/>
        </w:rPr>
        <w:t>29</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截至3月</w:t>
      </w:r>
      <w:r>
        <w:rPr>
          <w:rFonts w:hint="eastAsia" w:ascii="微软雅黑" w:hAnsi="微软雅黑" w:eastAsia="微软雅黑" w:cs="微软雅黑"/>
          <w:spacing w:val="4"/>
          <w:sz w:val="24"/>
          <w:szCs w:val="24"/>
          <w:lang w:val="en-US" w:eastAsia="zh-CN"/>
        </w:rPr>
        <w:t>29</w:t>
      </w:r>
      <w:r>
        <w:rPr>
          <w:rFonts w:hint="eastAsia" w:ascii="微软雅黑" w:hAnsi="微软雅黑" w:eastAsia="微软雅黑" w:cs="微软雅黑"/>
          <w:spacing w:val="4"/>
          <w:sz w:val="24"/>
          <w:szCs w:val="24"/>
          <w:lang w:eastAsia="zh-CN"/>
        </w:rPr>
        <w:t>日，美国三大股指收盘涨跌不一，道指涨0.12%，标普500指数涨0.11%报5254.35点，均创历史收盘新高，纳指跌0.12%</w:t>
      </w:r>
      <w:r>
        <w:rPr>
          <w:rFonts w:hint="eastAsia" w:ascii="微软雅黑" w:hAnsi="微软雅黑" w:eastAsia="微软雅黑" w:cs="微软雅黑"/>
          <w:spacing w:val="4"/>
          <w:sz w:val="24"/>
          <w:szCs w:val="24"/>
          <w:lang w:eastAsia="zh-CN"/>
        </w:rPr>
        <w:t>。美元指数涨0.23%报104.54，非美货币多数</w:t>
      </w:r>
      <w:r>
        <w:rPr>
          <w:rFonts w:hint="eastAsia" w:ascii="微软雅黑" w:hAnsi="微软雅黑" w:eastAsia="微软雅黑" w:cs="微软雅黑"/>
          <w:spacing w:val="4"/>
          <w:sz w:val="24"/>
          <w:szCs w:val="24"/>
          <w:lang w:val="en-US" w:eastAsia="zh-CN"/>
        </w:rPr>
        <w:t>下跌，</w:t>
      </w:r>
      <w:r>
        <w:rPr>
          <w:rFonts w:hint="eastAsia" w:ascii="微软雅黑" w:hAnsi="微软雅黑" w:eastAsia="微软雅黑" w:cs="微软雅黑"/>
          <w:spacing w:val="4"/>
          <w:sz w:val="24"/>
          <w:szCs w:val="24"/>
          <w:lang w:eastAsia="zh-CN"/>
        </w:rPr>
        <w:t>离岸人民币对美元跌80个基点报7.2621。国际油价全线上涨，美油5月合约涨2.16%，报83.11美元/桶。布油6月合约涨1.94%，报87.07美元/桶。国际贵金属期货普遍收涨，LME期铜涨0.25%报8872美元/吨，COMEX黄金期货涨1.9%报2254.8美元/盎司，COMEX白银期货涨1.41%报25.1美元/盎司。ICE 5月原糖</w:t>
      </w:r>
      <w:r>
        <w:rPr>
          <w:rFonts w:hint="eastAsia" w:ascii="微软雅黑" w:hAnsi="微软雅黑" w:eastAsia="微软雅黑" w:cs="微软雅黑"/>
          <w:spacing w:val="4"/>
          <w:sz w:val="24"/>
          <w:szCs w:val="24"/>
          <w:lang w:val="en-US" w:eastAsia="zh-CN"/>
        </w:rPr>
        <w:t>期货合约</w:t>
      </w:r>
      <w:r>
        <w:rPr>
          <w:rFonts w:hint="eastAsia" w:ascii="微软雅黑" w:hAnsi="微软雅黑" w:eastAsia="微软雅黑" w:cs="微软雅黑"/>
          <w:spacing w:val="4"/>
          <w:sz w:val="24"/>
          <w:szCs w:val="24"/>
          <w:lang w:eastAsia="zh-CN"/>
        </w:rPr>
        <w:t>收</w:t>
      </w:r>
      <w:r>
        <w:rPr>
          <w:rFonts w:hint="eastAsia" w:ascii="微软雅黑" w:hAnsi="微软雅黑" w:eastAsia="微软雅黑" w:cs="微软雅黑"/>
          <w:spacing w:val="4"/>
          <w:sz w:val="24"/>
          <w:szCs w:val="24"/>
          <w:lang w:val="en-US" w:eastAsia="zh-CN"/>
        </w:rPr>
        <w:t>涨1.50</w:t>
      </w:r>
      <w:r>
        <w:rPr>
          <w:rFonts w:hint="eastAsia" w:ascii="微软雅黑" w:hAnsi="微软雅黑" w:eastAsia="微软雅黑" w:cs="微软雅黑"/>
          <w:spacing w:val="4"/>
          <w:sz w:val="24"/>
          <w:szCs w:val="24"/>
          <w:lang w:eastAsia="zh-CN"/>
        </w:rPr>
        <w:t>%</w:t>
      </w:r>
      <w:r>
        <w:rPr>
          <w:rFonts w:hint="eastAsia" w:ascii="微软雅黑" w:hAnsi="微软雅黑" w:eastAsia="微软雅黑" w:cs="微软雅黑"/>
          <w:spacing w:val="4"/>
          <w:sz w:val="24"/>
          <w:szCs w:val="24"/>
          <w:lang w:eastAsia="zh-CN"/>
        </w:rPr>
        <w:t>，结算价报22.</w:t>
      </w:r>
      <w:r>
        <w:rPr>
          <w:rFonts w:hint="eastAsia" w:ascii="微软雅黑" w:hAnsi="微软雅黑" w:eastAsia="微软雅黑" w:cs="微软雅黑"/>
          <w:spacing w:val="4"/>
          <w:sz w:val="24"/>
          <w:szCs w:val="24"/>
          <w:lang w:val="en-US" w:eastAsia="zh-CN"/>
        </w:rPr>
        <w:t>52</w:t>
      </w:r>
      <w:r>
        <w:rPr>
          <w:rFonts w:hint="eastAsia" w:ascii="微软雅黑" w:hAnsi="微软雅黑" w:eastAsia="微软雅黑" w:cs="微软雅黑"/>
          <w:spacing w:val="4"/>
          <w:sz w:val="24"/>
          <w:szCs w:val="24"/>
          <w:lang w:eastAsia="zh-CN"/>
        </w:rPr>
        <w:t>美分/磅</w:t>
      </w:r>
      <w:r>
        <w:rPr>
          <w:rFonts w:hint="eastAsia" w:ascii="微软雅黑" w:hAnsi="微软雅黑" w:eastAsia="微软雅黑" w:cs="微软雅黑"/>
          <w:spacing w:val="4"/>
          <w:sz w:val="24"/>
          <w:szCs w:val="24"/>
          <w:lang w:eastAsia="zh-CN"/>
        </w:rPr>
        <w:t>。ICE 5月期棉</w:t>
      </w:r>
      <w:r>
        <w:rPr>
          <w:rFonts w:hint="eastAsia" w:ascii="微软雅黑" w:hAnsi="微软雅黑" w:eastAsia="微软雅黑" w:cs="微软雅黑"/>
          <w:spacing w:val="4"/>
          <w:sz w:val="24"/>
          <w:szCs w:val="24"/>
          <w:lang w:val="en-US" w:eastAsia="zh-CN"/>
        </w:rPr>
        <w:t>期货合约</w:t>
      </w:r>
      <w:r>
        <w:rPr>
          <w:rFonts w:hint="eastAsia" w:ascii="微软雅黑" w:hAnsi="微软雅黑" w:eastAsia="微软雅黑" w:cs="微软雅黑"/>
          <w:spacing w:val="4"/>
          <w:sz w:val="24"/>
          <w:szCs w:val="24"/>
          <w:lang w:eastAsia="zh-CN"/>
        </w:rPr>
        <w:t>收</w:t>
      </w:r>
      <w:r>
        <w:rPr>
          <w:rFonts w:hint="eastAsia" w:ascii="微软雅黑" w:hAnsi="微软雅黑" w:eastAsia="微软雅黑" w:cs="微软雅黑"/>
          <w:spacing w:val="4"/>
          <w:sz w:val="24"/>
          <w:szCs w:val="24"/>
          <w:lang w:val="en-US" w:eastAsia="zh-CN"/>
        </w:rPr>
        <w:t>涨0.7</w:t>
      </w:r>
      <w:r>
        <w:rPr>
          <w:rFonts w:hint="eastAsia" w:ascii="微软雅黑" w:hAnsi="微软雅黑" w:eastAsia="微软雅黑" w:cs="微软雅黑"/>
          <w:spacing w:val="4"/>
          <w:sz w:val="24"/>
          <w:szCs w:val="24"/>
          <w:lang w:eastAsia="zh-CN"/>
        </w:rPr>
        <w:t>%，结算价报</w:t>
      </w:r>
      <w:r>
        <w:rPr>
          <w:rFonts w:hint="eastAsia" w:ascii="微软雅黑" w:hAnsi="微软雅黑" w:eastAsia="微软雅黑" w:cs="微软雅黑"/>
          <w:spacing w:val="4"/>
          <w:sz w:val="24"/>
          <w:szCs w:val="24"/>
          <w:lang w:val="en-US" w:eastAsia="zh-CN"/>
        </w:rPr>
        <w:t>91.38</w:t>
      </w:r>
      <w:r>
        <w:rPr>
          <w:rFonts w:hint="eastAsia" w:ascii="微软雅黑" w:hAnsi="微软雅黑" w:eastAsia="微软雅黑" w:cs="微软雅黑"/>
          <w:spacing w:val="4"/>
          <w:sz w:val="24"/>
          <w:szCs w:val="24"/>
          <w:lang w:eastAsia="zh-CN"/>
        </w:rPr>
        <w:t>美分/磅</w:t>
      </w:r>
      <w:r>
        <w:rPr>
          <w:rFonts w:hint="eastAsia" w:ascii="微软雅黑" w:hAnsi="微软雅黑" w:eastAsia="微软雅黑" w:cs="微软雅黑"/>
          <w:spacing w:val="4"/>
          <w:sz w:val="24"/>
          <w:szCs w:val="24"/>
          <w:lang w:eastAsia="zh-CN"/>
        </w:rPr>
        <w:t>。</w:t>
      </w:r>
    </w:p>
    <w:p>
      <w:pPr>
        <w:spacing w:before="235" w:line="176" w:lineRule="auto"/>
        <w:jc w:val="both"/>
        <w:rPr>
          <w:rFonts w:ascii="微软雅黑" w:hAnsi="微软雅黑" w:eastAsia="微软雅黑" w:cs="微软雅黑"/>
          <w:spacing w:val="7"/>
          <w:sz w:val="21"/>
          <w:szCs w:val="21"/>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p>
    <w:p>
      <w:pPr>
        <w:spacing w:before="235" w:line="176" w:lineRule="auto"/>
        <w:jc w:val="both"/>
        <w:rPr>
          <w:rFonts w:hint="eastAsia" w:ascii="微软雅黑" w:hAnsi="微软雅黑" w:eastAsia="微软雅黑" w:cs="微软雅黑"/>
          <w:spacing w:val="12"/>
          <w:sz w:val="24"/>
          <w:szCs w:val="24"/>
          <w:lang w:eastAsia="zh-CN"/>
        </w:rPr>
      </w:pPr>
      <w:r>
        <w:drawing>
          <wp:inline distT="0" distB="0" distL="114300" distR="114300">
            <wp:extent cx="6275070" cy="3477260"/>
            <wp:effectExtent l="0" t="0" r="11430" b="889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2"/>
                    <a:stretch>
                      <a:fillRect/>
                    </a:stretch>
                  </pic:blipFill>
                  <pic:spPr>
                    <a:xfrm>
                      <a:off x="0" y="0"/>
                      <a:ext cx="6275070" cy="3477260"/>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公开资料整理、瑞达国际</w:t>
      </w:r>
    </w:p>
    <w:p>
      <w:pPr>
        <w:spacing w:before="235" w:line="176" w:lineRule="auto"/>
        <w:jc w:val="both"/>
        <w:rPr>
          <w:rFonts w:ascii="微软雅黑" w:hAnsi="微软雅黑" w:eastAsia="微软雅黑" w:cs="微软雅黑"/>
          <w:spacing w:val="7"/>
          <w:sz w:val="21"/>
          <w:szCs w:val="21"/>
        </w:rPr>
      </w:pPr>
    </w:p>
    <w:p>
      <w:pPr>
        <w:pStyle w:val="2"/>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ascii="微软雅黑" w:hAnsi="微软雅黑" w:eastAsia="微软雅黑" w:cs="微软雅黑"/>
          <w:spacing w:val="4"/>
          <w:sz w:val="24"/>
          <w:szCs w:val="24"/>
        </w:rPr>
      </w:pPr>
      <w:r>
        <w:rPr>
          <w:rFonts w:hint="eastAsia" w:ascii="微软雅黑" w:hAnsi="微软雅黑" w:eastAsia="微软雅黑" w:cs="微软雅黑"/>
          <w:spacing w:val="4"/>
          <w:sz w:val="24"/>
          <w:szCs w:val="24"/>
          <w:lang w:eastAsia="zh-CN"/>
        </w:rPr>
        <w:t>【美国截至3月23日当周初请失业金人数21.0万人，预期21.2万人，前值21.0万人。】</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【美国2023年第四季度实际GDP年化季率终值升3.4%，预期升3.2%，修正值升3.2%，初值升3.3%，三季度终值升4.9%；消费者支出年化季率终值3.3%，预期升3.0%，修正值升3.0%，初值升2.8%，第三季度终值升3.1%。】</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【美国2023年第四季度核心PCE物价指数年化季率终值升2.0%，预期升2.1%，修正值升2.1%，初值升2.0%，第三季度终值升2.0%；PCE物价指数年化季率终值升1.8%，修正值升1.8%，初值升1.7%，第三季度终值升2.6%。】</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【美国3月芝加哥PMI为41.4，为2023年5月以来新低，预期46，前值44。】</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【美国3月一年期通胀率预期2.9%，预期3.1%，前值3.0。】</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【美国2月季调后成屋签约销售指数环比升1.6%，预期升1.5%，前值降4.9%；同比降2.2%，前值降6.8%。】</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【加拿大1月季调后GDP同比升0.9%，预期升0.8%，前值升1.1%；环比升0.6%，预期升0.4%，前值持平。】</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【欧元区2月季调后货币供应M3同比升0.2%，预期升0.3%，前值升0.1%；三个月货币供应M3同比升0.2%，前值降0.2%。】</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【欧洲央行管委维勒鲁瓦：或于今年春季开始适度降息，过晚降息将有经济风险。】</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【德国3月季调后失业率5.9%，预期5.9%，前值5.9%；季调后失业人数增加0.4万人，预期增加1万人，前值增加1.1万人。】</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【日本2月工业产出环比初值降0.1%，预期增1.4%，前值降6.70%；同比降3.4%，预期降2.7%，前值降1.5%。日本2月零售销售同比增4.6%，预期增3%，前值增2.3%；环比增1.5%，预期增0.6%，前值增0.8%。】</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【英国2023年第四季度GDP终值同比降0.2%，预期降0.2%，前值升0.3%；环比降0.3%，预期降0.3%，前值降0.1%；经常帐赤字211.77亿英镑，预期赤字214亿英镑，前值赤字171.75亿英镑。】</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ascii="微软雅黑" w:hAnsi="微软雅黑" w:eastAsia="微软雅黑" w:cs="微软雅黑"/>
          <w:color w:val="036EB8"/>
          <w:position w:val="-4"/>
          <w:sz w:val="28"/>
          <w:szCs w:val="28"/>
        </w:rPr>
      </w:pPr>
      <w:r>
        <w:rPr>
          <w:rFonts w:hint="eastAsia" w:ascii="微软雅黑" w:hAnsi="微软雅黑" w:eastAsia="微软雅黑" w:cs="微软雅黑"/>
          <w:spacing w:val="4"/>
          <w:sz w:val="24"/>
          <w:szCs w:val="24"/>
          <w:lang w:eastAsia="zh-CN"/>
        </w:rPr>
        <w:t>【波罗的海干散货指数报1821点，下跌1.3%，连跌八日。】</w:t>
      </w:r>
    </w:p>
    <w:p>
      <w:pPr>
        <w:spacing w:before="120" w:line="190" w:lineRule="auto"/>
        <w:rPr>
          <w:rFonts w:ascii="微软雅黑" w:hAnsi="微软雅黑" w:eastAsia="微软雅黑" w:cs="微软雅黑"/>
          <w:color w:val="036EB8"/>
          <w:position w:val="-4"/>
          <w:sz w:val="28"/>
          <w:szCs w:val="28"/>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1"/>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0"/>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0"/>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28"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29</w:t>
            </w:r>
          </w:p>
        </w:tc>
        <w:tc>
          <w:tcPr>
            <w:tcW w:w="1143" w:type="dxa"/>
            <w:vAlign w:val="top"/>
          </w:tcPr>
          <w:p>
            <w:pPr>
              <w:pStyle w:val="10"/>
              <w:spacing w:before="243" w:line="172" w:lineRule="auto"/>
              <w:ind w:left="94"/>
              <w:jc w:val="left"/>
              <w:rPr>
                <w:rFonts w:hint="default"/>
                <w:sz w:val="19"/>
                <w:szCs w:val="19"/>
                <w:lang w:val="en-US"/>
              </w:rPr>
            </w:pPr>
            <w:r>
              <w:rPr>
                <w:rFonts w:hint="eastAsia"/>
                <w:b/>
                <w:bCs/>
                <w:spacing w:val="6"/>
                <w:sz w:val="19"/>
                <w:szCs w:val="19"/>
                <w:lang w:val="en-US" w:eastAsia="zh-CN"/>
              </w:rPr>
              <w:t>15：45</w:t>
            </w:r>
          </w:p>
        </w:tc>
        <w:tc>
          <w:tcPr>
            <w:tcW w:w="6679" w:type="dxa"/>
            <w:vAlign w:val="top"/>
          </w:tcPr>
          <w:p>
            <w:pPr>
              <w:pStyle w:val="10"/>
              <w:spacing w:before="221" w:line="180" w:lineRule="auto"/>
              <w:jc w:val="center"/>
              <w:rPr>
                <w:rFonts w:hint="default" w:eastAsia="微软雅黑"/>
                <w:sz w:val="19"/>
                <w:szCs w:val="19"/>
                <w:lang w:val="en-US" w:eastAsia="zh-CN"/>
              </w:rPr>
            </w:pPr>
            <w:r>
              <w:rPr>
                <w:rFonts w:hint="eastAsia"/>
                <w:sz w:val="19"/>
                <w:szCs w:val="19"/>
                <w:lang w:val="en-US" w:eastAsia="zh-CN"/>
              </w:rPr>
              <w:t xml:space="preserve"> 法国2月PPI、3月CPI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0"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29</w:t>
            </w:r>
          </w:p>
        </w:tc>
        <w:tc>
          <w:tcPr>
            <w:tcW w:w="1143" w:type="dxa"/>
            <w:shd w:val="clear" w:color="auto" w:fill="D3EAFF"/>
            <w:vAlign w:val="top"/>
          </w:tcPr>
          <w:p>
            <w:pPr>
              <w:pStyle w:val="10"/>
              <w:spacing w:before="245" w:line="172" w:lineRule="auto"/>
              <w:ind w:left="101"/>
              <w:jc w:val="left"/>
              <w:rPr>
                <w:rFonts w:hint="default"/>
                <w:sz w:val="19"/>
                <w:szCs w:val="19"/>
                <w:lang w:val="en-US"/>
              </w:rPr>
            </w:pPr>
            <w:r>
              <w:rPr>
                <w:rFonts w:hint="eastAsia"/>
                <w:b/>
                <w:bCs/>
                <w:spacing w:val="5"/>
                <w:sz w:val="19"/>
                <w:szCs w:val="19"/>
                <w:lang w:val="en-US" w:eastAsia="zh-CN"/>
              </w:rPr>
              <w:t>18：00</w:t>
            </w:r>
          </w:p>
        </w:tc>
        <w:tc>
          <w:tcPr>
            <w:tcW w:w="6679" w:type="dxa"/>
            <w:shd w:val="clear" w:color="auto" w:fill="D3EAFF"/>
            <w:vAlign w:val="top"/>
          </w:tcPr>
          <w:p>
            <w:pPr>
              <w:pStyle w:val="10"/>
              <w:spacing w:before="224" w:line="179" w:lineRule="auto"/>
              <w:jc w:val="center"/>
              <w:rPr>
                <w:rFonts w:hint="default" w:eastAsia="微软雅黑"/>
                <w:sz w:val="19"/>
                <w:szCs w:val="19"/>
                <w:lang w:val="en-US" w:eastAsia="zh-CN"/>
              </w:rPr>
            </w:pPr>
            <w:r>
              <w:rPr>
                <w:rFonts w:hint="eastAsia"/>
                <w:sz w:val="19"/>
                <w:szCs w:val="19"/>
                <w:lang w:val="en-US" w:eastAsia="zh-CN"/>
              </w:rPr>
              <w:t>意大利3月CPI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0"/>
              <w:spacing w:before="231"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29</w:t>
            </w:r>
          </w:p>
        </w:tc>
        <w:tc>
          <w:tcPr>
            <w:tcW w:w="1143" w:type="dxa"/>
            <w:vAlign w:val="top"/>
          </w:tcPr>
          <w:p>
            <w:pPr>
              <w:pStyle w:val="10"/>
              <w:spacing w:before="245" w:line="172" w:lineRule="auto"/>
              <w:ind w:left="101"/>
              <w:jc w:val="left"/>
              <w:rPr>
                <w:rFonts w:hint="default" w:eastAsia="微软雅黑"/>
                <w:sz w:val="19"/>
                <w:szCs w:val="19"/>
                <w:lang w:val="en-US" w:eastAsia="zh-CN"/>
              </w:rPr>
            </w:pPr>
            <w:r>
              <w:rPr>
                <w:rFonts w:hint="eastAsia"/>
                <w:b/>
                <w:bCs/>
                <w:spacing w:val="5"/>
                <w:sz w:val="19"/>
                <w:szCs w:val="19"/>
                <w:lang w:val="en-US" w:eastAsia="zh-CN"/>
              </w:rPr>
              <w:t>20：30</w:t>
            </w:r>
          </w:p>
        </w:tc>
        <w:tc>
          <w:tcPr>
            <w:tcW w:w="6679" w:type="dxa"/>
            <w:vAlign w:val="top"/>
          </w:tcPr>
          <w:p>
            <w:pPr>
              <w:pStyle w:val="10"/>
              <w:spacing w:before="224" w:line="180" w:lineRule="auto"/>
              <w:jc w:val="center"/>
              <w:rPr>
                <w:rFonts w:hint="default" w:eastAsia="微软雅黑"/>
                <w:sz w:val="19"/>
                <w:szCs w:val="19"/>
                <w:lang w:val="en-US" w:eastAsia="zh-CN"/>
              </w:rPr>
            </w:pPr>
            <w:r>
              <w:rPr>
                <w:rFonts w:hint="eastAsia"/>
                <w:sz w:val="19"/>
                <w:szCs w:val="19"/>
                <w:lang w:val="en-US" w:eastAsia="zh-CN"/>
              </w:rPr>
              <w:t>美国2月核心PCE物价指数、个人支出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1" w:line="191" w:lineRule="auto"/>
              <w:ind w:left="449" w:leftChars="0"/>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29</w:t>
            </w:r>
          </w:p>
        </w:tc>
        <w:tc>
          <w:tcPr>
            <w:tcW w:w="1143" w:type="dxa"/>
            <w:shd w:val="clear" w:color="auto" w:fill="D3EAFF"/>
            <w:vAlign w:val="top"/>
          </w:tcPr>
          <w:p>
            <w:pPr>
              <w:pStyle w:val="10"/>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20：30</w:t>
            </w:r>
          </w:p>
        </w:tc>
        <w:tc>
          <w:tcPr>
            <w:tcW w:w="6679" w:type="dxa"/>
            <w:shd w:val="clear" w:color="auto" w:fill="D3EAFF"/>
            <w:vAlign w:val="top"/>
          </w:tcPr>
          <w:p>
            <w:pPr>
              <w:pStyle w:val="10"/>
              <w:spacing w:before="224" w:line="180" w:lineRule="auto"/>
              <w:jc w:val="center"/>
              <w:rPr>
                <w:rFonts w:hint="eastAsia" w:eastAsia="微软雅黑"/>
                <w:sz w:val="19"/>
                <w:szCs w:val="19"/>
                <w:lang w:val="en-US" w:eastAsia="zh-CN"/>
              </w:rPr>
            </w:pPr>
            <w:r>
              <w:rPr>
                <w:rFonts w:hint="default"/>
                <w:sz w:val="19"/>
                <w:szCs w:val="19"/>
                <w:lang w:val="en-US"/>
              </w:rPr>
              <w:t>美国2月零售库存</w:t>
            </w:r>
            <w:r>
              <w:rPr>
                <w:rFonts w:hint="eastAsia"/>
                <w:sz w:val="19"/>
                <w:szCs w:val="19"/>
                <w:lang w:val="en-US" w:eastAsia="zh-CN"/>
              </w:rPr>
              <w:t>、批发库存、商品贸易帐</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32" w:line="191" w:lineRule="auto"/>
              <w:ind w:left="449"/>
              <w:rPr>
                <w:rFonts w:hint="default" w:eastAsia="微软雅黑"/>
                <w:sz w:val="19"/>
                <w:szCs w:val="19"/>
                <w:lang w:val="en-US" w:eastAsia="zh-CN"/>
              </w:rPr>
            </w:pPr>
            <w:r>
              <w:rPr>
                <w:rFonts w:hint="eastAsia"/>
                <w:b/>
                <w:bCs/>
                <w:spacing w:val="3"/>
                <w:sz w:val="19"/>
                <w:szCs w:val="19"/>
                <w:lang w:val="en-US" w:eastAsia="zh-CN"/>
              </w:rPr>
              <w:t>次日</w:t>
            </w:r>
          </w:p>
        </w:tc>
        <w:tc>
          <w:tcPr>
            <w:tcW w:w="1143" w:type="dxa"/>
            <w:vAlign w:val="top"/>
          </w:tcPr>
          <w:p>
            <w:pPr>
              <w:pStyle w:val="10"/>
              <w:spacing w:before="246" w:line="172" w:lineRule="auto"/>
              <w:ind w:left="94"/>
              <w:jc w:val="left"/>
              <w:rPr>
                <w:rFonts w:hint="default" w:eastAsia="微软雅黑"/>
                <w:sz w:val="19"/>
                <w:szCs w:val="19"/>
                <w:lang w:val="en-US" w:eastAsia="zh-CN"/>
              </w:rPr>
            </w:pPr>
            <w:r>
              <w:rPr>
                <w:rFonts w:hint="eastAsia"/>
                <w:b/>
                <w:bCs/>
                <w:spacing w:val="5"/>
                <w:sz w:val="19"/>
                <w:szCs w:val="19"/>
                <w:lang w:val="en-US" w:eastAsia="zh-CN"/>
              </w:rPr>
              <w:t>03：30</w:t>
            </w:r>
          </w:p>
        </w:tc>
        <w:tc>
          <w:tcPr>
            <w:tcW w:w="6679" w:type="dxa"/>
            <w:vAlign w:val="top"/>
          </w:tcPr>
          <w:p>
            <w:pPr>
              <w:pStyle w:val="10"/>
              <w:spacing w:before="225" w:line="179" w:lineRule="auto"/>
              <w:jc w:val="center"/>
              <w:rPr>
                <w:rFonts w:hint="default" w:eastAsia="微软雅黑"/>
                <w:sz w:val="19"/>
                <w:szCs w:val="19"/>
                <w:lang w:val="en-US" w:eastAsia="zh-CN"/>
              </w:rPr>
            </w:pPr>
            <w:r>
              <w:rPr>
                <w:rFonts w:hint="eastAsia"/>
                <w:sz w:val="19"/>
                <w:szCs w:val="19"/>
                <w:lang w:val="en-US" w:eastAsia="zh-CN"/>
              </w:rPr>
              <w:t>CFTC公布周度持仓报告</w:t>
            </w:r>
          </w:p>
        </w:tc>
      </w:tr>
    </w:tbl>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周五，美元指数涨0.23%报104.54，非美货币多数下跌，欧元兑美元跌0.37%报1.0788，英镑兑美元跌0.12%报1.2625，澳元兑美元跌0.28%报0.6516，美元兑日元涨0.05%报151.38。昨日公布的美国四季度GDP增速由3.2%上修至3.4%，同时消费者支出水平同样由3%上调至3.3%，体现整体经济韧性或超市场预期。然而同于昨日公布的美国四季度核心PCE数据录得2%，低于预期的2.1%，进而使市场对通胀水平的担忧有所缓解，长端美债收益率有所下跌。往后看，短期内受美国与非美国家利差尚存影响，美元指数或持续得到一定支撑。</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欧元兑美元主力合约走势图</w:t>
      </w:r>
    </w:p>
    <w:p>
      <w:pPr>
        <w:spacing w:before="103" w:line="256" w:lineRule="auto"/>
        <w:ind w:right="743"/>
        <w:jc w:val="both"/>
      </w:pPr>
      <w:r>
        <w:drawing>
          <wp:inline distT="0" distB="0" distL="114300" distR="114300">
            <wp:extent cx="5975985" cy="2030730"/>
            <wp:effectExtent l="0" t="0" r="5715" b="762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3"/>
                    <a:stretch>
                      <a:fillRect/>
                    </a:stretch>
                  </pic:blipFill>
                  <pic:spPr>
                    <a:xfrm>
                      <a:off x="0" y="0"/>
                      <a:ext cx="5975985" cy="2030730"/>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wind、瑞达国际</w:t>
      </w:r>
    </w:p>
    <w:p>
      <w:pPr>
        <w:spacing w:before="103" w:line="256" w:lineRule="auto"/>
        <w:ind w:right="743"/>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rPr>
        <w:t>截至3月29日，标普500指数收涨0.11%至5254.35点；迷你标普500主力合约收跌0.08%至5308.25点。美股周四收盘涨跌不一，道指与标普500指数创收盘历史新高。三大股指在3月份和第一季度均录得涨幅，标普500指数录得五年来的最好第一季度表现。美国四季度GDP增幅上修为3.4%，预示经济增长稳健。市场焦点转移至周五的PCE通胀数据。策略上，逢低试多。详细支撑阻力位请见图表</w:t>
      </w:r>
      <w:r>
        <w:rPr>
          <w:rFonts w:hint="eastAsia" w:ascii="微软雅黑" w:hAnsi="微软雅黑" w:eastAsia="微软雅黑" w:cs="微软雅黑"/>
          <w:spacing w:val="12"/>
          <w:sz w:val="24"/>
          <w:szCs w:val="24"/>
          <w:lang w:val="en-US" w:eastAsia="zh-CN"/>
        </w:rPr>
        <w:t>3。</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120" w:line="190" w:lineRule="auto"/>
        <w:jc w:val="both"/>
        <w:rPr>
          <w:rFonts w:ascii="新宋体" w:hAnsi="新宋体" w:eastAsia="新宋体"/>
          <w:b/>
        </w:rPr>
      </w:pPr>
      <w:r>
        <w:drawing>
          <wp:inline distT="0" distB="0" distL="0" distR="0">
            <wp:extent cx="6235700" cy="2039620"/>
            <wp:effectExtent l="0" t="0" r="12700" b="177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4"/>
                    <a:stretch>
                      <a:fillRect/>
                    </a:stretch>
                  </pic:blipFill>
                  <pic:spPr>
                    <a:xfrm>
                      <a:off x="0" y="0"/>
                      <a:ext cx="6235700" cy="2039620"/>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235" w:line="176"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left="3" w:right="743" w:firstLine="535"/>
        <w:jc w:val="both"/>
        <w:rPr>
          <w:rFonts w:hint="eastAsia" w:ascii="微软雅黑" w:hAnsi="微软雅黑" w:eastAsia="微软雅黑" w:cs="微软雅黑"/>
          <w:spacing w:val="12"/>
          <w:sz w:val="24"/>
          <w:szCs w:val="24"/>
          <w:lang w:eastAsia="zh-CN"/>
        </w:rPr>
      </w:pPr>
      <w:r>
        <w:rPr>
          <w:rFonts w:hint="eastAsia" w:ascii="微软雅黑" w:hAnsi="微软雅黑" w:eastAsia="微软雅黑" w:cs="微软雅黑"/>
          <w:spacing w:val="12"/>
          <w:sz w:val="24"/>
          <w:szCs w:val="24"/>
        </w:rPr>
        <w:t>截至3月28日，富时中国A50指数收跌0.14%至12091.98点；新交所富时A50期指主力合约收涨0.07%至12120点。离岸人民币波动放大，叠加短线资金获利兑现，市场做多情绪近日明显降温。基本面上，政策平稳落地、与市场预期一致，财政政策力度中性、房地产延续弱势、经济持续修复但结构性改善仍需时间。策略上，短线观望为主。详细支撑阻力位请见图表4</w:t>
      </w:r>
      <w:r>
        <w:rPr>
          <w:rFonts w:hint="eastAsia" w:ascii="微软雅黑" w:hAnsi="微软雅黑" w:eastAsia="微软雅黑" w:cs="微软雅黑"/>
          <w:spacing w:val="12"/>
          <w:sz w:val="24"/>
          <w:szCs w:val="24"/>
          <w:lang w:eastAsia="zh-CN"/>
        </w:rPr>
        <w:t>。</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：富时中国A50指数</w:t>
      </w:r>
      <w:r>
        <w:rPr>
          <w:rFonts w:hint="eastAsia" w:ascii="微软雅黑" w:hAnsi="微软雅黑" w:eastAsia="微软雅黑" w:cs="微软雅黑"/>
          <w:spacing w:val="7"/>
          <w:sz w:val="21"/>
          <w:szCs w:val="21"/>
          <w:lang w:val="en-US" w:eastAsia="zh-CN"/>
        </w:rPr>
        <w:t>走势图</w:t>
      </w:r>
    </w:p>
    <w:p>
      <w:pPr>
        <w:spacing w:before="103" w:line="256" w:lineRule="auto"/>
        <w:ind w:right="743"/>
        <w:jc w:val="both"/>
        <w:rPr>
          <w:rFonts w:ascii="新宋体" w:hAnsi="新宋体" w:eastAsia="新宋体"/>
        </w:rPr>
      </w:pPr>
      <w:r>
        <w:drawing>
          <wp:inline distT="0" distB="0" distL="0" distR="0">
            <wp:extent cx="6111875" cy="2025650"/>
            <wp:effectExtent l="0" t="0" r="3175" b="1270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5"/>
                    <a:stretch>
                      <a:fillRect/>
                    </a:stretch>
                  </pic:blipFill>
                  <pic:spPr>
                    <a:xfrm>
                      <a:off x="0" y="0"/>
                      <a:ext cx="6111875" cy="2025650"/>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隔夜美元指数震荡偏强，交投于104.53。基准的10年期美债收益率一度失守4.2%关口，最终收报4.206%，对美联储政策利率最敏感的2年期美债收益率收报4.628%。</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库存方面：截至3月28日，LME铜库存为112475吨，环比-625吨。3月22日当周，上海期货交易所阴极铜库存为285090吨，周环比-1305吨。</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外盘持仓方面：根据CFTC公布的最新数据显示，截止至3月19日当周，非商业多头持仓124316手，空头92391手，净多持仓31925手，较上周净多增加26498手。</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隔夜COMEX铜宽幅震荡，其中2405合约报收4.012美元/磅，涨跌幅+0.3%。国际方面，美国3月密歇根大学消费者信心指数终值79.4，预期76.5，初值76.5，2月终值76.9；3月一年期通胀率预期2.9%，预期3.1%，前值3.0%。消费信心的提振及预期通胀的回落，在一定程度上反映了美国经济较强韧性，降息时点或有滞后的可能，美元近期偏强。国内方面，国务院总理李强在国务院推动大规模设备更新和消费品以旧换新工作视频会议上强调，扎实推动大规模设备更新和消费品以旧换新，促进经济转型升级和城乡居民生活品质提升。基本面上，供给端1-2月表观消费量整体小幅下降，加之铜矿端的偏紧供应会致使冶炼厂减产预期提升，需求上来看，下游铜材加工厂对精铜的价格接受度和外采情况或因价格的走高而有所影响。整体来看，宏观环境呈现偏暖局面，供给预期偏紧，而需求在政策指引下预期提振。操作上，建议COMEX铜2405合约轻仓逢低短多交易，注意交易节奏及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COMEX铜日线走势图</w:t>
      </w:r>
    </w:p>
    <w:p>
      <w:pPr>
        <w:spacing w:before="103" w:line="256" w:lineRule="auto"/>
        <w:ind w:right="743"/>
        <w:jc w:val="both"/>
      </w:pPr>
      <w:r>
        <w:drawing>
          <wp:inline distT="0" distB="0" distL="0" distR="0">
            <wp:extent cx="6083300" cy="1947545"/>
            <wp:effectExtent l="0" t="0" r="12700" b="146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6083300" cy="1947545"/>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pPr>
    </w:p>
    <w:p>
      <w:pPr>
        <w:spacing w:before="103" w:line="256" w:lineRule="auto"/>
        <w:ind w:right="743"/>
        <w:jc w:val="both"/>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消息面：昨日公布的美国四季度GDP增速由3.2%上修至3.4%，同时消费者支出水平同样由3%上调至3.3%，体现整体经济韧性或超市场预期。然而同于昨日公布的美国四季度核心PCE数据录得2%，低于预期的2.1%，进而使市场对通胀水平的担忧有所缓解，长端美债收益率有所下跌。</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外盘持仓方面：截至3月28日，SPDR Gold Trust黄金ETF持仓量为830.15吨，较上一交易日持平。</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往后看，短期内受美国与非美国家利差尚存影响，美元指数或持续得到一定支撑，人民币汇率或将相对承压，内盘贵金属在汇率水平大概率持续走弱的影响下或持续得到提振。操作上建议，日内逢低做多，请投资者注意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r>
        <w:rPr>
          <w:rFonts w:hint="eastAsia" w:ascii="微软雅黑" w:hAnsi="微软雅黑" w:eastAsia="微软雅黑" w:cs="微软雅黑"/>
          <w:spacing w:val="7"/>
          <w:sz w:val="21"/>
          <w:szCs w:val="21"/>
          <w:lang w:val="en-US" w:eastAsia="zh-CN"/>
        </w:rPr>
        <w:t xml:space="preserve">  </w:t>
      </w:r>
    </w:p>
    <w:p>
      <w:pPr>
        <w:spacing w:before="103" w:line="256" w:lineRule="auto"/>
        <w:ind w:right="743"/>
        <w:jc w:val="both"/>
      </w:pPr>
      <w:r>
        <w:drawing>
          <wp:inline distT="0" distB="0" distL="114300" distR="114300">
            <wp:extent cx="6021705" cy="1978660"/>
            <wp:effectExtent l="0" t="0" r="17145" b="254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7"/>
                    <a:stretch>
                      <a:fillRect/>
                    </a:stretch>
                  </pic:blipFill>
                  <pic:spPr>
                    <a:xfrm>
                      <a:off x="0" y="0"/>
                      <a:ext cx="6021705" cy="1978660"/>
                    </a:xfrm>
                    <a:prstGeom prst="rect">
                      <a:avLst/>
                    </a:prstGeom>
                    <a:noFill/>
                    <a:ln>
                      <a:noFill/>
                    </a:ln>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spacing w:val="7"/>
          <w:sz w:val="21"/>
          <w:szCs w:val="21"/>
          <w:lang w:val="en-US"/>
        </w:rPr>
      </w:pPr>
      <w:r>
        <w:rPr>
          <w:rFonts w:hint="eastAsia" w:ascii="微软雅黑" w:hAnsi="微软雅黑" w:eastAsia="微软雅黑" w:cs="微软雅黑"/>
          <w:b/>
          <w:bCs/>
          <w:spacing w:val="12"/>
          <w:sz w:val="24"/>
          <w:szCs w:val="24"/>
          <w:lang w:val="en-US" w:eastAsia="zh-CN"/>
        </w:rPr>
        <w:t>原油</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美国能源信息署数据显示，由于原油进口增加和汽油需求低迷，上周美国原油和汽油库存意外增加，导致油价承压，但是原油库存增幅远低于美国石油学会预测增幅。</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瑞典北欧斯安银行分析师比亚内希尔德罗普表示,他预计美国原油库存增幅将低于正常水平，反映出全球原油供应出现轻微短缺。这可能会给布伦特原油带来支撑。</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上周美国炼油厂的产能利用率增长0.9个百分点，也支撑了原油价格。</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欧佩克联盟已经将每日200万桶的减产计划延长到了6月底，市场人士预期全球原油供应将会趋紧。几位欧佩克联盟的消息人士表示，下周欧佩克联盟在审查会议上不会对减产政策作出任何改变，因为事实证明减产政策已经奏效。</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第一季度原油价格上涨，也受益于乌克兰使用无人机袭击俄罗斯能源基础设施，中东地缘政治紧张局势。美国再资本公司合伙人约翰基多夫表示，乌克兰对俄罗斯能源基础设施的袭击，提振了全球原油供应趋紧的预期，有助于支撑油价。基多夫表示，乌克兰似乎没有理会拜登政府关于不要攻击俄罗斯能源基础设施的要求。</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美国能源服务公司贝克休斯表示，截至3月28日当周，美国石油和天然气钻机运营数量为621台，比一周前减少3台，这也是反应未来产量的先行指标。</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与此同时，美国经济第四季度增长速度高于早先预期。美国商务部经济分析局表示，2023年第四季度GDP年化增长率为3.4%，高于之前报告的3.2%。</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周四美国股市上涨，分析师称这表明预期收益强劲，反过来暗示美国经济异常强劲，有利于能源产品需求好于预期。</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美联储理事周三表示，通胀数据印证了美联储推迟削减利率的理由，但不排除在今年晚些时候降息的可能性。摩根大通分析师在一份报告中表示，市场一致认为美联储和欧洲央行将在六月份开始降息。降低利率通常会支撑经济增长和商品需求。</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纽约商品期货交易所（NYMEX）的西德克萨斯中质原油（WTI）5月合约较上一交易日上涨1.82美元或2.24%，报83.07美元/桶，短期呈现高位震荡走势。支撑位：80.5；压力位：83.9。</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en-US" w:eastAsia="zh-CN"/>
        </w:rPr>
        <w:t>图7：原油（WTI）</w:t>
      </w:r>
    </w:p>
    <w:p>
      <w:pPr>
        <w:spacing w:before="103" w:line="256" w:lineRule="auto"/>
        <w:ind w:right="743"/>
        <w:jc w:val="both"/>
        <w:rPr>
          <w:rFonts w:hint="eastAsia" w:ascii="微软雅黑" w:hAnsi="微软雅黑" w:eastAsia="微软雅黑" w:cs="微软雅黑"/>
          <w:spacing w:val="12"/>
          <w:sz w:val="24"/>
          <w:szCs w:val="24"/>
        </w:rPr>
      </w:pPr>
      <w:r>
        <w:drawing>
          <wp:inline distT="0" distB="0" distL="0" distR="0">
            <wp:extent cx="5988050" cy="2874645"/>
            <wp:effectExtent l="0" t="0" r="1270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5988050" cy="2874645"/>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bookmarkStart w:id="0" w:name="OLE_LINK3"/>
      <w:bookmarkStart w:id="1" w:name="OLE_LINK4"/>
    </w:p>
    <w:bookmarkEnd w:id="0"/>
    <w:bookmarkEnd w:id="1"/>
    <w:p>
      <w:pPr>
        <w:spacing w:before="103" w:line="256" w:lineRule="auto"/>
        <w:ind w:right="743" w:firstLine="528" w:firstLineChars="200"/>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洲际期货交易所（ICE）原糖期货周四收高，由于巴西产区干旱影响仍存。交投最活跃的ICE</w:t>
      </w:r>
      <w:r>
        <w:rPr>
          <w:rFonts w:hint="eastAsia" w:ascii="微软雅黑" w:hAnsi="微软雅黑" w:eastAsia="微软雅黑" w:cs="微软雅黑"/>
          <w:spacing w:val="12"/>
          <w:sz w:val="24"/>
          <w:szCs w:val="24"/>
          <w:lang w:val="en-US" w:eastAsia="zh-CN"/>
        </w:rPr>
        <w:t xml:space="preserve"> </w:t>
      </w:r>
      <w:r>
        <w:rPr>
          <w:rFonts w:hint="eastAsia" w:ascii="微软雅黑" w:hAnsi="微软雅黑" w:eastAsia="微软雅黑" w:cs="微软雅黑"/>
          <w:spacing w:val="12"/>
          <w:sz w:val="24"/>
          <w:szCs w:val="24"/>
        </w:rPr>
        <w:t>5月原糖期货合约收盘收涨0.33美分或1.50%，结算价每磅22.52美分。操作上，建议5月ICE原糖短期暂且观望。</w:t>
      </w:r>
    </w:p>
    <w:p>
      <w:pPr>
        <w:spacing w:before="103" w:line="256" w:lineRule="auto"/>
        <w:ind w:right="743" w:firstLine="528" w:firstLineChars="200"/>
        <w:jc w:val="both"/>
        <w:rPr>
          <w:rFonts w:hint="eastAsia" w:ascii="微软雅黑" w:hAnsi="微软雅黑" w:eastAsia="微软雅黑" w:cs="微软雅黑"/>
          <w:spacing w:val="12"/>
          <w:sz w:val="24"/>
          <w:szCs w:val="24"/>
        </w:rPr>
      </w:pPr>
    </w:p>
    <w:p>
      <w:pPr>
        <w:spacing w:before="103" w:line="256" w:lineRule="auto"/>
        <w:ind w:right="743" w:firstLine="528" w:firstLineChars="200"/>
        <w:jc w:val="both"/>
        <w:rPr>
          <w:rFonts w:hint="eastAsia" w:ascii="微软雅黑" w:hAnsi="微软雅黑" w:eastAsia="微软雅黑" w:cs="微软雅黑"/>
          <w:spacing w:val="12"/>
          <w:sz w:val="24"/>
          <w:szCs w:val="24"/>
        </w:rPr>
      </w:pPr>
    </w:p>
    <w:p>
      <w:pPr>
        <w:spacing w:before="103" w:line="256" w:lineRule="auto"/>
        <w:ind w:right="743" w:firstLine="528" w:firstLineChars="200"/>
        <w:jc w:val="both"/>
        <w:rPr>
          <w:rFonts w:hint="eastAsia" w:ascii="微软雅黑" w:hAnsi="微软雅黑" w:eastAsia="微软雅黑" w:cs="微软雅黑"/>
          <w:spacing w:val="12"/>
          <w:sz w:val="24"/>
          <w:szCs w:val="24"/>
        </w:rPr>
      </w:pPr>
    </w:p>
    <w:p>
      <w:pPr>
        <w:spacing w:before="103" w:line="256" w:lineRule="auto"/>
        <w:ind w:right="743"/>
        <w:jc w:val="both"/>
        <w:rPr>
          <w:rFonts w:hint="eastAsia" w:ascii="微软雅黑" w:hAnsi="微软雅黑" w:eastAsia="微软雅黑" w:cs="微软雅黑"/>
          <w:spacing w:val="12"/>
          <w:sz w:val="24"/>
          <w:szCs w:val="24"/>
        </w:rPr>
      </w:pPr>
      <w:bookmarkStart w:id="2" w:name="_GoBack"/>
      <w:bookmarkEnd w:id="2"/>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w:t>
      </w:r>
      <w:r>
        <w:rPr>
          <w:rFonts w:hint="eastAsia" w:ascii="微软雅黑" w:hAnsi="微软雅黑" w:eastAsia="微软雅黑" w:cs="微软雅黑"/>
          <w:spacing w:val="7"/>
          <w:sz w:val="21"/>
          <w:szCs w:val="21"/>
          <w:lang w:val="zh-CN" w:eastAsia="zh-CN"/>
        </w:rPr>
        <w:t>原糖期货主力合约日走势图及支撑位、阻力位</w:t>
      </w:r>
    </w:p>
    <w:p>
      <w:pPr>
        <w:spacing w:before="103" w:line="256" w:lineRule="auto"/>
        <w:ind w:right="743"/>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7"/>
          <w:sz w:val="21"/>
          <w:szCs w:val="21"/>
          <w:lang w:val="zh-CN" w:eastAsia="zh-CN"/>
        </w:rPr>
        <w:drawing>
          <wp:inline distT="0" distB="0" distL="114300" distR="114300">
            <wp:extent cx="6129020" cy="1980565"/>
            <wp:effectExtent l="0" t="0" r="5080" b="635"/>
            <wp:docPr id="12" name="图片 12" descr="e323ccbe906028bc5a6b330525340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323ccbe906028bc5a6b330525340b8"/>
                    <pic:cNvPicPr>
                      <a:picLocks noChangeAspect="1"/>
                    </pic:cNvPicPr>
                  </pic:nvPicPr>
                  <pic:blipFill>
                    <a:blip r:embed="rId19"/>
                    <a:stretch>
                      <a:fillRect/>
                    </a:stretch>
                  </pic:blipFill>
                  <pic:spPr>
                    <a:xfrm>
                      <a:off x="0" y="0"/>
                      <a:ext cx="6129020" cy="198056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spacing w:val="12"/>
          <w:sz w:val="24"/>
          <w:szCs w:val="24"/>
          <w:lang w:eastAsia="zh-CN"/>
        </w:rPr>
      </w:pPr>
      <w:r>
        <w:rPr>
          <w:rFonts w:hint="eastAsia" w:ascii="微软雅黑" w:hAnsi="微软雅黑" w:eastAsia="微软雅黑" w:cs="微软雅黑"/>
          <w:b/>
          <w:bCs/>
          <w:spacing w:val="12"/>
          <w:sz w:val="24"/>
          <w:szCs w:val="24"/>
          <w:lang w:val="en-US" w:eastAsia="zh-CN"/>
        </w:rPr>
        <w:t>ICE棉花</w:t>
      </w:r>
    </w:p>
    <w:p>
      <w:pPr>
        <w:spacing w:before="103" w:line="256" w:lineRule="auto"/>
        <w:ind w:left="3" w:right="743" w:firstLine="535"/>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12"/>
          <w:sz w:val="24"/>
          <w:szCs w:val="24"/>
          <w:lang w:val="en-US" w:eastAsia="zh-CN"/>
        </w:rPr>
        <w:t>洲际交易所(ICE)棉花期货周四上涨，美国农业部种植意向报告预估低于预期。交投最活跃的ICE 5月期棉收涨0.61美分或0.7%，结算价报91.38分/磅。操作上，建议5月 ICE 期棉短期暂且观望为宜。</w:t>
      </w:r>
    </w:p>
    <w:p>
      <w:pPr>
        <w:spacing w:before="103" w:line="256" w:lineRule="auto"/>
        <w:ind w:right="743"/>
        <w:jc w:val="both"/>
        <w:rPr>
          <w:rFonts w:ascii="微软雅黑" w:hAnsi="微软雅黑" w:eastAsia="微软雅黑" w:cs="微软雅黑"/>
          <w:color w:val="CE393F"/>
          <w:spacing w:val="8"/>
          <w:position w:val="2"/>
          <w:sz w:val="40"/>
          <w:szCs w:val="40"/>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9：ICE棉花</w:t>
      </w:r>
      <w:r>
        <w:rPr>
          <w:rFonts w:hint="eastAsia" w:ascii="微软雅黑" w:hAnsi="微软雅黑" w:eastAsia="微软雅黑" w:cs="微软雅黑"/>
          <w:spacing w:val="7"/>
          <w:sz w:val="21"/>
          <w:szCs w:val="21"/>
          <w:lang w:val="zh-CN" w:eastAsia="zh-CN"/>
        </w:rPr>
        <w:t>期货主力合约日走势图及支撑位、阻力位</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drawing>
          <wp:inline distT="0" distB="0" distL="114300" distR="114300">
            <wp:extent cx="6178550" cy="1716405"/>
            <wp:effectExtent l="0" t="0" r="12700" b="17145"/>
            <wp:docPr id="15" name="图片 15" descr="4e432cd8a92bfe1e9c30ae3325149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e432cd8a92bfe1e9c30ae33251496a"/>
                    <pic:cNvPicPr>
                      <a:picLocks noChangeAspect="1"/>
                    </pic:cNvPicPr>
                  </pic:nvPicPr>
                  <pic:blipFill>
                    <a:blip r:embed="rId20"/>
                    <a:stretch>
                      <a:fillRect/>
                    </a:stretch>
                  </pic:blipFill>
                  <pic:spPr>
                    <a:xfrm>
                      <a:off x="0" y="0"/>
                      <a:ext cx="6178550" cy="171640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8"/>
          <w:sz w:val="18"/>
          <w:szCs w:val="18"/>
        </w:rPr>
        <w:t>则。</w:t>
      </w:r>
    </w:p>
    <w:p>
      <w:pPr>
        <w:spacing w:before="34" w:line="189" w:lineRule="auto"/>
        <w:ind w:left="337" w:right="707" w:firstLine="381"/>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2"/>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2"/>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181D4B"/>
    <w:rsid w:val="00593490"/>
    <w:rsid w:val="005F4A09"/>
    <w:rsid w:val="00920750"/>
    <w:rsid w:val="00CA7EEA"/>
    <w:rsid w:val="00D348C5"/>
    <w:rsid w:val="00DC19CB"/>
    <w:rsid w:val="00E16FE2"/>
    <w:rsid w:val="011E3D92"/>
    <w:rsid w:val="01486DF0"/>
    <w:rsid w:val="01761E20"/>
    <w:rsid w:val="018F67B1"/>
    <w:rsid w:val="019734A3"/>
    <w:rsid w:val="01B6046E"/>
    <w:rsid w:val="01C257A0"/>
    <w:rsid w:val="01FA65AD"/>
    <w:rsid w:val="021052EA"/>
    <w:rsid w:val="02151639"/>
    <w:rsid w:val="02A97FD3"/>
    <w:rsid w:val="02B7624C"/>
    <w:rsid w:val="02BC7D06"/>
    <w:rsid w:val="030659D3"/>
    <w:rsid w:val="033C0E47"/>
    <w:rsid w:val="03661A20"/>
    <w:rsid w:val="03705048"/>
    <w:rsid w:val="038E44A6"/>
    <w:rsid w:val="03AA4003"/>
    <w:rsid w:val="03D44348"/>
    <w:rsid w:val="03D64DF8"/>
    <w:rsid w:val="03F31506"/>
    <w:rsid w:val="03FE7EAB"/>
    <w:rsid w:val="0402799B"/>
    <w:rsid w:val="04405814"/>
    <w:rsid w:val="044F0706"/>
    <w:rsid w:val="045A6DD9"/>
    <w:rsid w:val="04620439"/>
    <w:rsid w:val="04695C6C"/>
    <w:rsid w:val="04725735"/>
    <w:rsid w:val="0495080F"/>
    <w:rsid w:val="049D5915"/>
    <w:rsid w:val="04CD0E7B"/>
    <w:rsid w:val="04E43544"/>
    <w:rsid w:val="04E55250"/>
    <w:rsid w:val="04FB69FF"/>
    <w:rsid w:val="053D4696"/>
    <w:rsid w:val="054933A7"/>
    <w:rsid w:val="056D52E8"/>
    <w:rsid w:val="059D2DAA"/>
    <w:rsid w:val="05C869C2"/>
    <w:rsid w:val="06874187"/>
    <w:rsid w:val="06920D0C"/>
    <w:rsid w:val="06AC1E40"/>
    <w:rsid w:val="06D40C03"/>
    <w:rsid w:val="06D860E7"/>
    <w:rsid w:val="06E91363"/>
    <w:rsid w:val="072919FB"/>
    <w:rsid w:val="07375BAD"/>
    <w:rsid w:val="07634D60"/>
    <w:rsid w:val="07652B87"/>
    <w:rsid w:val="07950B26"/>
    <w:rsid w:val="07D9719C"/>
    <w:rsid w:val="07EB25E1"/>
    <w:rsid w:val="07F5280A"/>
    <w:rsid w:val="07F67816"/>
    <w:rsid w:val="080F6B2A"/>
    <w:rsid w:val="085B34CE"/>
    <w:rsid w:val="089E2E0C"/>
    <w:rsid w:val="08B5322E"/>
    <w:rsid w:val="08E949DF"/>
    <w:rsid w:val="090E293E"/>
    <w:rsid w:val="09174F67"/>
    <w:rsid w:val="09252A9B"/>
    <w:rsid w:val="093E76C7"/>
    <w:rsid w:val="09491BC8"/>
    <w:rsid w:val="09840E52"/>
    <w:rsid w:val="099A2423"/>
    <w:rsid w:val="09AC6674"/>
    <w:rsid w:val="09D26E62"/>
    <w:rsid w:val="09F02DF6"/>
    <w:rsid w:val="09F31EAA"/>
    <w:rsid w:val="0A1470E4"/>
    <w:rsid w:val="0A2A37A7"/>
    <w:rsid w:val="0A434869"/>
    <w:rsid w:val="0A533A62"/>
    <w:rsid w:val="0A544CC8"/>
    <w:rsid w:val="0A7D5FCD"/>
    <w:rsid w:val="0A823CEB"/>
    <w:rsid w:val="0A8F399C"/>
    <w:rsid w:val="0A9A6B7F"/>
    <w:rsid w:val="0A9B3267"/>
    <w:rsid w:val="0AA82AC5"/>
    <w:rsid w:val="0ABF0394"/>
    <w:rsid w:val="0AC75B18"/>
    <w:rsid w:val="0AFD2C6A"/>
    <w:rsid w:val="0B0B2B07"/>
    <w:rsid w:val="0B0C10FF"/>
    <w:rsid w:val="0B116814"/>
    <w:rsid w:val="0B156206"/>
    <w:rsid w:val="0B3F6A8F"/>
    <w:rsid w:val="0B6149B5"/>
    <w:rsid w:val="0B775713"/>
    <w:rsid w:val="0B7C44D7"/>
    <w:rsid w:val="0BA87886"/>
    <w:rsid w:val="0C023101"/>
    <w:rsid w:val="0C1E10EA"/>
    <w:rsid w:val="0C6311F3"/>
    <w:rsid w:val="0C7426EC"/>
    <w:rsid w:val="0C8A677F"/>
    <w:rsid w:val="0CE00A95"/>
    <w:rsid w:val="0CE7389C"/>
    <w:rsid w:val="0D3A56A0"/>
    <w:rsid w:val="0D6945E7"/>
    <w:rsid w:val="0D766D04"/>
    <w:rsid w:val="0D815DD4"/>
    <w:rsid w:val="0E211365"/>
    <w:rsid w:val="0E304A35"/>
    <w:rsid w:val="0E4F7C80"/>
    <w:rsid w:val="0E680D42"/>
    <w:rsid w:val="0E6A2D0C"/>
    <w:rsid w:val="0E7D63D0"/>
    <w:rsid w:val="0E8A6F0A"/>
    <w:rsid w:val="0EC40C69"/>
    <w:rsid w:val="0F0E09E8"/>
    <w:rsid w:val="0F425337"/>
    <w:rsid w:val="0FB51D65"/>
    <w:rsid w:val="0FB7564B"/>
    <w:rsid w:val="0FCF7FFC"/>
    <w:rsid w:val="0FD85A54"/>
    <w:rsid w:val="0FDC5544"/>
    <w:rsid w:val="0FE10DAC"/>
    <w:rsid w:val="101E5B5C"/>
    <w:rsid w:val="10240C99"/>
    <w:rsid w:val="103B02B6"/>
    <w:rsid w:val="104135F9"/>
    <w:rsid w:val="105A46BB"/>
    <w:rsid w:val="10A51DDA"/>
    <w:rsid w:val="10F1501F"/>
    <w:rsid w:val="1126167A"/>
    <w:rsid w:val="115F642C"/>
    <w:rsid w:val="119A2EC2"/>
    <w:rsid w:val="11DF575B"/>
    <w:rsid w:val="12064AFA"/>
    <w:rsid w:val="123A47A4"/>
    <w:rsid w:val="12837EF9"/>
    <w:rsid w:val="129245E0"/>
    <w:rsid w:val="12B72AC8"/>
    <w:rsid w:val="12C53BAB"/>
    <w:rsid w:val="12C56763"/>
    <w:rsid w:val="12DD56D0"/>
    <w:rsid w:val="12E453E1"/>
    <w:rsid w:val="130A686C"/>
    <w:rsid w:val="13392CAD"/>
    <w:rsid w:val="13914897"/>
    <w:rsid w:val="13AC16D1"/>
    <w:rsid w:val="13E83022"/>
    <w:rsid w:val="142D2812"/>
    <w:rsid w:val="145B4DEA"/>
    <w:rsid w:val="146B1AFA"/>
    <w:rsid w:val="148B7538"/>
    <w:rsid w:val="14914C87"/>
    <w:rsid w:val="14B24AC5"/>
    <w:rsid w:val="14E03753"/>
    <w:rsid w:val="14EF7AC7"/>
    <w:rsid w:val="15357EA3"/>
    <w:rsid w:val="153F7762"/>
    <w:rsid w:val="1546345F"/>
    <w:rsid w:val="157A3DE6"/>
    <w:rsid w:val="15A20FDE"/>
    <w:rsid w:val="15AD4515"/>
    <w:rsid w:val="15BF56EC"/>
    <w:rsid w:val="15FA0A52"/>
    <w:rsid w:val="162163A6"/>
    <w:rsid w:val="162F6237"/>
    <w:rsid w:val="163007A4"/>
    <w:rsid w:val="16323E9D"/>
    <w:rsid w:val="16526560"/>
    <w:rsid w:val="16532BAF"/>
    <w:rsid w:val="16640041"/>
    <w:rsid w:val="167A1613"/>
    <w:rsid w:val="167F4E7B"/>
    <w:rsid w:val="16A86180"/>
    <w:rsid w:val="16AB5CAD"/>
    <w:rsid w:val="16B17A67"/>
    <w:rsid w:val="16C117E9"/>
    <w:rsid w:val="16C3745D"/>
    <w:rsid w:val="16CE195E"/>
    <w:rsid w:val="16E84EEA"/>
    <w:rsid w:val="16ED5F07"/>
    <w:rsid w:val="16FE3FF2"/>
    <w:rsid w:val="17231CAA"/>
    <w:rsid w:val="1750680B"/>
    <w:rsid w:val="17602EFE"/>
    <w:rsid w:val="176B1094"/>
    <w:rsid w:val="179E5F3A"/>
    <w:rsid w:val="17A62F40"/>
    <w:rsid w:val="17C36FE9"/>
    <w:rsid w:val="17EF6030"/>
    <w:rsid w:val="181A30AD"/>
    <w:rsid w:val="188F46B1"/>
    <w:rsid w:val="188F6EFF"/>
    <w:rsid w:val="18AB1F57"/>
    <w:rsid w:val="18BF5A03"/>
    <w:rsid w:val="18DA6CE0"/>
    <w:rsid w:val="193957B5"/>
    <w:rsid w:val="19891B44"/>
    <w:rsid w:val="19E37FA1"/>
    <w:rsid w:val="1A1A3838"/>
    <w:rsid w:val="1A3760C8"/>
    <w:rsid w:val="1A7F5449"/>
    <w:rsid w:val="1A926B26"/>
    <w:rsid w:val="1AB33345"/>
    <w:rsid w:val="1AEE342A"/>
    <w:rsid w:val="1AFE6CB6"/>
    <w:rsid w:val="1B0B3181"/>
    <w:rsid w:val="1B143435"/>
    <w:rsid w:val="1B593EEC"/>
    <w:rsid w:val="1B6F441F"/>
    <w:rsid w:val="1B6F54BE"/>
    <w:rsid w:val="1BCC2910"/>
    <w:rsid w:val="1BE952E4"/>
    <w:rsid w:val="1BEC2FB3"/>
    <w:rsid w:val="1C220782"/>
    <w:rsid w:val="1C2A3ADB"/>
    <w:rsid w:val="1C2C7853"/>
    <w:rsid w:val="1C2F2E9F"/>
    <w:rsid w:val="1C3C502D"/>
    <w:rsid w:val="1C56667E"/>
    <w:rsid w:val="1C5C2AF3"/>
    <w:rsid w:val="1C6F246D"/>
    <w:rsid w:val="1C705992"/>
    <w:rsid w:val="1C840E30"/>
    <w:rsid w:val="1C847E13"/>
    <w:rsid w:val="1C9871D4"/>
    <w:rsid w:val="1CA32066"/>
    <w:rsid w:val="1CB6711D"/>
    <w:rsid w:val="1CDB7F58"/>
    <w:rsid w:val="1CE56411"/>
    <w:rsid w:val="1D063C00"/>
    <w:rsid w:val="1D077978"/>
    <w:rsid w:val="1D5038FF"/>
    <w:rsid w:val="1D8A2164"/>
    <w:rsid w:val="1DB70C3A"/>
    <w:rsid w:val="1DE026A3"/>
    <w:rsid w:val="1E140822"/>
    <w:rsid w:val="1EDA46D4"/>
    <w:rsid w:val="1F047D4E"/>
    <w:rsid w:val="1F066139"/>
    <w:rsid w:val="1F2E743E"/>
    <w:rsid w:val="1F43738D"/>
    <w:rsid w:val="1F570A81"/>
    <w:rsid w:val="1F69491A"/>
    <w:rsid w:val="1FA34B99"/>
    <w:rsid w:val="1FAA1158"/>
    <w:rsid w:val="1FBB3CE7"/>
    <w:rsid w:val="1FCF6E73"/>
    <w:rsid w:val="1FD955FC"/>
    <w:rsid w:val="1FE453E9"/>
    <w:rsid w:val="200B4005"/>
    <w:rsid w:val="201C373B"/>
    <w:rsid w:val="203B1E13"/>
    <w:rsid w:val="2040567B"/>
    <w:rsid w:val="20C067BC"/>
    <w:rsid w:val="20DA5ACF"/>
    <w:rsid w:val="210A2CE1"/>
    <w:rsid w:val="213571AA"/>
    <w:rsid w:val="213836B0"/>
    <w:rsid w:val="213B4094"/>
    <w:rsid w:val="21893052"/>
    <w:rsid w:val="21934DFE"/>
    <w:rsid w:val="219E4C0D"/>
    <w:rsid w:val="224156DA"/>
    <w:rsid w:val="224C47AB"/>
    <w:rsid w:val="224C6559"/>
    <w:rsid w:val="225243A2"/>
    <w:rsid w:val="22695B2D"/>
    <w:rsid w:val="227B0BEC"/>
    <w:rsid w:val="22CF093F"/>
    <w:rsid w:val="22F20137"/>
    <w:rsid w:val="23476D20"/>
    <w:rsid w:val="23503E27"/>
    <w:rsid w:val="23517B9F"/>
    <w:rsid w:val="235F71C6"/>
    <w:rsid w:val="23713D9D"/>
    <w:rsid w:val="237750EB"/>
    <w:rsid w:val="23F01166"/>
    <w:rsid w:val="23F24EDE"/>
    <w:rsid w:val="23F82635"/>
    <w:rsid w:val="24613C0B"/>
    <w:rsid w:val="24651B54"/>
    <w:rsid w:val="2490190B"/>
    <w:rsid w:val="24E0742D"/>
    <w:rsid w:val="24F212CA"/>
    <w:rsid w:val="25096983"/>
    <w:rsid w:val="25283888"/>
    <w:rsid w:val="25323DC4"/>
    <w:rsid w:val="25324D05"/>
    <w:rsid w:val="253B28B5"/>
    <w:rsid w:val="25472113"/>
    <w:rsid w:val="257D4C7B"/>
    <w:rsid w:val="25853B30"/>
    <w:rsid w:val="25873D4C"/>
    <w:rsid w:val="25A3141D"/>
    <w:rsid w:val="25D8182D"/>
    <w:rsid w:val="26591245"/>
    <w:rsid w:val="266A530B"/>
    <w:rsid w:val="268F2EB8"/>
    <w:rsid w:val="268F3365"/>
    <w:rsid w:val="269C3827"/>
    <w:rsid w:val="269E134D"/>
    <w:rsid w:val="26AC3A6A"/>
    <w:rsid w:val="26C708A4"/>
    <w:rsid w:val="27104DCE"/>
    <w:rsid w:val="27196C26"/>
    <w:rsid w:val="274912B9"/>
    <w:rsid w:val="27541A0C"/>
    <w:rsid w:val="27547C5E"/>
    <w:rsid w:val="275639D6"/>
    <w:rsid w:val="276C31F9"/>
    <w:rsid w:val="276F4A98"/>
    <w:rsid w:val="27B84C56"/>
    <w:rsid w:val="27BA1634"/>
    <w:rsid w:val="27D03788"/>
    <w:rsid w:val="28575C58"/>
    <w:rsid w:val="287265EE"/>
    <w:rsid w:val="28D450EA"/>
    <w:rsid w:val="28D5055F"/>
    <w:rsid w:val="28FC39E6"/>
    <w:rsid w:val="29895F83"/>
    <w:rsid w:val="2A1831C5"/>
    <w:rsid w:val="2A581813"/>
    <w:rsid w:val="2AA841F2"/>
    <w:rsid w:val="2AF43C32"/>
    <w:rsid w:val="2B0A5203"/>
    <w:rsid w:val="2BBF5FEE"/>
    <w:rsid w:val="2BCA04EF"/>
    <w:rsid w:val="2BFD08C4"/>
    <w:rsid w:val="2C0E487F"/>
    <w:rsid w:val="2C0F5A5F"/>
    <w:rsid w:val="2C5030EA"/>
    <w:rsid w:val="2C7C5C8D"/>
    <w:rsid w:val="2C934D84"/>
    <w:rsid w:val="2CC413E2"/>
    <w:rsid w:val="2CCF6074"/>
    <w:rsid w:val="2CE028C6"/>
    <w:rsid w:val="2D012F66"/>
    <w:rsid w:val="2D771923"/>
    <w:rsid w:val="2D776454"/>
    <w:rsid w:val="2D7B5F44"/>
    <w:rsid w:val="2DA84860"/>
    <w:rsid w:val="2DE81100"/>
    <w:rsid w:val="2DEC299E"/>
    <w:rsid w:val="2DFB5908"/>
    <w:rsid w:val="2E0065CE"/>
    <w:rsid w:val="2E312AA7"/>
    <w:rsid w:val="2E746294"/>
    <w:rsid w:val="2EBF315F"/>
    <w:rsid w:val="2EF22236"/>
    <w:rsid w:val="2F1F6DA3"/>
    <w:rsid w:val="2F391C13"/>
    <w:rsid w:val="2F3D7961"/>
    <w:rsid w:val="2F666780"/>
    <w:rsid w:val="2F7075FF"/>
    <w:rsid w:val="2F8C1E45"/>
    <w:rsid w:val="2FA63021"/>
    <w:rsid w:val="2FAA2B11"/>
    <w:rsid w:val="2FD7142C"/>
    <w:rsid w:val="2FF41FDE"/>
    <w:rsid w:val="2FFB511A"/>
    <w:rsid w:val="300F0BC6"/>
    <w:rsid w:val="30155912"/>
    <w:rsid w:val="3070283C"/>
    <w:rsid w:val="309A4933"/>
    <w:rsid w:val="30C9346B"/>
    <w:rsid w:val="30F32296"/>
    <w:rsid w:val="30FF50DE"/>
    <w:rsid w:val="31197F4E"/>
    <w:rsid w:val="311D7312"/>
    <w:rsid w:val="313E79B5"/>
    <w:rsid w:val="3163417D"/>
    <w:rsid w:val="318A49A8"/>
    <w:rsid w:val="31C51E84"/>
    <w:rsid w:val="31D644AB"/>
    <w:rsid w:val="32554509"/>
    <w:rsid w:val="326951F3"/>
    <w:rsid w:val="32A24300"/>
    <w:rsid w:val="32AE46C6"/>
    <w:rsid w:val="32CC0FF0"/>
    <w:rsid w:val="32E92FB9"/>
    <w:rsid w:val="334E2397"/>
    <w:rsid w:val="33526CEF"/>
    <w:rsid w:val="338418CB"/>
    <w:rsid w:val="33C64D45"/>
    <w:rsid w:val="33EC0EFE"/>
    <w:rsid w:val="33F8661C"/>
    <w:rsid w:val="345968B4"/>
    <w:rsid w:val="34945433"/>
    <w:rsid w:val="349F4C0E"/>
    <w:rsid w:val="350D601C"/>
    <w:rsid w:val="354B627A"/>
    <w:rsid w:val="356814A4"/>
    <w:rsid w:val="358E3D56"/>
    <w:rsid w:val="360311CD"/>
    <w:rsid w:val="36435665"/>
    <w:rsid w:val="3647730B"/>
    <w:rsid w:val="367C49A1"/>
    <w:rsid w:val="36C26992"/>
    <w:rsid w:val="36D55C7A"/>
    <w:rsid w:val="36EF34FF"/>
    <w:rsid w:val="3710594F"/>
    <w:rsid w:val="37364480"/>
    <w:rsid w:val="37545800"/>
    <w:rsid w:val="375D66BB"/>
    <w:rsid w:val="376B702A"/>
    <w:rsid w:val="37E1553E"/>
    <w:rsid w:val="381474C6"/>
    <w:rsid w:val="38183E1B"/>
    <w:rsid w:val="38295077"/>
    <w:rsid w:val="382F0057"/>
    <w:rsid w:val="384D08D4"/>
    <w:rsid w:val="38613F89"/>
    <w:rsid w:val="3895243A"/>
    <w:rsid w:val="38B00000"/>
    <w:rsid w:val="38BB18EB"/>
    <w:rsid w:val="38D37AC3"/>
    <w:rsid w:val="38E30E42"/>
    <w:rsid w:val="38F66DC7"/>
    <w:rsid w:val="392C04C3"/>
    <w:rsid w:val="39377035"/>
    <w:rsid w:val="39904B26"/>
    <w:rsid w:val="39AB195F"/>
    <w:rsid w:val="3A1439A9"/>
    <w:rsid w:val="3A357A7E"/>
    <w:rsid w:val="3A6B10EF"/>
    <w:rsid w:val="3A8F494D"/>
    <w:rsid w:val="3AAA7E69"/>
    <w:rsid w:val="3AEB650A"/>
    <w:rsid w:val="3AF5356F"/>
    <w:rsid w:val="3AF61300"/>
    <w:rsid w:val="3B3460C0"/>
    <w:rsid w:val="3B691AD2"/>
    <w:rsid w:val="3B6A75F8"/>
    <w:rsid w:val="3B755158"/>
    <w:rsid w:val="3B7A3CDF"/>
    <w:rsid w:val="3B837F8F"/>
    <w:rsid w:val="3B842468"/>
    <w:rsid w:val="3B862684"/>
    <w:rsid w:val="3B885799"/>
    <w:rsid w:val="3BA90120"/>
    <w:rsid w:val="3BE23632"/>
    <w:rsid w:val="3BEB0739"/>
    <w:rsid w:val="3BFF2436"/>
    <w:rsid w:val="3C045336"/>
    <w:rsid w:val="3C241E9D"/>
    <w:rsid w:val="3C485465"/>
    <w:rsid w:val="3C4E5B21"/>
    <w:rsid w:val="3C540EF7"/>
    <w:rsid w:val="3C5462DE"/>
    <w:rsid w:val="3C7060DA"/>
    <w:rsid w:val="3C917BA0"/>
    <w:rsid w:val="3CBA010B"/>
    <w:rsid w:val="3CC11038"/>
    <w:rsid w:val="3CE32F55"/>
    <w:rsid w:val="3D001FC2"/>
    <w:rsid w:val="3D255ECD"/>
    <w:rsid w:val="3D695EAF"/>
    <w:rsid w:val="3D7824A0"/>
    <w:rsid w:val="3D8F7BCA"/>
    <w:rsid w:val="3D932E36"/>
    <w:rsid w:val="3DAD20DD"/>
    <w:rsid w:val="3DB72FC9"/>
    <w:rsid w:val="3DB8289D"/>
    <w:rsid w:val="3DEB0EC4"/>
    <w:rsid w:val="3DF02037"/>
    <w:rsid w:val="3DF17B5D"/>
    <w:rsid w:val="3DF638A0"/>
    <w:rsid w:val="3DFD6502"/>
    <w:rsid w:val="3E0C1200"/>
    <w:rsid w:val="3E167563"/>
    <w:rsid w:val="3E2D5039"/>
    <w:rsid w:val="3E4F69BB"/>
    <w:rsid w:val="3E647289"/>
    <w:rsid w:val="3E7964D0"/>
    <w:rsid w:val="3E810EE1"/>
    <w:rsid w:val="3E891DA4"/>
    <w:rsid w:val="3E933797"/>
    <w:rsid w:val="3E976956"/>
    <w:rsid w:val="3EA52668"/>
    <w:rsid w:val="3EBD0EE2"/>
    <w:rsid w:val="3EFE4C27"/>
    <w:rsid w:val="3F141D55"/>
    <w:rsid w:val="3F222FE0"/>
    <w:rsid w:val="3F3441A5"/>
    <w:rsid w:val="3F3D5750"/>
    <w:rsid w:val="3F682C26"/>
    <w:rsid w:val="3F747261"/>
    <w:rsid w:val="3F8769CB"/>
    <w:rsid w:val="3F94000D"/>
    <w:rsid w:val="3FA330D9"/>
    <w:rsid w:val="3FAF7CCF"/>
    <w:rsid w:val="3FE43E1D"/>
    <w:rsid w:val="3FE47979"/>
    <w:rsid w:val="3FE8319B"/>
    <w:rsid w:val="4004305D"/>
    <w:rsid w:val="401D10DD"/>
    <w:rsid w:val="40442B0E"/>
    <w:rsid w:val="40CE2673"/>
    <w:rsid w:val="40EE65D6"/>
    <w:rsid w:val="416F7716"/>
    <w:rsid w:val="419B49AF"/>
    <w:rsid w:val="41A73354"/>
    <w:rsid w:val="41C23CEA"/>
    <w:rsid w:val="41C31810"/>
    <w:rsid w:val="41C757A4"/>
    <w:rsid w:val="41CE376B"/>
    <w:rsid w:val="41D41C6F"/>
    <w:rsid w:val="42162288"/>
    <w:rsid w:val="422C3859"/>
    <w:rsid w:val="424C7A58"/>
    <w:rsid w:val="428B1AA5"/>
    <w:rsid w:val="429D02B3"/>
    <w:rsid w:val="429F1251"/>
    <w:rsid w:val="42F36125"/>
    <w:rsid w:val="42F62490"/>
    <w:rsid w:val="43000978"/>
    <w:rsid w:val="43004B7A"/>
    <w:rsid w:val="43094BE2"/>
    <w:rsid w:val="430F539D"/>
    <w:rsid w:val="43212C92"/>
    <w:rsid w:val="43501FEC"/>
    <w:rsid w:val="43574906"/>
    <w:rsid w:val="43972F54"/>
    <w:rsid w:val="439F6C52"/>
    <w:rsid w:val="43D16466"/>
    <w:rsid w:val="441445A5"/>
    <w:rsid w:val="443A0129"/>
    <w:rsid w:val="448C6831"/>
    <w:rsid w:val="449F47B6"/>
    <w:rsid w:val="44A0729C"/>
    <w:rsid w:val="44CD4E80"/>
    <w:rsid w:val="44E81CBA"/>
    <w:rsid w:val="450308A1"/>
    <w:rsid w:val="45131232"/>
    <w:rsid w:val="452F12F5"/>
    <w:rsid w:val="45401AF6"/>
    <w:rsid w:val="457804D5"/>
    <w:rsid w:val="45EC3A2B"/>
    <w:rsid w:val="45EC7588"/>
    <w:rsid w:val="45F20916"/>
    <w:rsid w:val="45FD1795"/>
    <w:rsid w:val="460839C1"/>
    <w:rsid w:val="463236F2"/>
    <w:rsid w:val="463D7DE3"/>
    <w:rsid w:val="4694464B"/>
    <w:rsid w:val="46954ED9"/>
    <w:rsid w:val="46A61E2C"/>
    <w:rsid w:val="46F22218"/>
    <w:rsid w:val="46F72688"/>
    <w:rsid w:val="46FB5788"/>
    <w:rsid w:val="474358CD"/>
    <w:rsid w:val="47487D3C"/>
    <w:rsid w:val="474A6C5C"/>
    <w:rsid w:val="475A2C17"/>
    <w:rsid w:val="47A02FEE"/>
    <w:rsid w:val="47A83982"/>
    <w:rsid w:val="47C66AE7"/>
    <w:rsid w:val="47D26C51"/>
    <w:rsid w:val="47DE55F6"/>
    <w:rsid w:val="47E04ECA"/>
    <w:rsid w:val="47E524E0"/>
    <w:rsid w:val="47EB3E1C"/>
    <w:rsid w:val="481E3AAF"/>
    <w:rsid w:val="483D056E"/>
    <w:rsid w:val="483D1893"/>
    <w:rsid w:val="485422E0"/>
    <w:rsid w:val="486C49B0"/>
    <w:rsid w:val="486F10A5"/>
    <w:rsid w:val="487565D5"/>
    <w:rsid w:val="48C42A3E"/>
    <w:rsid w:val="48D16F09"/>
    <w:rsid w:val="48E82D4D"/>
    <w:rsid w:val="48FD385A"/>
    <w:rsid w:val="4921579A"/>
    <w:rsid w:val="493354CD"/>
    <w:rsid w:val="49341FF9"/>
    <w:rsid w:val="493556E9"/>
    <w:rsid w:val="49725FF6"/>
    <w:rsid w:val="49F04DE4"/>
    <w:rsid w:val="4A0B01F8"/>
    <w:rsid w:val="4A175E73"/>
    <w:rsid w:val="4A216F8B"/>
    <w:rsid w:val="4A560560"/>
    <w:rsid w:val="4A954A5F"/>
    <w:rsid w:val="4ADF52C2"/>
    <w:rsid w:val="4B1355B6"/>
    <w:rsid w:val="4B275B29"/>
    <w:rsid w:val="4B2E23F0"/>
    <w:rsid w:val="4B7676A2"/>
    <w:rsid w:val="4B7E2B72"/>
    <w:rsid w:val="4B8244EA"/>
    <w:rsid w:val="4B897627"/>
    <w:rsid w:val="4BA1327D"/>
    <w:rsid w:val="4BDE5BC4"/>
    <w:rsid w:val="4C225B2C"/>
    <w:rsid w:val="4C464A47"/>
    <w:rsid w:val="4C567E51"/>
    <w:rsid w:val="4C8C4B93"/>
    <w:rsid w:val="4CA010CC"/>
    <w:rsid w:val="4CEC6287"/>
    <w:rsid w:val="4D241CFD"/>
    <w:rsid w:val="4D5325E2"/>
    <w:rsid w:val="4D891B60"/>
    <w:rsid w:val="4DC5444C"/>
    <w:rsid w:val="4DF0398D"/>
    <w:rsid w:val="4DFE3442"/>
    <w:rsid w:val="4E125FF9"/>
    <w:rsid w:val="4E185B3D"/>
    <w:rsid w:val="4E775E5C"/>
    <w:rsid w:val="4EA053B3"/>
    <w:rsid w:val="4EAB2916"/>
    <w:rsid w:val="4EC05A55"/>
    <w:rsid w:val="4ED908C5"/>
    <w:rsid w:val="4F053A58"/>
    <w:rsid w:val="4F1D4C56"/>
    <w:rsid w:val="4F2F6737"/>
    <w:rsid w:val="4F471CD3"/>
    <w:rsid w:val="4F590025"/>
    <w:rsid w:val="4F960564"/>
    <w:rsid w:val="4F9D5D96"/>
    <w:rsid w:val="500951DA"/>
    <w:rsid w:val="50200DCA"/>
    <w:rsid w:val="506D5769"/>
    <w:rsid w:val="50924895"/>
    <w:rsid w:val="512236AA"/>
    <w:rsid w:val="51375377"/>
    <w:rsid w:val="51552C9C"/>
    <w:rsid w:val="51AC22C1"/>
    <w:rsid w:val="52025B23"/>
    <w:rsid w:val="520B6FE7"/>
    <w:rsid w:val="52687391"/>
    <w:rsid w:val="527E5B61"/>
    <w:rsid w:val="528A2602"/>
    <w:rsid w:val="52976ACD"/>
    <w:rsid w:val="52EB11E0"/>
    <w:rsid w:val="53086608"/>
    <w:rsid w:val="536912CC"/>
    <w:rsid w:val="536C09D1"/>
    <w:rsid w:val="536F5815"/>
    <w:rsid w:val="53963CFA"/>
    <w:rsid w:val="540C0A08"/>
    <w:rsid w:val="543B5442"/>
    <w:rsid w:val="54A93FE9"/>
    <w:rsid w:val="54DC69F7"/>
    <w:rsid w:val="54E12D87"/>
    <w:rsid w:val="54EB4C35"/>
    <w:rsid w:val="55055F70"/>
    <w:rsid w:val="55124B31"/>
    <w:rsid w:val="555B2034"/>
    <w:rsid w:val="556829A3"/>
    <w:rsid w:val="557A3281"/>
    <w:rsid w:val="55CE6156"/>
    <w:rsid w:val="55D50038"/>
    <w:rsid w:val="561641AD"/>
    <w:rsid w:val="56B57E6A"/>
    <w:rsid w:val="56C360E3"/>
    <w:rsid w:val="56C85EF8"/>
    <w:rsid w:val="56CD6F61"/>
    <w:rsid w:val="570341F8"/>
    <w:rsid w:val="570861EB"/>
    <w:rsid w:val="571D6A2B"/>
    <w:rsid w:val="57201A20"/>
    <w:rsid w:val="57346FE0"/>
    <w:rsid w:val="575B27BF"/>
    <w:rsid w:val="578C4726"/>
    <w:rsid w:val="57AE1241"/>
    <w:rsid w:val="57B273E9"/>
    <w:rsid w:val="57B67C8D"/>
    <w:rsid w:val="57D40540"/>
    <w:rsid w:val="57EF4CB5"/>
    <w:rsid w:val="58346B6C"/>
    <w:rsid w:val="58372C70"/>
    <w:rsid w:val="589D1393"/>
    <w:rsid w:val="58B55EFF"/>
    <w:rsid w:val="58C3061C"/>
    <w:rsid w:val="58E70221"/>
    <w:rsid w:val="58F22CAF"/>
    <w:rsid w:val="591B7FEB"/>
    <w:rsid w:val="59314975"/>
    <w:rsid w:val="59550740"/>
    <w:rsid w:val="59C10AB4"/>
    <w:rsid w:val="59D56296"/>
    <w:rsid w:val="59D95C1D"/>
    <w:rsid w:val="59DE62A0"/>
    <w:rsid w:val="59EA1BD8"/>
    <w:rsid w:val="5A026F22"/>
    <w:rsid w:val="5AA955EF"/>
    <w:rsid w:val="5AE568F8"/>
    <w:rsid w:val="5AE605F2"/>
    <w:rsid w:val="5AF54CD9"/>
    <w:rsid w:val="5AFD593B"/>
    <w:rsid w:val="5B225A37"/>
    <w:rsid w:val="5B8A42EF"/>
    <w:rsid w:val="5BA76E58"/>
    <w:rsid w:val="5BBC1352"/>
    <w:rsid w:val="5BFB631F"/>
    <w:rsid w:val="5C003935"/>
    <w:rsid w:val="5C0351D3"/>
    <w:rsid w:val="5C11169E"/>
    <w:rsid w:val="5C3E4412"/>
    <w:rsid w:val="5C3F3891"/>
    <w:rsid w:val="5C484871"/>
    <w:rsid w:val="5C81323B"/>
    <w:rsid w:val="5C875E04"/>
    <w:rsid w:val="5C8D658A"/>
    <w:rsid w:val="5C967DF5"/>
    <w:rsid w:val="5CBF734C"/>
    <w:rsid w:val="5CFF1E3E"/>
    <w:rsid w:val="5D6F2B20"/>
    <w:rsid w:val="5D7A3273"/>
    <w:rsid w:val="5DA4235E"/>
    <w:rsid w:val="5DAA334D"/>
    <w:rsid w:val="5DDF5B1F"/>
    <w:rsid w:val="5DE352BC"/>
    <w:rsid w:val="5DFC53C5"/>
    <w:rsid w:val="5E253BAB"/>
    <w:rsid w:val="5E4D4235"/>
    <w:rsid w:val="5ED21F55"/>
    <w:rsid w:val="5ED22BFF"/>
    <w:rsid w:val="5EDA6D5D"/>
    <w:rsid w:val="5EE035AA"/>
    <w:rsid w:val="5F0D76A3"/>
    <w:rsid w:val="5F117C07"/>
    <w:rsid w:val="5F230066"/>
    <w:rsid w:val="5F2931A3"/>
    <w:rsid w:val="5F334021"/>
    <w:rsid w:val="5F3538F6"/>
    <w:rsid w:val="5F381638"/>
    <w:rsid w:val="5F385194"/>
    <w:rsid w:val="5F3F6522"/>
    <w:rsid w:val="5F4639E0"/>
    <w:rsid w:val="5F686E8E"/>
    <w:rsid w:val="5F73441E"/>
    <w:rsid w:val="5F8D1984"/>
    <w:rsid w:val="5FAB0CC9"/>
    <w:rsid w:val="5FAD7930"/>
    <w:rsid w:val="5FC829BC"/>
    <w:rsid w:val="5FCF3D4A"/>
    <w:rsid w:val="5FEA2B00"/>
    <w:rsid w:val="60883EF9"/>
    <w:rsid w:val="608A3882"/>
    <w:rsid w:val="608B2C81"/>
    <w:rsid w:val="608F34D9"/>
    <w:rsid w:val="60AF3879"/>
    <w:rsid w:val="60C56EFB"/>
    <w:rsid w:val="60EF149E"/>
    <w:rsid w:val="61693230"/>
    <w:rsid w:val="61972B6A"/>
    <w:rsid w:val="61B84E22"/>
    <w:rsid w:val="61FD5295"/>
    <w:rsid w:val="628D3A49"/>
    <w:rsid w:val="62E83E16"/>
    <w:rsid w:val="62E95123"/>
    <w:rsid w:val="630261E5"/>
    <w:rsid w:val="631F28F3"/>
    <w:rsid w:val="636E387A"/>
    <w:rsid w:val="636E5E0F"/>
    <w:rsid w:val="637349EC"/>
    <w:rsid w:val="639C3F43"/>
    <w:rsid w:val="63A66B70"/>
    <w:rsid w:val="63DF2082"/>
    <w:rsid w:val="63ED479F"/>
    <w:rsid w:val="63F10999"/>
    <w:rsid w:val="641F4B74"/>
    <w:rsid w:val="6502427A"/>
    <w:rsid w:val="6509385A"/>
    <w:rsid w:val="653D1756"/>
    <w:rsid w:val="654B78CA"/>
    <w:rsid w:val="656C55D4"/>
    <w:rsid w:val="65AD4482"/>
    <w:rsid w:val="65B25CA0"/>
    <w:rsid w:val="65DC4ACB"/>
    <w:rsid w:val="66326DE1"/>
    <w:rsid w:val="66504D19"/>
    <w:rsid w:val="665243A2"/>
    <w:rsid w:val="66552ACF"/>
    <w:rsid w:val="665E1984"/>
    <w:rsid w:val="66660838"/>
    <w:rsid w:val="667411A7"/>
    <w:rsid w:val="668C58AE"/>
    <w:rsid w:val="66A7157D"/>
    <w:rsid w:val="66B5531C"/>
    <w:rsid w:val="66BC37E2"/>
    <w:rsid w:val="66DB2FD4"/>
    <w:rsid w:val="670B7AEA"/>
    <w:rsid w:val="671E1113"/>
    <w:rsid w:val="672A3F5C"/>
    <w:rsid w:val="6756421A"/>
    <w:rsid w:val="67630CEF"/>
    <w:rsid w:val="67780EDA"/>
    <w:rsid w:val="679C7611"/>
    <w:rsid w:val="67A4786A"/>
    <w:rsid w:val="67A81366"/>
    <w:rsid w:val="67D46CDE"/>
    <w:rsid w:val="67FA392E"/>
    <w:rsid w:val="688A7DAC"/>
    <w:rsid w:val="68A5389A"/>
    <w:rsid w:val="68AF1D6D"/>
    <w:rsid w:val="68B161D3"/>
    <w:rsid w:val="68CF43EA"/>
    <w:rsid w:val="68D93544"/>
    <w:rsid w:val="68E1070E"/>
    <w:rsid w:val="690B56C7"/>
    <w:rsid w:val="690C3CE7"/>
    <w:rsid w:val="69416EAD"/>
    <w:rsid w:val="694C3FC0"/>
    <w:rsid w:val="69765D89"/>
    <w:rsid w:val="698C6808"/>
    <w:rsid w:val="69F25583"/>
    <w:rsid w:val="69F66377"/>
    <w:rsid w:val="6A2627B9"/>
    <w:rsid w:val="6A503CD9"/>
    <w:rsid w:val="6A696B49"/>
    <w:rsid w:val="6A8952C2"/>
    <w:rsid w:val="6AC65D4A"/>
    <w:rsid w:val="6AD46A66"/>
    <w:rsid w:val="6AED37F2"/>
    <w:rsid w:val="6B621F16"/>
    <w:rsid w:val="6B7D161D"/>
    <w:rsid w:val="6B9023FF"/>
    <w:rsid w:val="6B9F5BAD"/>
    <w:rsid w:val="6BA442DD"/>
    <w:rsid w:val="6BC04E8F"/>
    <w:rsid w:val="6BC404DB"/>
    <w:rsid w:val="6BCA6224"/>
    <w:rsid w:val="6BD41C61"/>
    <w:rsid w:val="6BE91CF0"/>
    <w:rsid w:val="6C0A614D"/>
    <w:rsid w:val="6C1D4188"/>
    <w:rsid w:val="6C8C114B"/>
    <w:rsid w:val="6CF21078"/>
    <w:rsid w:val="6CF9407C"/>
    <w:rsid w:val="6D002DFC"/>
    <w:rsid w:val="6D194017"/>
    <w:rsid w:val="6D837F22"/>
    <w:rsid w:val="6DD10C8D"/>
    <w:rsid w:val="6DEF55B7"/>
    <w:rsid w:val="6DFA6436"/>
    <w:rsid w:val="6E22773B"/>
    <w:rsid w:val="6E5D0773"/>
    <w:rsid w:val="6E602011"/>
    <w:rsid w:val="6E761835"/>
    <w:rsid w:val="6E79211E"/>
    <w:rsid w:val="6E8126B3"/>
    <w:rsid w:val="6E82467D"/>
    <w:rsid w:val="6EA6211A"/>
    <w:rsid w:val="6EC23191"/>
    <w:rsid w:val="6F3C65DA"/>
    <w:rsid w:val="6F5837CB"/>
    <w:rsid w:val="6F6D5423"/>
    <w:rsid w:val="6F7C0E3D"/>
    <w:rsid w:val="6F8E41A4"/>
    <w:rsid w:val="6FA32AFD"/>
    <w:rsid w:val="6FDD600F"/>
    <w:rsid w:val="6FEC0000"/>
    <w:rsid w:val="6FEE70E9"/>
    <w:rsid w:val="703235D5"/>
    <w:rsid w:val="70380103"/>
    <w:rsid w:val="70705949"/>
    <w:rsid w:val="70744007"/>
    <w:rsid w:val="70FF075C"/>
    <w:rsid w:val="710650F2"/>
    <w:rsid w:val="71066EA0"/>
    <w:rsid w:val="71431EA2"/>
    <w:rsid w:val="715C2F64"/>
    <w:rsid w:val="71804EA4"/>
    <w:rsid w:val="722F68CA"/>
    <w:rsid w:val="724D08F0"/>
    <w:rsid w:val="72534367"/>
    <w:rsid w:val="72A5093A"/>
    <w:rsid w:val="72BF2E76"/>
    <w:rsid w:val="734E4B2E"/>
    <w:rsid w:val="73634A7D"/>
    <w:rsid w:val="73682094"/>
    <w:rsid w:val="73740A39"/>
    <w:rsid w:val="737C169B"/>
    <w:rsid w:val="739C3AEB"/>
    <w:rsid w:val="73C343E4"/>
    <w:rsid w:val="73E56BC8"/>
    <w:rsid w:val="73E831D5"/>
    <w:rsid w:val="73F25E01"/>
    <w:rsid w:val="740B2A1F"/>
    <w:rsid w:val="74117C8D"/>
    <w:rsid w:val="74220923"/>
    <w:rsid w:val="74806F69"/>
    <w:rsid w:val="74B471B3"/>
    <w:rsid w:val="74E03EAC"/>
    <w:rsid w:val="75221B04"/>
    <w:rsid w:val="75717E89"/>
    <w:rsid w:val="757A6A57"/>
    <w:rsid w:val="758331B5"/>
    <w:rsid w:val="75F419BD"/>
    <w:rsid w:val="762A27DA"/>
    <w:rsid w:val="763E0E8A"/>
    <w:rsid w:val="76430936"/>
    <w:rsid w:val="76524935"/>
    <w:rsid w:val="76740D50"/>
    <w:rsid w:val="76816FC9"/>
    <w:rsid w:val="76832D41"/>
    <w:rsid w:val="76F679B7"/>
    <w:rsid w:val="77356731"/>
    <w:rsid w:val="773D1603"/>
    <w:rsid w:val="77400C32"/>
    <w:rsid w:val="774A6156"/>
    <w:rsid w:val="77D71596"/>
    <w:rsid w:val="77EB35FA"/>
    <w:rsid w:val="780D320A"/>
    <w:rsid w:val="78434E7D"/>
    <w:rsid w:val="78C4148F"/>
    <w:rsid w:val="7924080B"/>
    <w:rsid w:val="792D540E"/>
    <w:rsid w:val="798F3644"/>
    <w:rsid w:val="79D10450"/>
    <w:rsid w:val="7A245426"/>
    <w:rsid w:val="7A286917"/>
    <w:rsid w:val="7A290118"/>
    <w:rsid w:val="7A5C2227"/>
    <w:rsid w:val="7A601D17"/>
    <w:rsid w:val="7A97688D"/>
    <w:rsid w:val="7AF256B6"/>
    <w:rsid w:val="7AF449C4"/>
    <w:rsid w:val="7B051225"/>
    <w:rsid w:val="7B0846E3"/>
    <w:rsid w:val="7B4C229B"/>
    <w:rsid w:val="7B4C5DF7"/>
    <w:rsid w:val="7B7F7F7B"/>
    <w:rsid w:val="7B914268"/>
    <w:rsid w:val="7B965AB3"/>
    <w:rsid w:val="7C444D20"/>
    <w:rsid w:val="7C5C650E"/>
    <w:rsid w:val="7C7C0DEA"/>
    <w:rsid w:val="7CB00608"/>
    <w:rsid w:val="7CF14EA8"/>
    <w:rsid w:val="7D07647A"/>
    <w:rsid w:val="7D3935CB"/>
    <w:rsid w:val="7D7D6095"/>
    <w:rsid w:val="7D9A4AFF"/>
    <w:rsid w:val="7DAC5273"/>
    <w:rsid w:val="7DAD28DC"/>
    <w:rsid w:val="7DB14637"/>
    <w:rsid w:val="7DBF464A"/>
    <w:rsid w:val="7DF84014"/>
    <w:rsid w:val="7E0105AB"/>
    <w:rsid w:val="7E074257"/>
    <w:rsid w:val="7E384472"/>
    <w:rsid w:val="7E795155"/>
    <w:rsid w:val="7E885398"/>
    <w:rsid w:val="7E9F4667"/>
    <w:rsid w:val="7EAD3051"/>
    <w:rsid w:val="7EB20667"/>
    <w:rsid w:val="7EF94618"/>
    <w:rsid w:val="7F211349"/>
    <w:rsid w:val="7F2C21C7"/>
    <w:rsid w:val="7F405C73"/>
    <w:rsid w:val="7F460DAF"/>
    <w:rsid w:val="7F4736ED"/>
    <w:rsid w:val="7F4946CE"/>
    <w:rsid w:val="7F631B2A"/>
    <w:rsid w:val="7F65392B"/>
    <w:rsid w:val="7F98785D"/>
    <w:rsid w:val="7FC9626B"/>
    <w:rsid w:val="7FD0349B"/>
    <w:rsid w:val="7FEC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rPr>
      <w:sz w:val="24"/>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qFormat/>
    <w:uiPriority w:val="0"/>
    <w:rPr>
      <w:color w:val="0000FF"/>
      <w:u w:val="single"/>
    </w:rPr>
  </w:style>
  <w:style w:type="paragraph" w:customStyle="1" w:styleId="10">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1">
    <w:name w:val="Table Normal"/>
    <w:autoRedefine/>
    <w:semiHidden/>
    <w:unhideWhenUsed/>
    <w:qFormat/>
    <w:uiPriority w:val="0"/>
    <w:tblPr>
      <w:tblCellMar>
        <w:top w:w="0" w:type="dxa"/>
        <w:left w:w="0" w:type="dxa"/>
        <w:bottom w:w="0" w:type="dxa"/>
        <w:right w:w="0" w:type="dxa"/>
      </w:tblCellMar>
    </w:tblPr>
  </w:style>
  <w:style w:type="paragraph" w:customStyle="1" w:styleId="12">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3232</Words>
  <Characters>3863</Characters>
  <Lines>0</Lines>
  <Paragraphs>0</Paragraphs>
  <TotalTime>1</TotalTime>
  <ScaleCrop>false</ScaleCrop>
  <LinksUpToDate>false</LinksUpToDate>
  <CharactersWithSpaces>3909</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2024-03-29T01:01:05Z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D23AE21371AD4B2A936F48373C5D0EDD_13</vt:lpwstr>
  </property>
</Properties>
</file>