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g4TsGrIBAABeAwAADgAAAGRycy9lMm9Eb2MueG1srVNL&#10;btswEN0XyB0I7mvaCeoYguUsajibogmQ9gA0RUkE+MMMbdmnKZBdD9HjFL1Gh5TjtMkmi2hBzXCG&#10;b+a9IZc3B2fZXgOa4Gs+m0w5016Fxviu5t+/bT4uOMMkfSNt8LrmR438ZnXxYTnESl+GPthGAyMQ&#10;j9UQa96nFCshUPXaSZyEqD0F2wBOJnKhEw3IgdCdFZfT6VwMAZoIQWlE2l2PQX5ChLcAhrY1Sq+D&#10;2jnt04gK2spElLA3EfmqdNu2WqW7tkWdmK05MU1lpSJkb/MqVktZdSBjb9SpBfmWFl5wctJ4KnqG&#10;Wssk2Q7MKyhnFAQMbZqo4MRIpChCLGbTF9o89DLqwoWkxngWHd8PVn3d3wMzTc1p7F46GvifHz9/&#10;/3pki6zNELGilId4DycPycxEDy24/CcK7FD0PJ711IfEFG3Orq7n8wVJrSh2Nbv+VPQWz4cjYLrV&#10;wbFs1BxoXEVFuf+CiQpS6lNKroXBmmZjrC0OdNvPFthe0mg35csd05H/0qzPyT7kY2M474hMbKSS&#10;rW1ojiTDLoLp+nJHcmqOkOwF83RF8lz/9UvW87N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g4TsGrIBAABe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2"/>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2"/>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ascii="微软雅黑" w:hAnsi="微软雅黑" w:eastAsia="微软雅黑" w:cs="微软雅黑"/>
          <w:spacing w:val="4"/>
          <w:sz w:val="24"/>
          <w:szCs w:val="24"/>
        </w:rPr>
        <w:t>截至</w:t>
      </w:r>
      <w:r>
        <w:rPr>
          <w:rFonts w:hint="eastAsia" w:ascii="微软雅黑" w:hAnsi="微软雅黑" w:eastAsia="微软雅黑" w:cs="微软雅黑"/>
          <w:spacing w:val="4"/>
          <w:sz w:val="24"/>
          <w:szCs w:val="24"/>
          <w:lang w:val="en-US" w:eastAsia="zh-CN"/>
        </w:rPr>
        <w:t>4</w:t>
      </w:r>
      <w:r>
        <w:rPr>
          <w:rFonts w:ascii="微软雅黑" w:hAnsi="微软雅黑" w:eastAsia="微软雅黑" w:cs="微软雅黑"/>
          <w:spacing w:val="4"/>
          <w:sz w:val="24"/>
          <w:szCs w:val="24"/>
        </w:rPr>
        <w:t>月</w:t>
      </w:r>
      <w:r>
        <w:rPr>
          <w:rFonts w:hint="eastAsia" w:ascii="微软雅黑" w:hAnsi="微软雅黑" w:eastAsia="微软雅黑" w:cs="微软雅黑"/>
          <w:spacing w:val="4"/>
          <w:sz w:val="24"/>
          <w:szCs w:val="24"/>
          <w:lang w:val="en-US" w:eastAsia="zh-CN"/>
        </w:rPr>
        <w:t>1</w:t>
      </w:r>
      <w:r>
        <w:rPr>
          <w:rFonts w:ascii="微软雅黑" w:hAnsi="微软雅黑" w:eastAsia="微软雅黑" w:cs="微软雅黑"/>
          <w:spacing w:val="4"/>
          <w:sz w:val="24"/>
          <w:szCs w:val="24"/>
        </w:rPr>
        <w:t>日，</w:t>
      </w:r>
      <w:r>
        <w:rPr>
          <w:rFonts w:hint="eastAsia" w:ascii="微软雅黑" w:hAnsi="微软雅黑" w:eastAsia="微软雅黑" w:cs="微软雅黑"/>
          <w:spacing w:val="4"/>
          <w:sz w:val="24"/>
          <w:szCs w:val="24"/>
          <w:lang w:val="en-US" w:eastAsia="zh-CN"/>
        </w:rPr>
        <w:t>上周</w:t>
      </w:r>
      <w:r>
        <w:rPr>
          <w:rFonts w:ascii="微软雅黑" w:hAnsi="微软雅黑" w:eastAsia="微软雅黑" w:cs="微软雅黑"/>
          <w:spacing w:val="4"/>
          <w:sz w:val="24"/>
          <w:szCs w:val="24"/>
        </w:rPr>
        <w:t>富时中国A50</w:t>
      </w:r>
      <w:r>
        <w:rPr>
          <w:rFonts w:hint="eastAsia" w:ascii="微软雅黑" w:hAnsi="微软雅黑" w:eastAsia="微软雅黑" w:cs="微软雅黑"/>
          <w:spacing w:val="4"/>
          <w:sz w:val="24"/>
          <w:szCs w:val="24"/>
          <w:lang w:val="en-US" w:eastAsia="zh-CN"/>
        </w:rPr>
        <w:t>涨0.16%</w:t>
      </w:r>
      <w:r>
        <w:rPr>
          <w:rFonts w:ascii="微软雅黑" w:hAnsi="微软雅黑" w:eastAsia="微软雅黑" w:cs="微软雅黑"/>
          <w:spacing w:val="4"/>
          <w:sz w:val="24"/>
          <w:szCs w:val="24"/>
        </w:rPr>
        <w:t>报1</w:t>
      </w:r>
      <w:r>
        <w:rPr>
          <w:rFonts w:hint="eastAsia" w:ascii="微软雅黑" w:hAnsi="微软雅黑" w:eastAsia="微软雅黑" w:cs="微软雅黑"/>
          <w:spacing w:val="4"/>
          <w:sz w:val="24"/>
          <w:szCs w:val="24"/>
          <w:lang w:val="en-US" w:eastAsia="zh-CN"/>
        </w:rPr>
        <w:t>2136.60</w:t>
      </w:r>
      <w:r>
        <w:rPr>
          <w:rFonts w:ascii="微软雅黑" w:hAnsi="微软雅黑" w:eastAsia="微软雅黑" w:cs="微软雅黑"/>
          <w:spacing w:val="4"/>
          <w:sz w:val="24"/>
          <w:szCs w:val="24"/>
        </w:rPr>
        <w:t>，标准普尔500指数</w:t>
      </w:r>
      <w:r>
        <w:rPr>
          <w:rFonts w:hint="eastAsia" w:ascii="微软雅黑" w:hAnsi="微软雅黑" w:eastAsia="微软雅黑" w:cs="微软雅黑"/>
          <w:spacing w:val="4"/>
          <w:sz w:val="24"/>
          <w:szCs w:val="24"/>
          <w:lang w:val="en-US" w:eastAsia="zh-CN"/>
        </w:rPr>
        <w:t>涨0.39%</w:t>
      </w:r>
      <w:r>
        <w:rPr>
          <w:rFonts w:ascii="微软雅黑" w:hAnsi="微软雅黑" w:eastAsia="微软雅黑" w:cs="微软雅黑"/>
          <w:spacing w:val="5"/>
          <w:sz w:val="24"/>
          <w:szCs w:val="24"/>
        </w:rPr>
        <w:t>报5</w:t>
      </w:r>
      <w:r>
        <w:rPr>
          <w:rFonts w:hint="eastAsia" w:ascii="微软雅黑" w:hAnsi="微软雅黑" w:eastAsia="微软雅黑" w:cs="微软雅黑"/>
          <w:spacing w:val="5"/>
          <w:sz w:val="24"/>
          <w:szCs w:val="24"/>
          <w:lang w:val="en-US" w:eastAsia="zh-CN"/>
        </w:rPr>
        <w:t>254.35，创历史新高。</w:t>
      </w:r>
      <w:r>
        <w:rPr>
          <w:rFonts w:ascii="微软雅黑" w:hAnsi="微软雅黑" w:eastAsia="微软雅黑" w:cs="微软雅黑"/>
          <w:spacing w:val="5"/>
          <w:sz w:val="24"/>
          <w:szCs w:val="24"/>
        </w:rPr>
        <w:t>美元兑离岸人民币</w:t>
      </w:r>
      <w:r>
        <w:rPr>
          <w:rFonts w:hint="eastAsia" w:ascii="微软雅黑" w:hAnsi="微软雅黑" w:eastAsia="微软雅黑" w:cs="微软雅黑"/>
          <w:spacing w:val="5"/>
          <w:sz w:val="24"/>
          <w:szCs w:val="24"/>
          <w:lang w:val="en-US" w:eastAsia="zh-CN"/>
        </w:rPr>
        <w:t>跌0.26</w:t>
      </w:r>
      <w:r>
        <w:rPr>
          <w:rFonts w:ascii="微软雅黑" w:hAnsi="微软雅黑" w:eastAsia="微软雅黑" w:cs="微软雅黑"/>
          <w:spacing w:val="5"/>
          <w:sz w:val="24"/>
          <w:szCs w:val="24"/>
        </w:rPr>
        <w:t>%报</w:t>
      </w:r>
      <w:r>
        <w:rPr>
          <w:rFonts w:ascii="微软雅黑" w:hAnsi="微软雅黑" w:eastAsia="微软雅黑" w:cs="微软雅黑"/>
          <w:spacing w:val="4"/>
          <w:sz w:val="24"/>
          <w:szCs w:val="24"/>
        </w:rPr>
        <w:t>7.2</w:t>
      </w:r>
      <w:r>
        <w:rPr>
          <w:rFonts w:hint="eastAsia" w:ascii="微软雅黑" w:hAnsi="微软雅黑" w:eastAsia="微软雅黑" w:cs="微软雅黑"/>
          <w:spacing w:val="4"/>
          <w:sz w:val="24"/>
          <w:szCs w:val="24"/>
          <w:lang w:val="en-US" w:eastAsia="zh-CN"/>
        </w:rPr>
        <w:t>513</w:t>
      </w:r>
      <w:r>
        <w:rPr>
          <w:rFonts w:ascii="微软雅黑" w:hAnsi="微软雅黑" w:eastAsia="微软雅黑" w:cs="微软雅黑"/>
          <w:spacing w:val="4"/>
          <w:sz w:val="24"/>
          <w:szCs w:val="24"/>
        </w:rPr>
        <w:t>人民币/美元，</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w:t>
      </w:r>
      <w:r>
        <w:rPr>
          <w:rFonts w:hint="eastAsia" w:ascii="微软雅黑" w:hAnsi="微软雅黑" w:eastAsia="微软雅黑" w:cs="微软雅黑"/>
          <w:spacing w:val="4"/>
          <w:sz w:val="24"/>
          <w:szCs w:val="24"/>
          <w:lang w:val="en-US" w:eastAsia="zh-CN"/>
        </w:rPr>
        <w:t>跌0.23</w:t>
      </w:r>
      <w:r>
        <w:rPr>
          <w:rFonts w:ascii="微软雅黑" w:hAnsi="微软雅黑" w:eastAsia="微软雅黑" w:cs="微软雅黑"/>
          <w:spacing w:val="4"/>
          <w:sz w:val="24"/>
          <w:szCs w:val="24"/>
        </w:rPr>
        <w:t>报</w:t>
      </w:r>
      <w:r>
        <w:rPr>
          <w:rFonts w:hint="eastAsia" w:ascii="微软雅黑" w:hAnsi="微软雅黑" w:eastAsia="微软雅黑" w:cs="微软雅黑"/>
          <w:spacing w:val="2"/>
          <w:sz w:val="24"/>
          <w:szCs w:val="24"/>
          <w:lang w:val="en-US" w:eastAsia="zh-CN"/>
        </w:rPr>
        <w:t>8872</w:t>
      </w:r>
      <w:r>
        <w:rPr>
          <w:rFonts w:ascii="微软雅黑" w:hAnsi="微软雅黑" w:eastAsia="微软雅黑" w:cs="微软雅黑"/>
          <w:spacing w:val="2"/>
          <w:sz w:val="24"/>
          <w:szCs w:val="24"/>
        </w:rPr>
        <w:t>美元/吨，</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w:t>
      </w:r>
      <w:r>
        <w:rPr>
          <w:rFonts w:hint="eastAsia" w:ascii="微软雅黑" w:hAnsi="微软雅黑" w:eastAsia="微软雅黑" w:cs="微软雅黑"/>
          <w:spacing w:val="2"/>
          <w:sz w:val="24"/>
          <w:szCs w:val="24"/>
          <w:lang w:val="en-US" w:eastAsia="zh-CN"/>
        </w:rPr>
        <w:t>3.32</w:t>
      </w:r>
      <w:r>
        <w:rPr>
          <w:rFonts w:ascii="微软雅黑" w:hAnsi="微软雅黑" w:eastAsia="微软雅黑" w:cs="微软雅黑"/>
          <w:spacing w:val="2"/>
          <w:sz w:val="24"/>
          <w:szCs w:val="24"/>
        </w:rPr>
        <w:t>%报</w:t>
      </w:r>
      <w:r>
        <w:rPr>
          <w:rFonts w:hint="eastAsia" w:ascii="微软雅黑" w:hAnsi="微软雅黑" w:eastAsia="微软雅黑" w:cs="微软雅黑"/>
          <w:spacing w:val="2"/>
          <w:sz w:val="24"/>
          <w:szCs w:val="24"/>
          <w:lang w:val="en-US" w:eastAsia="zh-CN"/>
        </w:rPr>
        <w:t>2266.2</w:t>
      </w:r>
      <w:r>
        <w:rPr>
          <w:rFonts w:ascii="微软雅黑" w:hAnsi="微软雅黑" w:eastAsia="微软雅黑" w:cs="微软雅黑"/>
          <w:spacing w:val="2"/>
          <w:sz w:val="24"/>
          <w:szCs w:val="24"/>
        </w:rPr>
        <w:t>美元/盎司，续创历史新高</w:t>
      </w:r>
      <w:r>
        <w:rPr>
          <w:rFonts w:hint="eastAsia" w:ascii="微软雅黑" w:hAnsi="微软雅黑" w:eastAsia="微软雅黑" w:cs="微软雅黑"/>
          <w:spacing w:val="2"/>
          <w:sz w:val="24"/>
          <w:szCs w:val="24"/>
          <w:lang w:eastAsia="zh-CN"/>
        </w:rPr>
        <w:t>，</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w:t>
      </w:r>
      <w:r>
        <w:rPr>
          <w:rFonts w:hint="eastAsia" w:ascii="微软雅黑" w:hAnsi="微软雅黑" w:eastAsia="微软雅黑" w:cs="微软雅黑"/>
          <w:spacing w:val="2"/>
          <w:sz w:val="24"/>
          <w:szCs w:val="24"/>
          <w:lang w:val="en-US" w:eastAsia="zh-CN"/>
        </w:rPr>
        <w:t>涨0.65</w:t>
      </w:r>
      <w:r>
        <w:rPr>
          <w:rFonts w:ascii="微软雅黑" w:hAnsi="微软雅黑" w:eastAsia="微软雅黑" w:cs="微软雅黑"/>
          <w:spacing w:val="2"/>
          <w:sz w:val="24"/>
          <w:szCs w:val="24"/>
        </w:rPr>
        <w:t>%</w:t>
      </w:r>
      <w:r>
        <w:rPr>
          <w:rFonts w:ascii="微软雅黑" w:hAnsi="微软雅黑" w:eastAsia="微软雅黑" w:cs="微软雅黑"/>
          <w:spacing w:val="12"/>
          <w:sz w:val="24"/>
          <w:szCs w:val="24"/>
        </w:rPr>
        <w:t>报</w:t>
      </w:r>
      <w:r>
        <w:rPr>
          <w:rFonts w:hint="eastAsia" w:ascii="微软雅黑" w:hAnsi="微软雅黑" w:eastAsia="微软雅黑" w:cs="微软雅黑"/>
          <w:spacing w:val="12"/>
          <w:sz w:val="24"/>
          <w:szCs w:val="24"/>
          <w:lang w:val="en-US" w:eastAsia="zh-CN"/>
        </w:rPr>
        <w:t>25.28</w:t>
      </w:r>
      <w:r>
        <w:rPr>
          <w:rFonts w:ascii="微软雅黑" w:hAnsi="微软雅黑" w:eastAsia="微软雅黑" w:cs="微软雅黑"/>
          <w:spacing w:val="12"/>
          <w:sz w:val="24"/>
          <w:szCs w:val="24"/>
        </w:rPr>
        <w:t>美元/盎司。</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原糖期货</w:t>
      </w:r>
      <w:r>
        <w:rPr>
          <w:rFonts w:hint="eastAsia" w:ascii="微软雅黑" w:hAnsi="微软雅黑" w:eastAsia="微软雅黑" w:cs="微软雅黑"/>
          <w:spacing w:val="12"/>
          <w:sz w:val="24"/>
          <w:szCs w:val="24"/>
          <w:lang w:val="en-US" w:eastAsia="zh-CN"/>
        </w:rPr>
        <w:t>周度涨近3</w:t>
      </w:r>
      <w:r>
        <w:rPr>
          <w:rFonts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棉跌</w:t>
      </w:r>
      <w:r>
        <w:rPr>
          <w:rFonts w:hint="eastAsia" w:ascii="微软雅黑" w:hAnsi="微软雅黑" w:eastAsia="微软雅黑" w:cs="微软雅黑"/>
          <w:spacing w:val="12"/>
          <w:sz w:val="24"/>
          <w:szCs w:val="24"/>
          <w:lang w:val="en-US" w:eastAsia="zh-CN"/>
        </w:rPr>
        <w:t>0.09</w:t>
      </w:r>
      <w:r>
        <w:rPr>
          <w:rFonts w:ascii="微软雅黑" w:hAnsi="微软雅黑" w:eastAsia="微软雅黑" w:cs="微软雅黑"/>
          <w:spacing w:val="3"/>
          <w:sz w:val="24"/>
          <w:szCs w:val="24"/>
        </w:rPr>
        <w:t>%，</w:t>
      </w:r>
      <w:r>
        <w:rPr>
          <w:rFonts w:ascii="微软雅黑" w:hAnsi="微软雅黑" w:eastAsia="微软雅黑" w:cs="微软雅黑"/>
          <w:sz w:val="24"/>
          <w:szCs w:val="24"/>
        </w:rPr>
        <w:t>S</w:t>
      </w:r>
      <w:r>
        <w:rPr>
          <w:rFonts w:hint="eastAsia" w:ascii="微软雅黑" w:hAnsi="微软雅黑" w:eastAsia="微软雅黑" w:cs="微软雅黑"/>
          <w:sz w:val="24"/>
          <w:szCs w:val="24"/>
          <w:lang w:val="en-US" w:eastAsia="zh-CN"/>
        </w:rPr>
        <w:t>MB</w:t>
      </w:r>
      <w:r>
        <w:rPr>
          <w:rFonts w:ascii="微软雅黑" w:hAnsi="微软雅黑" w:eastAsia="微软雅黑" w:cs="微软雅黑"/>
          <w:spacing w:val="3"/>
          <w:sz w:val="24"/>
          <w:szCs w:val="24"/>
        </w:rPr>
        <w:t>铁矿石</w:t>
      </w:r>
      <w:r>
        <w:rPr>
          <w:rFonts w:hint="eastAsia" w:ascii="微软雅黑" w:hAnsi="微软雅黑" w:eastAsia="微软雅黑" w:cs="微软雅黑"/>
          <w:spacing w:val="3"/>
          <w:sz w:val="24"/>
          <w:szCs w:val="24"/>
          <w:lang w:val="en-US" w:eastAsia="zh-CN"/>
        </w:rPr>
        <w:t>跌0.29%</w:t>
      </w:r>
      <w:r>
        <w:rPr>
          <w:rFonts w:hint="eastAsia" w:ascii="微软雅黑" w:hAnsi="微软雅黑" w:eastAsia="微软雅黑" w:cs="微软雅黑"/>
          <w:spacing w:val="3"/>
          <w:sz w:val="24"/>
          <w:szCs w:val="24"/>
          <w:lang w:eastAsia="zh-CN"/>
        </w:rPr>
        <w:t>。</w:t>
      </w:r>
    </w:p>
    <w:p>
      <w:pPr>
        <w:spacing w:before="235" w:line="176" w:lineRule="auto"/>
        <w:ind w:firstLine="254" w:firstLineChars="100"/>
        <w:rPr>
          <w:rFonts w:hint="eastAsia" w:ascii="微软雅黑" w:hAnsi="微软雅黑" w:eastAsia="微软雅黑" w:cs="微软雅黑"/>
          <w:spacing w:val="3"/>
          <w:sz w:val="24"/>
          <w:szCs w:val="24"/>
          <w:lang w:eastAsia="zh-CN"/>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spacing w:before="103" w:line="256" w:lineRule="auto"/>
        <w:ind w:right="584"/>
        <w:jc w:val="center"/>
        <w:rPr>
          <w:rFonts w:hint="eastAsia" w:ascii="微软雅黑" w:hAnsi="微软雅黑" w:eastAsia="微软雅黑" w:cs="微软雅黑"/>
          <w:spacing w:val="3"/>
          <w:sz w:val="24"/>
          <w:szCs w:val="24"/>
          <w:lang w:eastAsia="zh-CN"/>
        </w:rPr>
      </w:pPr>
      <w:r>
        <w:drawing>
          <wp:inline distT="0" distB="0" distL="114300" distR="114300">
            <wp:extent cx="5856605" cy="3201670"/>
            <wp:effectExtent l="0" t="0" r="10795" b="177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856605" cy="3201670"/>
                    </a:xfrm>
                    <a:prstGeom prst="rect">
                      <a:avLst/>
                    </a:prstGeom>
                    <a:noFill/>
                    <a:ln>
                      <a:noFill/>
                    </a:ln>
                  </pic:spPr>
                </pic:pic>
              </a:graphicData>
            </a:graphic>
          </wp:inline>
        </w:drawing>
      </w:r>
    </w:p>
    <w:p>
      <w:pPr>
        <w:spacing w:before="235" w:line="176" w:lineRule="auto"/>
        <w:ind w:firstLine="194" w:firstLineChars="100"/>
        <w:rPr>
          <w:rFonts w:hint="default" w:ascii="微软雅黑" w:hAnsi="微软雅黑" w:eastAsia="微软雅黑" w:cs="微软雅黑"/>
          <w:sz w:val="18"/>
          <w:szCs w:val="18"/>
          <w:lang w:val="en-US" w:eastAsia="zh-CN"/>
        </w:rPr>
      </w:pPr>
      <w:r>
        <w:rPr>
          <w:rFonts w:hint="eastAsia" w:ascii="微软雅黑" w:hAnsi="微软雅黑" w:eastAsia="微软雅黑" w:cs="微软雅黑"/>
          <w:spacing w:val="7"/>
          <w:sz w:val="18"/>
          <w:szCs w:val="18"/>
          <w:lang w:val="en-US" w:eastAsia="zh-CN"/>
        </w:rPr>
        <w:t>资料来源：公开资料整理，瑞达国际</w:t>
      </w:r>
    </w:p>
    <w:p>
      <w:pPr>
        <w:pStyle w:val="2"/>
        <w:spacing w:line="282" w:lineRule="auto"/>
      </w:pPr>
    </w:p>
    <w:p>
      <w:pPr>
        <w:pStyle w:val="2"/>
        <w:spacing w:line="282" w:lineRule="auto"/>
      </w:pPr>
    </w:p>
    <w:p>
      <w:pPr>
        <w:pStyle w:val="2"/>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【美联储理事沃勒：美联储2月核心PCE环比回落至0.3%，不急于降息，应推迟降息、或削减潜在的降息幅度。】</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hint="eastAsia" w:ascii="微软雅黑" w:hAnsi="微软雅黑" w:eastAsia="微软雅黑" w:cs="微软雅黑"/>
          <w:spacing w:val="4"/>
          <w:sz w:val="24"/>
          <w:szCs w:val="24"/>
          <w:lang w:eastAsia="zh-CN"/>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美国至3月22日当周API原油库存增加933.7万桶，预期减少100万桶，前值减少151.9万桶。</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4"/>
          <w:sz w:val="24"/>
          <w:szCs w:val="24"/>
        </w:rPr>
        <w:t>【</w:t>
      </w:r>
      <w:r>
        <w:rPr>
          <w:rFonts w:ascii="微软雅黑" w:hAnsi="微软雅黑" w:eastAsia="微软雅黑" w:cs="微软雅黑"/>
          <w:spacing w:val="4"/>
          <w:sz w:val="24"/>
          <w:szCs w:val="24"/>
        </w:rPr>
        <w:t>美国1月S&amp;P/CS20座大城市未季调房价指数同比升6.59%，预期升6.7%</w:t>
      </w:r>
      <w:r>
        <w:rPr>
          <w:rFonts w:hint="eastAsia" w:ascii="微软雅黑" w:hAnsi="微软雅黑" w:eastAsia="微软雅黑" w:cs="微软雅黑"/>
          <w:spacing w:val="4"/>
          <w:sz w:val="24"/>
          <w:szCs w:val="24"/>
        </w:rPr>
        <w:t>，前值升6.13%；环比降0.1%，前值降0.3%；未季调房价指数317.07，前值317.39。季调后房价指数环比升0.14%，预期升0.2%，前值升0.2%。10座大城市未季调房价指数同比升7.4%</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前值升7%；环比持平，前值升0.2%</w:t>
      </w:r>
      <w:r>
        <w:rPr>
          <w:rFonts w:hint="eastAsia" w:ascii="微软雅黑" w:hAnsi="微软雅黑" w:eastAsia="微软雅黑" w:cs="微软雅黑"/>
          <w:spacing w:val="12"/>
          <w:sz w:val="24"/>
          <w:szCs w:val="24"/>
          <w:lang w:eastAsia="zh-CN"/>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美国1月FHFA房价指数同比升6.3%，前值升6.6%；环比降0.1%，预期升0.3%，前值升0.1%。1月FHFA房价指数417.5，前值417.8。</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【欧洲多国开始实施夏令时</w:t>
      </w:r>
      <w:r>
        <w:rPr>
          <w:rFonts w:hint="eastAsia" w:ascii="微软雅黑" w:hAnsi="微软雅黑" w:eastAsia="微软雅黑" w:cs="微软雅黑"/>
          <w:spacing w:val="13"/>
          <w:sz w:val="24"/>
          <w:szCs w:val="24"/>
          <w:lang w:eastAsia="zh-CN"/>
        </w:rPr>
        <w:t>，</w:t>
      </w:r>
      <w:r>
        <w:rPr>
          <w:rFonts w:hint="eastAsia" w:ascii="微软雅黑" w:hAnsi="微软雅黑" w:eastAsia="微软雅黑" w:cs="微软雅黑"/>
          <w:spacing w:val="13"/>
          <w:sz w:val="24"/>
          <w:szCs w:val="24"/>
        </w:rPr>
        <w:t>从4月1日开始，欧股交易时间为北京时间15:00-23:30</w:t>
      </w:r>
      <w:r>
        <w:rPr>
          <w:rFonts w:hint="eastAsia" w:ascii="微软雅黑" w:hAnsi="微软雅黑" w:eastAsia="微软雅黑" w:cs="微软雅黑"/>
          <w:spacing w:val="13"/>
          <w:sz w:val="24"/>
          <w:szCs w:val="24"/>
          <w:lang w:eastAsia="zh-CN"/>
        </w:rPr>
        <w:t>，</w:t>
      </w:r>
      <w:r>
        <w:rPr>
          <w:rFonts w:hint="eastAsia" w:ascii="微软雅黑" w:hAnsi="微软雅黑" w:eastAsia="微软雅黑" w:cs="微软雅黑"/>
          <w:spacing w:val="13"/>
          <w:sz w:val="24"/>
          <w:szCs w:val="24"/>
        </w:rPr>
        <w:t>经济</w:t>
      </w:r>
      <w:r>
        <w:rPr>
          <w:rFonts w:ascii="微软雅黑" w:hAnsi="微软雅黑" w:eastAsia="微软雅黑" w:cs="微软雅黑"/>
          <w:spacing w:val="13"/>
          <w:sz w:val="24"/>
          <w:szCs w:val="24"/>
        </w:rPr>
        <w:t>数据公布</w:t>
      </w:r>
      <w:r>
        <w:rPr>
          <w:rFonts w:hint="eastAsia" w:ascii="微软雅黑" w:hAnsi="微软雅黑" w:eastAsia="微软雅黑" w:cs="微软雅黑"/>
          <w:spacing w:val="13"/>
          <w:sz w:val="24"/>
          <w:szCs w:val="24"/>
        </w:rPr>
        <w:t>时间亦较冬令时提前一小时</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欧元区3月消费者信心指数终值-14.9，预期-14.9，初值-14.9，2月终值-15.5；3月工业景气指数-8.8，预期-9.0，前值-9.5；经济景气指数96.3，预期96.3，前值95.4；服务业景气指数6.3，预期7.8，前值6.0。</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【欧洲央行管委霍尔茨曼称，欧洲央行可能会比美联储更早开始降息；将不寻求连任奥地利央行行长。】</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德国4月Gfk消费者信心指数-27.4，预期-27.8，前值-29.0。</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日本2月企业服务价格指数同比升2.1%，预期升2.1%，前值升2.1%；环比升0.2%，前值降0.5%。</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日本央行行长植田和男表示，如果长期利率大幅上升，将灵活地进行债券购买操作；日本中长期通胀趋势仍在向2%迈进</w:t>
      </w:r>
      <w:r>
        <w:rPr>
          <w:rFonts w:hint="eastAsia" w:ascii="微软雅黑" w:hAnsi="微软雅黑" w:eastAsia="微软雅黑" w:cs="微软雅黑"/>
          <w:spacing w:val="13"/>
          <w:sz w:val="24"/>
          <w:szCs w:val="24"/>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日本首席外汇事务官神田真人表示，近期日元走势背后存在投机性行动，不排除采取任何措施应对无序外汇波动。</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日本3月制造业PMI初值为48.2，2月初值及终值均为47.2；服务业PMI初值为54.9，2月终值52.9，初值52.5；综合PMI初值52.3，2月终值50.6，初值50.3。</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hint="default" w:ascii="微软雅黑" w:hAnsi="微软雅黑" w:eastAsia="微软雅黑" w:cs="微软雅黑"/>
          <w:spacing w:val="13"/>
          <w:sz w:val="24"/>
          <w:szCs w:val="24"/>
          <w:lang w:val="en-US" w:eastAsia="zh-CN"/>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日本第一季度短观大型制造业景气判断指数11，预期10，前值12，大型制造业前景指数10，预期11，前值8，大型非制造业景气判断指数34，预期33，前值30。日本第一季度短观小型制造业景气判断指数-1，预期-2，前值1。</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澳大利亚2月未季调CPI同比升3.4%，预期升3.5%，前值升3.4%。</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hint="eastAsia" w:ascii="微软雅黑" w:hAnsi="微软雅黑" w:eastAsia="微软雅黑" w:cs="微软雅黑"/>
          <w:spacing w:val="13"/>
          <w:sz w:val="24"/>
          <w:szCs w:val="24"/>
          <w:lang w:eastAsia="zh-CN"/>
        </w:rPr>
      </w:pPr>
      <w:r>
        <w:rPr>
          <w:rFonts w:ascii="微软雅黑" w:hAnsi="微软雅黑" w:eastAsia="微软雅黑" w:cs="微软雅黑"/>
          <w:spacing w:val="13"/>
          <w:sz w:val="24"/>
          <w:szCs w:val="24"/>
        </w:rPr>
        <w:t>【截至3月28日收盘，纽约商品交易所主力黄金期价收于每盎司2238.40美元。整个3月，纽约黄金期价累计上涨近8%，创2022年11月以来最大月度涨幅</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ascii="微软雅黑" w:hAnsi="微软雅黑" w:eastAsia="微软雅黑" w:cs="微软雅黑"/>
          <w:spacing w:val="13"/>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ascii="微软雅黑" w:hAnsi="微软雅黑" w:eastAsia="微软雅黑" w:cs="微软雅黑"/>
          <w:spacing w:val="13"/>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ascii="微软雅黑" w:hAnsi="微软雅黑" w:eastAsia="微软雅黑" w:cs="微软雅黑"/>
          <w:spacing w:val="13"/>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ascii="微软雅黑" w:hAnsi="微软雅黑" w:eastAsia="微软雅黑" w:cs="微软雅黑"/>
          <w:spacing w:val="13"/>
          <w:sz w:val="24"/>
          <w:szCs w:val="24"/>
        </w:rPr>
      </w:pPr>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6"/>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8"/>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8"/>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富时中国A50指数周涨0.16%至12136.6点；新交所富时A50期指主力合约周涨0.21%至12148点。3月PMI数据超预期，引发市场对一季度GDP增速的乐观预期。虽然高频数据下固投端仍修复缓慢，政府新增专项债低于同期，市场对经济增长担忧或有所缓解。考虑到前2个月份经济超预期表现，一季度整体经济增速有望维持5%以上，整体经济仍处于修复阶段。策略上，短线观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0" w:line="191" w:lineRule="auto"/>
              <w:jc w:val="center"/>
              <w:rPr>
                <w:b/>
                <w:bCs/>
                <w:sz w:val="19"/>
                <w:szCs w:val="19"/>
              </w:rPr>
            </w:pPr>
            <w:r>
              <w:rPr>
                <w:rFonts w:hint="eastAsia"/>
                <w:b/>
                <w:bCs/>
                <w:sz w:val="19"/>
                <w:szCs w:val="19"/>
              </w:rPr>
              <w:t>S&amp;P500</w:t>
            </w:r>
          </w:p>
          <w:p>
            <w:pPr>
              <w:pStyle w:val="8"/>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标普500指数周涨0.39%至5254.35点；迷你标普500主力合约周涨0.46%至5328.5点。本周周重点关注美国3月非农数据，ISM制造业和服务业PMI数据、欧洲将公布3月CPI。若3月份非农就业数据强于预期，且过去的数据没有明显的修正，那么市场对美联储的降息押注将更为谨慎，美元或表现强劲。另一方面，疲弱的非农就业增长可能进一步压住美联储在6月开启降息周期，美元或承压。策略上，逢低试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铁矿石期价扩大跌幅。由于澳巴铁矿石发运量及到港量均出现提升，现货供应维持宽松。贸易商交投较冷清，报价积极性较低，钢厂刚需补库为主，询盘较少。铁矿石港口库存进一步增加，继续拖累铁矿石期价。 供应端，国内铁矿石港口库存连续十三周增加，目前已逼近1.45亿吨，较去年同期增加969 万吨，累库主要因素在于到港量回升，叠加疏港量停滞不前，综合表现为卸货量高于出库量，供应宽松对矿价构成压力。需求端，近期部分钢厂执行限产计划，钢厂高炉开工率及产能利用率小幅下调，钢厂按需采购为主。钢厂利润收缩或继续向上挤压炉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铜精矿冶炼厂粗炼费TC为6.3美元/吨，持续新低，矿端偏紧局面并未有显著改善。供给端，减产预期在矿端供应偏紧的影响下提升；国内需求，宏观整体偏暖，流动性相对宽松，以旧换新政策引导下，预期亦整体向好，关注下游加工厂对高价铜的心理接受程度。综合来看，铜价将受到成本及预期的支撑。海外宏观，由于通胀相对符合预期，美联储主席鲍威尔强调不急于降息，利率有可能“更高更久”。预计本周美元指数将给予铜一定压力，但下方成本端亦将提供支撑，本周铜价运行或将有所承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 xml:space="preserve">美国农业部将在下周一发布月度油籽加工报告。调查显示，2月份美国日均大豆压榨量可能创下历史新高。8位分析师参与美豆调查显示，2月份美国大豆压榨量估计为1.964亿蒲，相当于589.3万短吨，预测范围从1.941亿至1.985亿蒲，中位数为1.963亿蒲。如果预测成为现实，将比1月份压榨的1.948亿蒲增长0.8%,比2023年2月压榨的1.769亿蒲增长11.0%。盘面来看，美豆虽然有所反弹，反弹力度受限，在全球大豆供应仍偏宽松的背景下，后期继续反弹力度有限，或限制豆类的走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美国经济数据表现好于预期，美联储官员继续释放谨慎信号，美元指数呈现上升。欧佩克联盟产油国将自愿减产措施延长到二季度，沙特将自愿减产100万桶/日，俄罗斯将在二季度自愿削减供应47.1万桶/日。加沙停火协议谈判仍呈僵局，俄罗斯炼厂频遭袭击增加供应忧虑，美国炼厂开工继续回升。整体上，欧佩克联盟减产及地缘局势支撑油市，美国补充原油战略储备，市场权衡地缘局势及需求前景，短线原油期价呈现强势震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jc w:val="both"/>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糖主力5月合约价格继续反弹，周度涨幅近3%。印度泰国减产不及预期，市场上调巴西糖产量预期，给原糖市场带来压力，预计后市反弹有限。据巴西蔗糖工业协会Unica称，2023/24榨季截至3月上半月，巴西中南部地区甘蔗入榨量为222.4万吨，较上年同期同比增近2.7倍；已产糖6.4万吨，较上年同期增长3.1倍。入榨甘蔗用于生产食糖的比例从上榨季同期的26.83%提高至27.6%。3月上半月，巴西中南部地区产糖量环比、同比超预期，数据利空拖累糖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棉5月合约价格微幅下跌，周度下跌0.09%。美棉出口数据支撑市场。据美国农业部(USDA)报告显示，2024年3月15-21日，2023/24年度美国陆地棉出口签约量22291吨，较前周增长8%，但较前4周平均水平增长46%；2023/24年度美国陆地棉出口装运量81879吨，较前周下降9%，较前4周平均水平增长12%，主要运往中国(33210吨)。本周美棉出口签约较前周增长明显，装运量较前周小幅下滑，但较四周仍维持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744" w:type="dxa"/>
            <w:tcBorders>
              <w:top w:val="dotted" w:color="auto" w:sz="4" w:space="0"/>
              <w:left w:val="single" w:color="FFFFFF" w:sz="4" w:space="0"/>
              <w:bottom w:val="dotted" w:color="auto" w:sz="4" w:space="0"/>
              <w:right w:val="dotted" w:color="auto" w:sz="4" w:space="0"/>
            </w:tcBorders>
            <w:shd w:val="clear" w:color="auto" w:fill="B5C7EA" w:themeFill="accent1" w:themeFillTint="66"/>
            <w:vAlign w:val="center"/>
          </w:tcPr>
          <w:p>
            <w:pPr>
              <w:pStyle w:val="8"/>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美国核心PCE环比增速维持不变，符合市场预期，整体通胀下行速度或有所放缓。个人收入数据虽有所走弱但个人支出数据却远超预期，或暗示整体消费仍将得到一定支撑。在此情况下，未来美国与非美国家经济走势或逐渐背离，市场对非美央行提前降息的担忧或有所提升，利差扩大或持续给予美元指数一定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744" w:type="dxa"/>
            <w:tcBorders>
              <w:top w:val="dotted" w:color="auto" w:sz="4" w:space="0"/>
              <w:left w:val="single" w:color="FFFFFF" w:sz="4" w:space="0"/>
              <w:bottom w:val="single" w:color="2169C1" w:sz="4" w:space="0"/>
              <w:right w:val="dotted" w:color="auto" w:sz="4" w:space="0"/>
            </w:tcBorders>
            <w:shd w:val="clear" w:color="auto" w:fill="B5C7EA" w:themeFill="accent1" w:themeFillTint="66"/>
            <w:vAlign w:val="center"/>
          </w:tcPr>
          <w:p>
            <w:pPr>
              <w:pStyle w:val="8"/>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BE3F4" w:themeFill="accent1" w:themeFillTint="32"/>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美国经济数据显示整体通胀下行速度或有所放缓，同时个人支出仍旧强劲，整体经济或将保持韧性。美联储主席鲍威尔表示并不急于降息，整体发言基调偏鹰，与非美央行形成鲜明对比。从当前经济数据来看，未来市场对美国与非美国家利差预期或持续走阔，美元于美债收益率或仍于高位震荡，贵金属的价格受市场交易情绪推动持续高涨，短期内或受交易趋势影响多于高位震荡。</w:t>
            </w:r>
          </w:p>
        </w:tc>
      </w:tr>
    </w:tbl>
    <w:p>
      <w:pPr>
        <w:spacing w:before="120" w:line="190" w:lineRule="auto"/>
        <w:rPr>
          <w:rFonts w:hint="eastAsia" w:ascii="微软雅黑" w:hAnsi="微软雅黑" w:eastAsia="微软雅黑" w:cs="微软雅黑"/>
          <w:b/>
          <w:bCs/>
          <w:color w:val="036EB8"/>
          <w:spacing w:val="10"/>
          <w:sz w:val="28"/>
          <w:szCs w:val="28"/>
          <w:lang w:val="en-US" w:eastAsia="zh-CN"/>
        </w:rPr>
      </w:pPr>
    </w:p>
    <w:p>
      <w:pPr>
        <w:pStyle w:val="2"/>
        <w:spacing w:line="263" w:lineRule="auto"/>
      </w:pPr>
    </w:p>
    <w:p>
      <w:pPr>
        <w:pStyle w:val="2"/>
        <w:spacing w:line="263" w:lineRule="auto"/>
      </w:pPr>
    </w:p>
    <w:p>
      <w:pPr>
        <w:pStyle w:val="2"/>
        <w:spacing w:line="263" w:lineRule="auto"/>
      </w:pPr>
    </w:p>
    <w:p>
      <w:pPr>
        <w:pStyle w:val="2"/>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9"/>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center"/>
              <w:rPr>
                <w:rFonts w:hint="eastAsia" w:eastAsia="宋体"/>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2917825</wp:posOffset>
                      </wp:positionH>
                      <wp:positionV relativeFrom="paragraph">
                        <wp:posOffset>2190750</wp:posOffset>
                      </wp:positionV>
                      <wp:extent cx="2849245" cy="287655"/>
                      <wp:effectExtent l="5080" t="4445" r="22225" b="12700"/>
                      <wp:wrapNone/>
                      <wp:docPr id="39" name="文本框 39"/>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图2 ：铜冶炼厂粗炼费TC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75pt;margin-top:172.5pt;height:22.65pt;width:224.35pt;z-index:251663360;mso-width-relative:page;mso-height-relative:page;" fillcolor="#FFFFFF [3201]" filled="t" stroked="t" coordsize="21600,21600" o:gfxdata="UEsDBAoAAAAAAIdO4kAAAAAAAAAAAAAAAAAEAAAAZHJzL1BLAwQUAAAACACHTuJAi4Z1TNoAAAAL&#10;AQAADwAAAGRycy9kb3ducmV2LnhtbE2PS0/DMBCE70j8B2uRuFE7TR8hxOkBiRtCSsvr6CbbJCJe&#10;p7GTlH/PcoLb7s5o9ptsd7GdmHDwrSMN0UKBQCpd1VKt4fXwdJeA8MFQZTpHqOEbPezy66vMpJWb&#10;qcBpH2rBIeRTo6EJoU+l9GWD1viF65FYO7nBmsDrUMtqMDOH204uldpIa1riD43p8bHB8ms/Wg0v&#10;0+je6vd1+UGfc+GT07l4Ts5a395E6gFEwEv4M8MvPqNDzkxHN1LlRadhtVlxl6AhjhUP7LiPllsQ&#10;R75s1zHIPJP/O+Q/UEsDBBQAAAAIAIdO4kASbRJtUwIAALoEAAAOAAAAZHJzL2Uyb0RvYy54bWyt&#10;VM1uGjEQvlfqO1i+lwUCCUEsEU1EVSlqItGqZ+P1spZsj2sbdtMHaN+gp15673PxHB17F/LTHjiU&#10;g5k/vpn5ZobZVaMV2QnnJZicDnp9SoThUEizyemnj8s3E0p8YKZgCozI6YPw9Gr++tWstlMxhApU&#10;IRxBEOOntc1pFYKdZpnnldDM98AKg84SnGYBVbfJCsdqRNcqG/b751kNrrAOuPAerTetk3aI7hRA&#10;KEvJxQ3wrRYmtKhOKBawJV9J6+k8VVuWgoe7svQiEJVT7DSkF5OgvI5vNp+x6cYxW0nelcBOKeFF&#10;T5pJg0mPUDcsMLJ18i8oLbkDD2XocdBZ20hiBLsY9F9ws6qYFakXpNrbI+n+/8HyD7t7R2SR07NL&#10;SgzTOPH9j+/7n7/3v74RtCFBtfVTjFtZjAzNW2hwbQ52j8bYd1M6Hb+xI4J+pPfhSK9oAuFoHE5G&#10;l8PRmBKOvuHk4nw8jjDZ46+t8+GdAE2ikFOH40usst2tD23oISQm86BksZRKJcVt1tfKkR3DUS/T&#10;p0N/FqYMqXN6fjbuJ+RnPn8KBJarDFYdWWm7j1Jo1k1H1RqKB2TKQbts3vKlxHZumQ/3zOF2ITl4&#10;f+EOn1IBVgOdREkF7uu/7DEeh45eSmrc1pz6L1vmBCXqvcF1uByMRnG9kzIaXwxRcU8966ces9XX&#10;gCwN8NItT2KMD+oglg70ZzzTRcyKLmY45s5pOIjXob0hPHMuFosUhAttWbg1K8sjdJyJgcU2QCnT&#10;7CJNLTcde7jSafrd+cWbeaqnqMe/n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4Z1TNoAAAAL&#10;AQAADwAAAAAAAAABACAAAAAiAAAAZHJzL2Rvd25yZXYueG1sUEsBAhQAFAAAAAgAh07iQBJtEm1T&#10;AgAAugQAAA4AAAAAAAAAAQAgAAAAKQEAAGRycy9lMm9Eb2MueG1sUEsFBgAAAAAGAAYAWQEAAO4F&#10;AAAAAA==&#10;">
                      <v:fill on="t" focussize="0,0"/>
                      <v:stroke weight="0.5pt" color="#FFFFFF [3212]" joinstyle="round"/>
                      <v:imagedata o:title=""/>
                      <o:lock v:ext="edit" aspectratio="f"/>
                      <v:textbox>
                        <w:txbxContent>
                          <w:p>
                            <w:pPr>
                              <w:jc w:val="center"/>
                              <w:rPr>
                                <w:rFonts w:hint="default" w:eastAsia="宋体"/>
                                <w:lang w:val="en-US" w:eastAsia="zh-CN"/>
                              </w:rPr>
                            </w:pPr>
                            <w:r>
                              <w:rPr>
                                <w:rFonts w:hint="eastAsia" w:eastAsia="宋体"/>
                                <w:lang w:val="en-US" w:eastAsia="zh-CN"/>
                              </w:rPr>
                              <w:t>图2 ：铜冶炼厂粗炼费TC</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107315</wp:posOffset>
                      </wp:positionH>
                      <wp:positionV relativeFrom="paragraph">
                        <wp:posOffset>2211070</wp:posOffset>
                      </wp:positionV>
                      <wp:extent cx="2797175" cy="287655"/>
                      <wp:effectExtent l="0" t="0" r="3175" b="17145"/>
                      <wp:wrapNone/>
                      <wp:docPr id="38" name="文本框 38"/>
                      <wp:cNvGraphicFramePr/>
                      <a:graphic xmlns:a="http://schemas.openxmlformats.org/drawingml/2006/main">
                        <a:graphicData uri="http://schemas.microsoft.com/office/word/2010/wordprocessingShape">
                          <wps:wsp>
                            <wps:cNvSpPr txBox="1"/>
                            <wps:spPr>
                              <a:xfrm>
                                <a:off x="897890" y="4470400"/>
                                <a:ext cx="279717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 ：铜库存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174.1pt;height:22.65pt;width:220.25pt;z-index:251662336;mso-width-relative:page;mso-height-relative:page;" fillcolor="#FFFFFF [3201]" filled="t" stroked="f" coordsize="21600,21600" o:gfxdata="UEsDBAoAAAAAAIdO4kAAAAAAAAAAAAAAAAAEAAAAZHJzL1BLAwQUAAAACACHTuJASlU+ZtYAAAAK&#10;AQAADwAAAGRycy9kb3ducmV2LnhtbE2Py07DMBBF90j8gzVI7KjjJJSSxukCiS0SbenajU0c1R5H&#10;tvv8eoYVLGfm6M657eriHTuZmMaAEsSsAGawD3rEQcJ28/60AJayQq1cQCPhahKsuvu7VjU6nPHT&#10;nNZ5YBSCqVESbM5Tw3nqrfEqzcJkkG7fIXqVaYwD11GdKdw7XhbFnHs1In2wajJv1vSH9dFL2A3+&#10;tvsSU7Tauxo/btfNNoxSPj6IYgksm0v+g+FXn9ShI6d9OKJOzEkoRU2khKqqSmAE1HPxCmxPm5fF&#10;M/Cu5f8rdD9QSwMEFAAAAAgAh07iQLTAi4tcAgAAnAQAAA4AAABkcnMvZTJvRG9jLnhtbK1UwW4T&#10;MRC9I/EPlu90N2nSTaJuqtAqCKmilQri7Hi9WUu2x9hOdssHwB/0xIU739XvYOzdtKVw6IEcnBnP&#10;5I3fm5mcnnVakb1wXoIp6egop0QYDpU025J++rh+M6PEB2YqpsCIkt4KT8+Wr1+dtnYhxtCAqoQj&#10;CGL8orUlbUKwiyzzvBGa+SOwwmCwBqdZQNdts8qxFtG1ysZ5fpK14CrrgAvv8faiD9IB0b0EEOpa&#10;cnEBfKeFCT2qE4oFpOQbaT1dptfWteDhqq69CESVFJmGdGIRtDfxzJanbLF1zDaSD09gL3nCM06a&#10;SYNFH6AuWGBk5+RfUFpyBx7qcMRBZz2RpAiyGOXPtLlpmBWJC0rt7YPo/v/B8g/7a0dkVdJj7Lth&#10;Gjt+f/f9/sev+5/fCN6hQK31C8y7sZgZurfQ4dgc7j1eRt5d7XT8RkYE47N5MZujxrclnUyKfJIP&#10;SosuEI7xcTEvRsWUEo4Z41lxMp1GxOwRyDof3gnQJBolddjJJDDbX/rQpx5SYl0PSlZrqVRy3HZz&#10;rhzZM+z6On0G9D/SlCFtSU+Op3lCNhB/30Mrg4+JvHt+0QrdphvE2EB1i1o46MfJW76W+MpL5sM1&#10;czg/yBw3LFzhUSvAIjBYlDTgvv7rPuZjWzFKSYvzWFL/ZcecoES9N9jw+WgyiQOcnMm0GKPjnkY2&#10;TyNmp88ByY9wly1PZswP6mDWDvRnXMRVrIohZjjWLmk4mOeh3xJcZC5Wq5SEI2tZuDQ3lkfoKLWB&#10;1S5ALVNLoky9NoN6OLSpqcOCxa146qesxz+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VT5m&#10;1gAAAAoBAAAPAAAAAAAAAAEAIAAAACIAAABkcnMvZG93bnJldi54bWxQSwECFAAUAAAACACHTuJA&#10;tMCLi1wCAACcBAAADgAAAAAAAAABACAAAAAlAQAAZHJzL2Uyb0RvYy54bWxQSwUGAAAAAAYABgBZ&#10;AQAA8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 ：铜库存</w:t>
                            </w:r>
                          </w:p>
                        </w:txbxContent>
                      </v:textbox>
                    </v:shape>
                  </w:pict>
                </mc:Fallback>
              </mc:AlternateContent>
            </w:r>
            <w:r>
              <w:object>
                <v:shape id="_x0000_i1031" o:spt="75" alt="" type="#_x0000_t75" style="height:158.05pt;width:219.85pt;" o:ole="t" filled="f" o:preferrelative="t" stroked="f" coordsize="21600,21600">
                  <v:path/>
                  <v:fill on="f" focussize="0,0"/>
                  <v:stroke on="f"/>
                  <v:imagedata r:id="rId15" o:title=""/>
                  <o:lock v:ext="edit" aspectratio="f"/>
                  <w10:wrap type="none"/>
                  <w10:anchorlock/>
                </v:shape>
                <o:OLEObject Type="Link" ProgID="Excel.Sheet.12" ShapeID="_x0000_i1031" UpdateMode="Always" DrawAspect="Content" ObjectID="_1468075725" r:id="rId16">
                  <o:LinkType>EnhancedMetaFile</o:LinkType>
                  <o:LockedField>false</o:LockedField>
                </o:OLEObject>
              </w:object>
            </w:r>
            <w:r>
              <w:rPr>
                <w:rFonts w:ascii="宋体" w:hAnsi="宋体" w:eastAsia="宋体"/>
                <w:b/>
                <w:color w:val="000000" w:themeColor="text1"/>
                <w14:textFill>
                  <w14:solidFill>
                    <w14:schemeClr w14:val="tx1"/>
                  </w14:solidFill>
                </w14:textFill>
              </w:rPr>
              <w:object>
                <v:shape id="_x0000_i1032" o:spt="75" alt="" type="#_x0000_t75" style="height:157.95pt;width:205.7pt;" o:ole="t" filled="f" o:preferrelative="t" stroked="f" coordsize="21600,21600">
                  <v:path/>
                  <v:fill on="f" focussize="0,0"/>
                  <v:stroke on="f"/>
                  <v:imagedata r:id="rId17" o:title=""/>
                  <o:lock v:ext="edit" aspectratio="f"/>
                  <w10:wrap type="none"/>
                  <w10:anchorlock/>
                </v:shape>
                <o:OLEObject Type="Link" ProgID="Excel.Sheet.12" ShapeID="_x0000_i1032" UpdateMode="Always" DrawAspect="Content" ObjectID="_1468075726" r:id="rId18">
                  <o:LinkType>EnhancedMetaFile</o:LinkType>
                  <o:LockedField>false</o:LockedField>
                </o:OLEObject>
              </w:object>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center"/>
              <w:rPr>
                <w:rFonts w:hint="eastAsia" w:eastAsia="新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3142615</wp:posOffset>
                      </wp:positionH>
                      <wp:positionV relativeFrom="paragraph">
                        <wp:posOffset>2124710</wp:posOffset>
                      </wp:positionV>
                      <wp:extent cx="2573020" cy="287655"/>
                      <wp:effectExtent l="0" t="0" r="17780" b="17145"/>
                      <wp:wrapNone/>
                      <wp:docPr id="43" name="文本框 43"/>
                      <wp:cNvGraphicFramePr/>
                      <a:graphic xmlns:a="http://schemas.openxmlformats.org/drawingml/2006/main">
                        <a:graphicData uri="http://schemas.microsoft.com/office/word/2010/wordprocessingShape">
                          <wps:wsp>
                            <wps:cNvSpPr txBox="1"/>
                            <wps:spPr>
                              <a:xfrm>
                                <a:off x="0" y="0"/>
                                <a:ext cx="25730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图4：制造业PMI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45pt;margin-top:167.3pt;height:22.65pt;width:202.6pt;z-index:251665408;mso-width-relative:page;mso-height-relative:page;" fillcolor="#FFFFFF [3201]" filled="t" stroked="f" coordsize="21600,21600" o:gfxdata="UEsDBAoAAAAAAIdO4kAAAAAAAAAAAAAAAAAEAAAAZHJzL1BLAwQUAAAACACHTuJAm+zAdNYAAAAL&#10;AQAADwAAAGRycy9kb3ducmV2LnhtbE2Py07DMBBF90j8gzVI7KgdGhWcxukCiS0SbenajYc4qj2O&#10;bPf59ZgVLGfm6M657eriHTthTGMgBdVMAEPqgxlpULDdvD+9AktZk9EuECq4YoJVd3/X6saEM33i&#10;aZ0HVkIoNVqBzXlqOE+9Ra/TLExI5fYdote5jHHgJupzCfeOPwux4F6PVD5YPeGbxf6wPnoFu8Hf&#10;dl/VFK3xrqaP23WzDaNSjw+VWALLeMl/MPzqF3XoitM+HMkk5hTUspYFVTCf1wtghZBCVMD2ZfMi&#10;JfCu5f87dD9QSwMEFAAAAAgAh07iQCjXV0lQAgAAkQQAAA4AAABkcnMvZTJvRG9jLnhtbK1UzW4T&#10;MRC+I/EOlu9089uWKJsqJApCqmilgjg7XjtryfYY28lueQB4A05cuPNcfQ7G3k1bCoceyGEznpn9&#10;xt83Mzu/aI0mB+GDAlvS4cmAEmE5VMruSvrxw+bVOSUhMlsxDVaU9FYEerF4+WLeuJkYQQ26Ep4g&#10;iA2zxpW0jtHNiiLwWhgWTsAJi0EJ3rCIR78rKs8aRDe6GA0Gp0UDvnIeuAgBvesuSHtE/xxAkFJx&#10;sQa+N8LGDtULzSJSCrVygS7ybaUUPF5JGUQkuqTINOYnFkF7m57FYs5mO89crXh/BfacKzzhZJiy&#10;WPQeas0iI3uv/oIyinsIIOMJB1N0RLIiyGI4eKLNTc2cyFxQ6uDuRQ//D5a/P1x7oqqSTsaUWGaw&#10;43ffv939+HX38ytBHwrUuDDDvBuHmbF9Ay2OzdEf0Jl4t9Kb9I+MCMZR3tt7eUUbCUfnaHo2Howw&#10;xDE2Oj87nU4TTPHwtvMhvhVgSDJK6rF9WVV2uAyxSz2mpGIBtKo2Sut88LvtSntyYNjqTf716H+k&#10;aUuakp6Op4OMbCG930Fri5dJZDtSyYrttu0V2EJ1iwJ46GYoOL5ReMtLFuI18zg0SAzXKl7hQ2rA&#10;ItBblNTgv/zLn/KxlxilpMEhLGn4vGdeUKLfWezy6+FkgrAxHybTsySefxzZPo7YvVkBkh/iAjue&#10;zZQf9dGUHswn3L5lqoohZjnWLmk8mqvYrQZuLxfLZU7COXUsXtobxxN0ktrCch9BqtySJFOnTa8e&#10;Tmpuar9VaRUen3PW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7MB01gAAAAsBAAAPAAAA&#10;AAAAAAEAIAAAACIAAABkcnMvZG93bnJldi54bWxQSwECFAAUAAAACACHTuJAKNdXSVACAACRBAAA&#10;DgAAAAAAAAABACAAAAAlAQAAZHJzL2Uyb0RvYy54bWxQSwUGAAAAAAYABgBZAQAA5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图4：制造业PMI</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236855</wp:posOffset>
                      </wp:positionH>
                      <wp:positionV relativeFrom="paragraph">
                        <wp:posOffset>2127885</wp:posOffset>
                      </wp:positionV>
                      <wp:extent cx="2849245" cy="287655"/>
                      <wp:effectExtent l="0" t="0" r="8255" b="17145"/>
                      <wp:wrapNone/>
                      <wp:docPr id="40" name="文本框 40"/>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图3：美国通胀水平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pt;margin-top:167.55pt;height:22.65pt;width:224.35pt;z-index:251664384;mso-width-relative:page;mso-height-relative:page;" fillcolor="#FFFFFF [3201]" filled="t" stroked="f" coordsize="21600,21600" o:gfxdata="UEsDBAoAAAAAAIdO4kAAAAAAAAAAAAAAAAAEAAAAZHJzL1BLAwQUAAAACACHTuJAIu4w29YAAAAK&#10;AQAADwAAAGRycy9kb3ducmV2LnhtbE2PzU7DMBCE70i8g7VI3KgTEkoU4vSAxBWJtvTsxkscYa8j&#10;2/19epYTnFa7M5r9pludvRNHjGkKpKBcFCCQhmAmGhVsN28PDYiUNRntAqGCCyZY9bc3nW5NONEH&#10;Htd5FBxCqdUKbM5zK2UaLHqdFmFGYu0rRK8zr3GUJuoTh3snH4tiKb2eiD9YPeOrxeF7ffAKdqO/&#10;7j7LOVrjXU3v18tmGyal7u/K4gVExnP+M8MvPqNDz0z7cCCThFNQPVfs5Fk9lSDYUDdLLrfnS1PU&#10;IPtO/q/Q/wBQSwMEFAAAAAgAh07iQDpyiwJRAgAAkQQAAA4AAABkcnMvZTJvRG9jLnhtbK1UzW4T&#10;MRC+I/EOlu90k5D0J8qmComCkCpaqSDOjtfOWrI9xnayWx4A3oATF+48V5+DsXfThsKhB3LYjGdm&#10;v/H3zczOLlujyV74oMCWdHgyoERYDpWy25J+/LB+dU5JiMxWTIMVJb0TgV7OX76YNW4qRlCDroQn&#10;CGLDtHElrWN006IIvBaGhRNwwmJQgjcs4tFvi8qzBtGNLkaDwWnRgK+cBy5CQO+qC9Ie0T8HEKRU&#10;XKyA74ywsUP1QrOIlEKtXKDzfFspBY/XUgYRiS4pMo35iUXQ3qRnMZ+x6dYzVyveX4E95wpPOBmm&#10;LBZ9gFqxyMjOq7+gjOIeAsh4wsEUHZGsCLIYDp5oc1szJzIXlDq4B9HD/4Pl7/c3nqiqpGOUxDKD&#10;Hb///u3+x6/7n18J+lCgxoUp5t06zIztG2hxbA7+gM7Eu5XepH9kRDCOWHcP8oo2Eo7O0fn4YjSe&#10;UMIxNjo/O51MEkzx+LbzIb4VYEgySuqxfVlVtr8KsUs9pKRiAbSq1krrfPDbzVJ7smfY6nX+9eh/&#10;pGlLmpKevp4MMrKF9H4HrS1eJpHtSCUrtpu2V2AD1R0K4KGboeD4WuEtr1iIN8zj0CBnXKt4jQ+p&#10;AYtAb1FSg//yL3/Kx15ilJIGh7Ck4fOOeUGJfmexyxfDcWpLzIfx5GyEB38c2RxH7M4sAckPcYEd&#10;z2bKj/pgSg/mE27fIlXFELMca5c0Hsxl7FYDt5eLxSIn4Zw6Fq/sreMJOkltYbGLIFVuSZKp06ZX&#10;Dyc1N7XfqrQKx+ec9fgl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u4w29YAAAAKAQAADwAA&#10;AAAAAAABACAAAAAiAAAAZHJzL2Rvd25yZXYueG1sUEsBAhQAFAAAAAgAh07iQDpyiwJRAgAAkQQA&#10;AA4AAAAAAAAAAQAgAAAAJQEAAGRycy9lMm9Eb2MueG1sUEsFBgAAAAAGAAYAWQEAAOg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图3：美国通胀水平</w:t>
                            </w:r>
                          </w:p>
                        </w:txbxContent>
                      </v:textbox>
                    </v:shape>
                  </w:pict>
                </mc:Fallback>
              </mc:AlternateContent>
            </w:r>
            <w:r>
              <w:drawing>
                <wp:inline distT="0" distB="0" distL="0" distR="0">
                  <wp:extent cx="2710815" cy="1843405"/>
                  <wp:effectExtent l="0" t="0" r="1333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710815" cy="1843405"/>
                          </a:xfrm>
                          <a:prstGeom prst="rect">
                            <a:avLst/>
                          </a:prstGeom>
                        </pic:spPr>
                      </pic:pic>
                    </a:graphicData>
                  </a:graphic>
                </wp:inline>
              </w:drawing>
            </w:r>
            <w:r>
              <w:drawing>
                <wp:inline distT="0" distB="0" distL="0" distR="0">
                  <wp:extent cx="2663825" cy="1866265"/>
                  <wp:effectExtent l="0" t="0" r="317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2663825" cy="186626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ind w:firstLine="1470" w:firstLineChars="700"/>
              <w:jc w:val="both"/>
              <w:rPr>
                <w:rFonts w:ascii="宋体" w:hAnsi="宋体" w:eastAsia="宋体"/>
                <w:color w:val="000000"/>
                <w:szCs w:val="21"/>
              </w:rPr>
            </w:pPr>
          </w:p>
          <w:p>
            <w:pPr>
              <w:spacing w:line="4053" w:lineRule="exact"/>
              <w:jc w:val="center"/>
            </w:pPr>
            <w:r>
              <w:rPr>
                <w:sz w:val="21"/>
              </w:rPr>
              <mc:AlternateContent>
                <mc:Choice Requires="wps">
                  <w:drawing>
                    <wp:anchor distT="0" distB="0" distL="114300" distR="114300" simplePos="0" relativeHeight="251668480" behindDoc="0" locked="0" layoutInCell="1" allowOverlap="1">
                      <wp:simplePos x="0" y="0"/>
                      <wp:positionH relativeFrom="column">
                        <wp:posOffset>3223260</wp:posOffset>
                      </wp:positionH>
                      <wp:positionV relativeFrom="paragraph">
                        <wp:posOffset>2156460</wp:posOffset>
                      </wp:positionV>
                      <wp:extent cx="2580640" cy="302895"/>
                      <wp:effectExtent l="0" t="0" r="10160" b="1905"/>
                      <wp:wrapNone/>
                      <wp:docPr id="66" name="文本框 66"/>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图6：美国炼厂产能利用率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pt;margin-top:169.8pt;height:23.85pt;width:203.2pt;z-index:251668480;mso-width-relative:page;mso-height-relative:page;" fillcolor="#FFFFFF [3201]" filled="t" stroked="f" coordsize="21600,21600" o:gfxdata="UEsDBAoAAAAAAIdO4kAAAAAAAAAAAAAAAAAEAAAAZHJzL1BLAwQUAAAACACHTuJAvUHl19YAAAAL&#10;AQAADwAAAGRycy9kb3ducmV2LnhtbE2Py07EMAxF90j8Q2QkdkwSKJ2hNJ0FElsk5rXONKGpSJwq&#10;yTy/HrOCpe2j63Pb5Tl4drQpjxEVyJkAZrGPZsRBwWb9/rAAlotGo31Eq+BiMyy725tWNyae8NMe&#10;V2VgFIK50QpcKVPDee6dDTrP4mSRbl8xBV1oTAM3SZ8oPHj+KETNgx6RPjg92Tdn++/VISjYDeG6&#10;28opORN8hR/Xy3oTR6Xu76R4BVbsufzB8KtP6tCR0z4e0GTmFTyLeU2ogic5l8CIeJEVtdvTpq4W&#10;wLuW/+/Q/QBQSwMEFAAAAAgAh07iQBzv4ZRQAgAAkQQAAA4AAABkcnMvZTJvRG9jLnhtbK1UwW4T&#10;MRC9I/EPlu9kN2kT2iibKjQKQopopYI4O15v1pLtMbaT3fAB8AecuHDnu/odjL2bNhQOPZDDZjwz&#10;+8bvzczOrlqtyF44L8EUdDjIKRGGQynNtqAfP6xeXVDiAzMlU2BEQQ/C06v5yxezxk7FCGpQpXAE&#10;QYyfNragdQh2mmWe10IzPwArDAYrcJoFPLptVjrWILpW2SjPJ1kDrrQOuPAevcsuSHtE9xxAqCrJ&#10;xRL4TgsTOlQnFAtIydfSejpPt60qwcNNVXkRiCooMg3piUXQ3sRnNp+x6dYxW0veX4E95wpPOGkm&#10;DRZ9gFqywMjOyb+gtOQOPFRhwEFnHZGkCLIY5k+0uauZFYkLSu3tg+j+/8Hy9/tbR2RZ0MmEEsM0&#10;dvz++7f7H7/uf34l6EOBGuunmHdnMTO0b6DFsTn6PToj77ZyOv4jI4JxlPfwIK9oA+HoHI0v8sk5&#10;hjjGzvLRxeU4wmSPb1vnw1sBmkSjoA7bl1Rl+7UPXeoxJRbzoGS5kkqlg9turpUje4atXqVfj/5H&#10;mjKkQbJn4zwhG4jvd9DK4GUi2Y5UtEK7aXsFNlAeUAAH3Qx5y1cSb7lmPtwyh0ODxHCtwg0+KgVY&#10;BHqLkhrcl3/5Yz72EqOUNDiEBfWfd8wJStQ7g12+HJ5HvUI6nI9fj/DgTiOb04jZ6WtA8kNcYMuT&#10;GfODOpqVA/0Jt28Rq2KIGY61CxqO5nXoVgO3l4vFIiXhnFoW1ubO8ggdpTaw2AWoZGpJlKnTplcP&#10;JzU1td+quAqn55T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9QeXX1gAAAAsBAAAPAAAA&#10;AAAAAAEAIAAAACIAAABkcnMvZG93bnJldi54bWxQSwECFAAUAAAACACHTuJAHO/hlFACAACRBAAA&#10;DgAAAAAAAAABACAAAAAlAQAAZHJzL2Uyb0RvYy54bWxQSwUGAAAAAAYABgBZAQAA5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图6：美国炼厂产能利用率</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287020</wp:posOffset>
                      </wp:positionH>
                      <wp:positionV relativeFrom="paragraph">
                        <wp:posOffset>2142490</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1079500" y="9404985"/>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图5：EIA美国商业原油库存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pt;margin-top:168.7pt;height:23.85pt;width:203.2pt;z-index:251667456;mso-width-relative:page;mso-height-relative:page;" fillcolor="#FFFFFF [3201]" filled="t" stroked="f" coordsize="21600,21600" o:gfxdata="UEsDBAoAAAAAAIdO4kAAAAAAAAAAAAAAAAAEAAAAZHJzL1BLAwQUAAAACACHTuJAf7c8bNYAAAAK&#10;AQAADwAAAGRycy9kb3ducmV2LnhtbE2Py07DMBBF90j8gzVI7KjjkAaaxukCiS0SbenajU0c1R5H&#10;tvv8eoYVLGfm6M657eriHTuZmMaAEsSsAGawD3rEQcJ28/70CixlhVq5gEbC1SRYdfd3rWp0OOOn&#10;Oa3zwCgEU6Mk2JynhvPUW+NVmoXJIN2+Q/Qq0xgHrqM6U7h3vCyKmns1In2wajJv1vSH9dFL2A3+&#10;tvsSU7Tauwo/btfNNoxSPj6IYgksm0v+g+FXn9ShI6d9OKJOzEmYly9ESngW1QIYAdV8IYDtaVOX&#10;NfCu5f8rdD9QSwMEFAAAAAgAh07iQDA79ddeAgAAnQQAAA4AAABkcnMvZTJvRG9jLnhtbK1UwW4a&#10;MRC9V+o/WL6XXQgQQFkiGkRVKWoipVXPxutlLdke1zbs0g9o/yCnXnrvd/EdHXshSdMeciiHZex5&#10;OzPvzcxeXLZakZ1wXoIpaL+XUyIMh1KaTUE/fVy9mVDiAzMlU2BEQffC08v561cXjZ2JAdSgSuEI&#10;BjF+1tiC1iHYWZZ5XgvNfA+sMOiswGkW8Og2WelYg9G1ygZ5Ps4acKV1wIX3eLvsnPQY0b0kIFSV&#10;5GIJfKuFCV1UJxQLSMnX0no6T9VWleDhpqq8CEQVFJmG9MQkaK/jM5tfsNnGMVtLfiyBvaSEZ5w0&#10;kwaTPoRassDI1sm/QmnJHXioQo+DzjoiSRFk0c+faXNXMysSF5Ta2wfR/f8Lyz/sbh2RZUHHI0oM&#10;09jxw/33w49fh5/fCN6hQI31M8TdWUSG9i20ODane4+XkXdbOR3/kRGJ/vx8OspR5H1Bp8N8OJ2k&#10;SGwm2kA4AgajST4eIoAj4iwfTKYJkD1Gss6HdwI0iUZBHbYyKcx21z5gVQg9QWJiD0qWK6lUOrjN&#10;+ko5smPY9lX6xYLxlT9gypAGiZ+N8hTZQHy/wymD8Ei8Ixit0K7boxprKPcohoNunrzlK4lVXjMf&#10;bpnDAUJiuGLhBh+VAkwCR4uSGtzXf91HPPYVvZQ0OJAF9V+2zAlK1HuDHZ/2h1GvkA7D0fkAD+6p&#10;Z/3UY7b6CpB8H5fZ8mRGfFAns3KgP+MmLmJWdDHDMXdBw8m8Ct2a4CZzsVgkEM6sZeHa3FkeQ0ep&#10;DSy2ASqZWhJl6rQ5qodTm2Q/blhci6fnhHr8q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3&#10;PGzWAAAACgEAAA8AAAAAAAAAAQAgAAAAIgAAAGRycy9kb3ducmV2LnhtbFBLAQIUABQAAAAIAIdO&#10;4kAwO/XXXgIAAJ0EAAAOAAAAAAAAAAEAIAAAACUBAABkcnMvZTJvRG9jLnhtbFBLBQYAAAAABgAG&#10;AFkBAAD1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图5：EIA美国商业原油库存</w:t>
                            </w:r>
                          </w:p>
                        </w:txbxContent>
                      </v:textbox>
                    </v:shape>
                  </w:pict>
                </mc:Fallback>
              </mc:AlternateContent>
            </w:r>
            <w:r>
              <w:rPr>
                <w:rFonts w:ascii="宋体" w:hAnsi="宋体" w:eastAsia="宋体"/>
              </w:rPr>
              <w:drawing>
                <wp:inline distT="0" distB="0" distL="0" distR="0">
                  <wp:extent cx="3076575" cy="2056130"/>
                  <wp:effectExtent l="0" t="0" r="952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76575" cy="2056130"/>
                          </a:xfrm>
                          <a:prstGeom prst="rect">
                            <a:avLst/>
                          </a:prstGeom>
                          <a:noFill/>
                        </pic:spPr>
                      </pic:pic>
                    </a:graphicData>
                  </a:graphic>
                </wp:inline>
              </w:drawing>
            </w:r>
            <w:r>
              <w:rPr>
                <w:rFonts w:ascii="宋体" w:hAnsi="宋体" w:eastAsia="宋体"/>
              </w:rPr>
              <w:drawing>
                <wp:inline distT="0" distB="0" distL="0" distR="0">
                  <wp:extent cx="2800350" cy="206946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00350" cy="2069465"/>
                          </a:xfrm>
                          <a:prstGeom prst="rect">
                            <a:avLst/>
                          </a:prstGeom>
                          <a:noFill/>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default" w:eastAsia="宋体"/>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图8：</w:t>
                                  </w:r>
                                  <w:r>
                                    <w:rPr>
                                      <w:rFonts w:hint="eastAsia" w:ascii="微软雅黑" w:hAnsi="微软雅黑" w:eastAsia="微软雅黑" w:cs="微软雅黑"/>
                                      <w:spacing w:val="7"/>
                                      <w:sz w:val="21"/>
                                      <w:szCs w:val="21"/>
                                      <w:lang w:val="en-US" w:eastAsia="zh-CN"/>
                                    </w:rPr>
                                    <w:t>ICE</w:t>
                                  </w:r>
                                  <w:r>
                                    <w:rPr>
                                      <w:rFonts w:hint="eastAsia" w:ascii="微软雅黑" w:hAnsi="微软雅黑" w:eastAsia="微软雅黑" w:cs="微软雅黑"/>
                                      <w:spacing w:val="7"/>
                                      <w:sz w:val="21"/>
                                      <w:szCs w:val="21"/>
                                      <w:lang w:val="zh-CN" w:eastAsia="zh-CN"/>
                                    </w:rPr>
                                    <w:t>原糖期货主力</w:t>
                                  </w:r>
                                  <w:r>
                                    <w:rPr>
                                      <w:rFonts w:hint="eastAsia" w:ascii="微软雅黑" w:hAnsi="微软雅黑" w:eastAsia="微软雅黑" w:cs="微软雅黑"/>
                                      <w:spacing w:val="7"/>
                                      <w:sz w:val="21"/>
                                      <w:szCs w:val="21"/>
                                      <w:lang w:val="en-US" w:eastAsia="zh-CN"/>
                                    </w:rPr>
                                    <w:t>合约</w:t>
                                  </w:r>
                                  <w:r>
                                    <w:rPr>
                                      <w:rFonts w:hint="eastAsia" w:ascii="微软雅黑" w:hAnsi="微软雅黑" w:eastAsia="微软雅黑" w:cs="微软雅黑"/>
                                      <w:spacing w:val="7"/>
                                      <w:sz w:val="21"/>
                                      <w:szCs w:val="21"/>
                                      <w:lang w:val="zh-CN" w:eastAsia="zh-CN"/>
                                    </w:rPr>
                                    <w:t>走势</w:t>
                                  </w:r>
                                  <w:r>
                                    <w:rPr>
                                      <w:rFonts w:hint="eastAsia" w:ascii="微软雅黑" w:hAnsi="微软雅黑" w:eastAsia="微软雅黑" w:cs="微软雅黑"/>
                                      <w:spacing w:val="7"/>
                                      <w:sz w:val="21"/>
                                      <w:szCs w:val="21"/>
                                      <w:lang w:val="en-US" w:eastAsia="zh-CN"/>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66.1pt;height:33.4pt;width:223.45pt;z-index:251670528;mso-width-relative:page;mso-height-relative:page;" fillcolor="#FFFFFF [3201]" filled="t" stroked="f" coordsize="21600,21600" o:gfxdata="UEsDBAoAAAAAAIdO4kAAAAAAAAAAAAAAAAAEAAAAZHJzL1BLAwQUAAAACACHTuJA6aEupNcAAAAL&#10;AQAADwAAAGRycy9kb3ducmV2LnhtbE2PS0/DMBCE70j8B2uRuFE7pJCQxukBiSsSfZ3deBtH2OvI&#10;dp+/HnOC4+yMZr9plxdn2QlDHD1JKGYCGFLv9UiDhM3646kGFpMirawnlHDFCMvu/q5VjfZn+sLT&#10;Kg0sl1BslAST0tRwHnuDTsWZn5Cyd/DBqZRlGLgO6pzLneXPQrxyp0bKH4ya8N1g/706Ogm7wd12&#10;22IKRjs7p8/bdb3xo5SPD4VYAEt4SX9h+MXP6NBlpr0/ko7MSphXb3lLklCWogKWE3X9UgLb50tV&#10;F8C7lv/f0P0AUEsDBBQAAAAIAIdO4kAEC/IuUgIAAJEEAAAOAAAAZHJzL2Uyb0RvYy54bWytVMFu&#10;EzEQvSPxD5bvdDdpU9qomyq0CkKqaKWAODteb3Ylr8fYTnbLB8AfcOLCne/qd/DsTdpSOPRADs54&#10;Zjwz783Mnp33rWZb5XxDpuCjg5wzZSSVjVkX/OOHxasTznwQphSajCr4rfL8fPbyxVlnp2pMNelS&#10;OYYgxk87W/A6BDvNMi9r1Qp/QFYZGCtyrQi4unVWOtEhequzcZ4fZx250jqSyntoLwcj30V0zwlI&#10;VdVIdUly0yoThqhOaREAydeN9XyWqq0qJcN1VXkVmC44kIZ0IgnkVTyz2ZmYrp2wdSN3JYjnlPAE&#10;Uysag6T3oS5FEGzjmr9CtY105KkKB5LabACSGAGKUf6Em2UtrEpYQLW396T7/xdWvt/eONaUBT9G&#10;341o0fG779/ufvy6+/mVQQeCOuun8FtaeIb+DfUYm73eQxlx95Vr4z8QMdhB7+09vaoPTEI5npzk&#10;eT7hTMJ2mOenp4n/7OG1dT68VdSyKBTcoX2JVbG98gGVwHXvEpN50k25aLROF7deXWjHtgKtXqRf&#10;LBJP/nDThnUAezjJU2RD8f3gpw3cI9gBVJRCv+p3DKyovAUBjoYZ8lYuGlR5JXy4EQ5DA8xYq3CN&#10;o9KEJLSTOKvJffmXPvqjl7By1mEIC+4/b4RTnOl3Bl0+HR0dxalNl6PJ6zEu7rFl9dhiNu0FAfwI&#10;C2xlEqN/0HuxctR+wvbNY1aYhJHIXfCwFy/CsBrYXqnm8+SEObUiXJmllTF0pNrQfBOoalJLIk0D&#10;Nzv2MKmJ9t1WxVV4fE9eD1+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oS6k1wAAAAsBAAAP&#10;AAAAAAAAAAEAIAAAACIAAABkcnMvZG93bnJldi54bWxQSwECFAAUAAAACACHTuJABAvyLlICAACR&#10;BAAADgAAAAAAAAABACAAAAAmAQAAZHJzL2Uyb0RvYy54bWxQSwUGAAAAAAYABgBZAQAA6gUAAAAA&#10;">
                      <v:fill on="t" focussize="0,0"/>
                      <v:stroke on="f" weight="0.5pt"/>
                      <v:imagedata o:title=""/>
                      <o:lock v:ext="edit" aspectratio="f"/>
                      <v:textbo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图8：</w:t>
                            </w:r>
                            <w:r>
                              <w:rPr>
                                <w:rFonts w:hint="eastAsia" w:ascii="微软雅黑" w:hAnsi="微软雅黑" w:eastAsia="微软雅黑" w:cs="微软雅黑"/>
                                <w:spacing w:val="7"/>
                                <w:sz w:val="21"/>
                                <w:szCs w:val="21"/>
                                <w:lang w:val="en-US" w:eastAsia="zh-CN"/>
                              </w:rPr>
                              <w:t>ICE</w:t>
                            </w:r>
                            <w:r>
                              <w:rPr>
                                <w:rFonts w:hint="eastAsia" w:ascii="微软雅黑" w:hAnsi="微软雅黑" w:eastAsia="微软雅黑" w:cs="微软雅黑"/>
                                <w:spacing w:val="7"/>
                                <w:sz w:val="21"/>
                                <w:szCs w:val="21"/>
                                <w:lang w:val="zh-CN" w:eastAsia="zh-CN"/>
                              </w:rPr>
                              <w:t>原糖期货主力</w:t>
                            </w:r>
                            <w:r>
                              <w:rPr>
                                <w:rFonts w:hint="eastAsia" w:ascii="微软雅黑" w:hAnsi="微软雅黑" w:eastAsia="微软雅黑" w:cs="微软雅黑"/>
                                <w:spacing w:val="7"/>
                                <w:sz w:val="21"/>
                                <w:szCs w:val="21"/>
                                <w:lang w:val="en-US" w:eastAsia="zh-CN"/>
                              </w:rPr>
                              <w:t>合约</w:t>
                            </w:r>
                            <w:r>
                              <w:rPr>
                                <w:rFonts w:hint="eastAsia" w:ascii="微软雅黑" w:hAnsi="微软雅黑" w:eastAsia="微软雅黑" w:cs="微软雅黑"/>
                                <w:spacing w:val="7"/>
                                <w:sz w:val="21"/>
                                <w:szCs w:val="21"/>
                                <w:lang w:val="zh-CN" w:eastAsia="zh-CN"/>
                              </w:rPr>
                              <w:t>走势</w:t>
                            </w:r>
                            <w:r>
                              <w:rPr>
                                <w:rFonts w:hint="eastAsia" w:ascii="微软雅黑" w:hAnsi="微软雅黑" w:eastAsia="微软雅黑" w:cs="微软雅黑"/>
                                <w:spacing w:val="7"/>
                                <w:sz w:val="21"/>
                                <w:szCs w:val="21"/>
                                <w:lang w:val="en-US" w:eastAsia="zh-CN"/>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图7：</w:t>
                                  </w:r>
                                  <w:r>
                                    <w:rPr>
                                      <w:rFonts w:hint="eastAsia" w:ascii="微软雅黑" w:hAnsi="微软雅黑" w:eastAsia="微软雅黑" w:cs="微软雅黑"/>
                                      <w:spacing w:val="7"/>
                                      <w:sz w:val="21"/>
                                      <w:szCs w:val="21"/>
                                      <w:lang w:val="en-US" w:eastAsia="zh-CN"/>
                                    </w:rPr>
                                    <w:t>ICE棉花</w:t>
                                  </w:r>
                                  <w:r>
                                    <w:rPr>
                                      <w:rFonts w:hint="eastAsia" w:ascii="微软雅黑" w:hAnsi="微软雅黑" w:eastAsia="微软雅黑" w:cs="微软雅黑"/>
                                      <w:spacing w:val="7"/>
                                      <w:sz w:val="21"/>
                                      <w:szCs w:val="21"/>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9504;mso-width-relative:page;mso-height-relative:page;" fillcolor="#FFFFFF [3201]" filled="t" stroked="f" coordsize="21600,21600" o:gfxdata="UEsDBAoAAAAAAIdO4kAAAAAAAAAAAAAAAAAEAAAAZHJzL1BLAwQUAAAACACHTuJA91HXe9YAAAAK&#10;AQAADwAAAGRycy9kb3ducmV2LnhtbE2PzU7DMBCE70i8g7WVuFE7TaiqEKcHJK5ItKVnN16SqPY6&#10;st3fp2c5wWm1O6PZb5r11TtxxpjGQBqKuQKB1AU7Uq9ht31/XoFI2ZA1LhBquGGCdfv40Jjahgt9&#10;4nmTe8EhlGqjYch5qqVM3YDepHmYkFj7DtGbzGvspY3mwuHeyYVSS+nNSPxhMBO+DdgdNyevYd/7&#10;+/6rmOJgvavo437b7sKo9dOsUK8gMl7znxl+8RkdWmY6hBPZJJyG8oWrZJ7lYgmCDVVVlCAOfFkp&#10;BbJt5P8K7Q9QSwMEFAAAAAgAh07iQDRebtxdAgAAnAQAAA4AAABkcnMvZTJvRG9jLnhtbK1UwW7b&#10;MAy9D9g/CLovdpImTYI6RdYiw4BiLdANOyuyHAuQRE1SYncfsP1BT7vsvu/Kd4ySnbbrduhhOTiU&#10;+EzyPZI+O2+1InvhvART0OEgp0QYDqU024J++rh+M6PEB2ZKpsCIgt4JT8+Xr1+dNXYhRlCDKoUj&#10;GMT4RWMLWodgF1nmeS008wOwwqCzAqdZwKPbZqVjDUbXKhvl+TRrwJXWARfe4+1l56R9RPeSgFBV&#10;kotL4DstTOiiOqFYQEq+ltbTZaq2qgQP11XlRSCqoMg0pCcmQXsTn9nyjC22jtla8r4E9pISnnHS&#10;TBpM+hDqkgVGdk7+FUpL7sBDFQYcdNYRSYogi2H+TJvbmlmRuKDU3j6I7v9fWP5hf+OILAs6PaXE&#10;MI0dP9x/P/z4dfj5jeAdCtRYv0DcrUVkaN9Ci2NzvPd4GXm3ldPxHxkR9M/n4+EJanxX0PF4NJue&#10;9kqLNhCO/tFkluf5hBIeEXk+nydA9hjIOh/eCdAkGgV12MkkMNtf+YBFIfQIiXk9KFmupVLp4Lab&#10;C+XInmHX1+kX68VX/oApQxrkPZ7kKbKB+H6HUwbhkXfHL1qh3bS9GBso71ALB904ecvXEqu8Yj7c&#10;MIfzg8xxw8I1PioFmAR6i5Ia3Nd/3Uc8thW9lDQ4jwX1X3bMCUrUe4MNnw9PoqAhHU4mpyM8uKee&#10;zVOP2ekLQPJD3GXLkxnxQR3NyoH+jIu4ilnRxQzH3AUNR/MidFuCi8zFapVAOLKWhStza3kMHaU2&#10;sNoFqGRqSZSp06ZXD4c2yd4vWNyKp+eEevyo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1HX&#10;e9YAAAAKAQAADwAAAAAAAAABACAAAAAiAAAAZHJzL2Rvd25yZXYueG1sUEsBAhQAFAAAAAgAh07i&#10;QDRebtxdAgAAnAQAAA4AAAAAAAAAAQAgAAAAJQEAAGRycy9lMm9Eb2MueG1sUEsFBgAAAAAGAAYA&#10;WQEAAPQ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图7：</w:t>
                            </w:r>
                            <w:r>
                              <w:rPr>
                                <w:rFonts w:hint="eastAsia" w:ascii="微软雅黑" w:hAnsi="微软雅黑" w:eastAsia="微软雅黑" w:cs="微软雅黑"/>
                                <w:spacing w:val="7"/>
                                <w:sz w:val="21"/>
                                <w:szCs w:val="21"/>
                                <w:lang w:val="en-US" w:eastAsia="zh-CN"/>
                              </w:rPr>
                              <w:t>ICE棉花</w:t>
                            </w:r>
                            <w:r>
                              <w:rPr>
                                <w:rFonts w:hint="eastAsia" w:ascii="微软雅黑" w:hAnsi="微软雅黑" w:eastAsia="微软雅黑" w:cs="微软雅黑"/>
                                <w:spacing w:val="7"/>
                                <w:sz w:val="21"/>
                                <w:szCs w:val="21"/>
                                <w:lang w:val="zh-CN" w:eastAsia="zh-CN"/>
                              </w:rPr>
                              <w:t>期货主力合约日走势图</w:t>
                            </w:r>
                          </w:p>
                        </w:txbxContent>
                      </v:textbox>
                    </v:shape>
                  </w:pict>
                </mc:Fallback>
              </mc:AlternateContent>
            </w:r>
            <w:r>
              <w:rPr>
                <w:rFonts w:hint="eastAsia" w:eastAsia="宋体"/>
                <w:lang w:val="en-US" w:eastAsia="zh-CN"/>
              </w:rPr>
              <w:t xml:space="preserve">  </w:t>
            </w:r>
            <w:r>
              <w:rPr>
                <w:rFonts w:hint="eastAsia" w:eastAsiaTheme="minorEastAsia"/>
                <w:lang w:eastAsia="zh-CN"/>
              </w:rPr>
              <w:drawing>
                <wp:inline distT="0" distB="0" distL="114300" distR="114300">
                  <wp:extent cx="2968625" cy="1752600"/>
                  <wp:effectExtent l="0" t="0" r="3175" b="0"/>
                  <wp:docPr id="16" name="图片 16" descr="微信截图_2024033118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40331185116"/>
                          <pic:cNvPicPr>
                            <a:picLocks noChangeAspect="1"/>
                          </pic:cNvPicPr>
                        </pic:nvPicPr>
                        <pic:blipFill>
                          <a:blip r:embed="rId23"/>
                          <a:stretch>
                            <a:fillRect/>
                          </a:stretch>
                        </pic:blipFill>
                        <pic:spPr>
                          <a:xfrm>
                            <a:off x="0" y="0"/>
                            <a:ext cx="2968625" cy="1752600"/>
                          </a:xfrm>
                          <a:prstGeom prst="rect">
                            <a:avLst/>
                          </a:prstGeom>
                        </pic:spPr>
                      </pic:pic>
                    </a:graphicData>
                  </a:graphic>
                </wp:inline>
              </w:drawing>
            </w:r>
            <w:r>
              <w:rPr>
                <w:rFonts w:hint="eastAsia" w:eastAsiaTheme="minorEastAsia"/>
                <w:lang w:val="en-US" w:eastAsia="zh-CN"/>
              </w:rPr>
              <w:t xml:space="preserve"> </w:t>
            </w:r>
            <w:r>
              <w:rPr>
                <w:rFonts w:hint="eastAsia" w:eastAsiaTheme="minorEastAsia"/>
                <w:lang w:eastAsia="zh-CN"/>
              </w:rPr>
              <w:drawing>
                <wp:inline distT="0" distB="0" distL="114300" distR="114300">
                  <wp:extent cx="2647950" cy="1725930"/>
                  <wp:effectExtent l="0" t="0" r="0" b="7620"/>
                  <wp:docPr id="17" name="图片 17" descr="微信截图_2024033118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40331185132"/>
                          <pic:cNvPicPr>
                            <a:picLocks noChangeAspect="1"/>
                          </pic:cNvPicPr>
                        </pic:nvPicPr>
                        <pic:blipFill>
                          <a:blip r:embed="rId24"/>
                          <a:stretch>
                            <a:fillRect/>
                          </a:stretch>
                        </pic:blipFill>
                        <pic:spPr>
                          <a:xfrm>
                            <a:off x="0" y="0"/>
                            <a:ext cx="2647950" cy="172593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2830830</wp:posOffset>
                      </wp:positionH>
                      <wp:positionV relativeFrom="paragraph">
                        <wp:posOffset>2123440</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图10：黄金饰品价格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9pt;margin-top:167.2pt;height:24.35pt;width:208pt;z-index:251672576;mso-width-relative:page;mso-height-relative:page;" fillcolor="#FFFFFF [3201]" filled="t" stroked="f" coordsize="21600,21600" o:gfxdata="UEsDBAoAAAAAAIdO4kAAAAAAAAAAAAAAAAAEAAAAZHJzL1BLAwQUAAAACACHTuJAujdwv9UAAAAL&#10;AQAADwAAAGRycy9kb3ducmV2LnhtbE2Py07DMBBF90j8gzVI7KhjYqooxOkCiS0Sbenajd04wh5H&#10;tvv8eoYVLO9Dd850q0vw7GRTniIqEIsKmMUhmglHBdvN+1MDLBeNRvuIVsHVZlj193edbk0846c9&#10;rcvIaARzqxW4UuaW8zw4G3RexNkiZYeYgi4k08hN0mcaD54/V9WSBz0hXXB6tm/ODt/rY1CwG8Nt&#10;9yXm5EzwEj9u1802Tko9PojqFVixl/JXhl98QoeemPbxiCYzr0DKF0IvCupaSmDUaJaCnD05TS2A&#10;9x3//0P/A1BLAwQUAAAACACHTuJAYfWFkFECAACRBAAADgAAAGRycy9lMm9Eb2MueG1srVTBbtsw&#10;DL0P2D8Iuq923DRbgzhFliDDgGIt0A07K7IcC5BETVJidx+w/UFPu+y+7+p3jJKdNut26GE5OBRJ&#10;P+o9kp5ddFqRvXBeginp6CSnRBgOlTTbkn76uH71hhIfmKmYAiNKeis8vZi/fDFr7VQU0ICqhCMI&#10;Yvy0tSVtQrDTLPO8EZr5E7DCYLAGp1nAo9tmlWMtomuVFXk+yVpwlXXAhffoXfVBOiC65wBCXUsu&#10;VsB3WpjQozqhWEBKvpHW03m6bV0LHq7q2otAVEmRaUhPLIL2Jj6z+YxNt47ZRvLhCuw5V3jCSTNp&#10;sOgD1IoFRnZO/gWlJXfgoQ4nHHTWE0mKIItR/kSbm4ZZkbig1N4+iO7/Hyz/sL92RFYlLQpKDNPY&#10;8fu77/c/ft3//EbQhwK11k8x78ZiZujeQodjc/B7dEbeXe10/EdGBOMo7+2DvKILhKOzmIxHkxxD&#10;HGOn+XkxPosw2ePb1vnwToAm0Sipw/YlVdn+0oc+9ZASi3lQslpLpdLBbTdL5cieYavX6Teg/5Gm&#10;DGlLOjk9yxOygfh+D60MXiaS7UlFK3SbblBgA9UtCuCgnyFv+VriLS+ZD9fM4dAgMVyrcIWPWgEW&#10;gcGipAH39V/+mI+9xCglLQ5hSf2XHXOCEvXeYJfPR+MxwoZ0GJ+9LvDgjiOb44jZ6SUg+REusOXJ&#10;jPlBHczagf6M27eIVTHEDMfaJQ0Hcxn61cDt5WKxSEk4p5aFS3NjeYSOUhtY7ALUMrUkytRrM6iH&#10;k5qaOmxVXIXjc8p6/JL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6N3C/1QAAAAsBAAAPAAAA&#10;AAAAAAEAIAAAACIAAABkcnMvZG93bnJldi54bWxQSwECFAAUAAAACACHTuJAYfWFkFECAACRBAAA&#10;DgAAAAAAAAABACAAAAAkAQAAZHJzL2Uyb0RvYy54bWxQSwUGAAAAAAYABgBZAQAA5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图10：黄金饰品价格</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230505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图9：铁矿石港口库存与矿价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5pt;margin-top:168.7pt;height:24.35pt;width:208pt;z-index:251671552;mso-width-relative:page;mso-height-relative:page;" fillcolor="#FFFFFF [3201]" filled="t" stroked="f" coordsize="21600,21600" o:gfxdata="UEsDBAoAAAAAAIdO4kAAAAAAAAAAAAAAAAAEAAAAZHJzL1BLAwQUAAAACACHTuJA0l0GhtYAAAAK&#10;AQAADwAAAGRycy9kb3ducmV2LnhtbE2PS0/DMBCE70j8B2uRuFEnTQhVGqcHJK5I9HV24yWJaq8j&#10;233+epYTnFY7M5r9tlldnRVnDHH0pCCfZSCQOm9G6hVsNx8vCxAxaTLaekIFN4ywah8fGl0bf6Ev&#10;PK9TL7iEYq0VDClNtZSxG9DpOPMTEnvfPjideA29NEFfuNxZOc+ySjo9El8Y9ITvA3bH9ckp2Pfu&#10;vt/lUxiMsyV93m+brR+Ven7KsyWIhNf0F4ZffEaHlpkO/kQmCqugqApO8izeShAcKF/nrBxYWVQ5&#10;yLaR/19ofwBQSwMEFAAAAAgAh07iQNttW0ZbAgAAnAQAAA4AAABkcnMvZTJvRG9jLnhtbK1UzW4T&#10;MRC+I/EOlu90d/NXEnVThVZBSBWtVBBnx+vNWrI9xnayWx4A3oATF+48V56DsXfTlsKhB3Jwxp7J&#10;N/N9M5Oz804rshfOSzAlLU5ySoThUEmzLenHD+tXrynxgZmKKTCipHfC0/PlyxdnrV2IETSgKuEI&#10;ghi/aG1JmxDsIss8b4Rm/gSsMOiswWkW8Oq2WeVYi+haZaM8n2UtuMo64MJ7fL3snXRAdM8BhLqW&#10;XFwC32lhQo/qhGIBKflGWk+Xqdq6Fjxc17UXgaiSItOQTkyC9iae2fKMLbaO2UbyoQT2nBKecNJM&#10;Gkx6D3XJAiM7J/+C0pI78FCHEw4664kkRZBFkT/R5rZhViQuKLW396L7/wfL3+9vHJFVSWdzSgzT&#10;2PHD92+HH78OP78SfEOBWusXGHdrMTJ0b6DDsTm+e3yMvLva6fiNjAj656fT8Qw1vivpdF6Mi9Gg&#10;tOgC4egfzSbFLMcAjhHjfD6aTCNi9gBknQ9vBWgSjZI67GQSmO2vfOhDjyExrwclq7VUKl3cdnOh&#10;HNkz7Po6fQb0P8KUIS3yHk/zhGwg/r6HVgaLibx7ftEK3aYbxNhAdYdaOOjHyVu+lljlFfPhhjmc&#10;HySGGxau8agVYBIYLEoacF/+9R7jsa3opaTFeSyp/7xjTlCi3hls+LyYTBA2pMtkeoqKEvfYs3ns&#10;MTt9AUi+wF22PJkxPqijWTvQn3ARVzErupjhmLuk4WhehH5LcJG5WK1SEI6sZeHK3FoeoaPUBla7&#10;ALVMLYky9doM6uHQpqYOCxa34vE9RT38q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dBobW&#10;AAAACgEAAA8AAAAAAAAAAQAgAAAAIgAAAGRycy9kb3ducmV2LnhtbFBLAQIUABQAAAAIAIdO4kDb&#10;bVtGWwIAAJwEAAAOAAAAAAAAAAEAIAAAACUBAABkcnMvZTJvRG9jLnhtbFBLBQYAAAAABgAGAFkB&#10;AADy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图9：铁矿石港口库存与矿价</w:t>
                            </w:r>
                          </w:p>
                        </w:txbxContent>
                      </v:textbox>
                    </v:shape>
                  </w:pict>
                </mc:Fallback>
              </mc:AlternateContent>
            </w:r>
            <w:r>
              <w:rPr>
                <w:rFonts w:ascii="宋体" w:hAnsi="宋体" w:eastAsia="宋体"/>
              </w:rPr>
              <w:object>
                <v:shape id="_x0000_i1030" o:spt="75" alt="" type="#_x0000_t75" style="height:150.65pt;width:227.3pt;" o:ole="t" filled="f" o:preferrelative="t" stroked="f" coordsize="21600,21600">
                  <v:path/>
                  <v:fill on="f" focussize="0,0"/>
                  <v:stroke on="f"/>
                  <v:imagedata r:id="rId25" o:title=""/>
                  <o:lock v:ext="edit" aspectratio="t"/>
                  <w10:wrap type="none"/>
                  <w10:anchorlock/>
                </v:shape>
                <o:OLEObject Type="Link" ProgID="Excel.Sheet.12" ShapeID="_x0000_i1030" UpdateMode="Always" DrawAspect="Content" ObjectID="_1468075727" r:id="rId26">
                  <o:LinkType>EnhancedMetaFile</o:LinkType>
                  <o:LockedField>false</o:LockedField>
                </o:OLEObject>
              </w:object>
            </w:r>
            <w:r>
              <w:drawing>
                <wp:inline distT="0" distB="0" distL="114300" distR="114300">
                  <wp:extent cx="2840990" cy="1896110"/>
                  <wp:effectExtent l="0" t="0" r="1651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2840990" cy="1896110"/>
                          </a:xfrm>
                          <a:prstGeom prst="rect">
                            <a:avLst/>
                          </a:prstGeom>
                          <a:noFill/>
                          <a:ln>
                            <a:noFill/>
                          </a:ln>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eastAsia="zh-CN"/>
              </w:rPr>
            </w:pPr>
            <w:r>
              <w:rPr>
                <w:sz w:val="20"/>
              </w:rPr>
              <mc:AlternateContent>
                <mc:Choice Requires="wps">
                  <w:drawing>
                    <wp:anchor distT="0" distB="0" distL="114300" distR="114300" simplePos="0" relativeHeight="251674624" behindDoc="0" locked="0" layoutInCell="1" allowOverlap="1">
                      <wp:simplePos x="0" y="0"/>
                      <wp:positionH relativeFrom="column">
                        <wp:posOffset>3274060</wp:posOffset>
                      </wp:positionH>
                      <wp:positionV relativeFrom="paragraph">
                        <wp:posOffset>2143125</wp:posOffset>
                      </wp:positionV>
                      <wp:extent cx="2190750" cy="252095"/>
                      <wp:effectExtent l="0" t="0" r="0" b="14605"/>
                      <wp:wrapNone/>
                      <wp:docPr id="26" name="文本框 26"/>
                      <wp:cNvGraphicFramePr/>
                      <a:graphic xmlns:a="http://schemas.openxmlformats.org/drawingml/2006/main">
                        <a:graphicData uri="http://schemas.microsoft.com/office/word/2010/wordprocessingShape">
                          <wps:wsp>
                            <wps:cNvSpPr txBox="1"/>
                            <wps:spPr>
                              <a:xfrm>
                                <a:off x="0" y="0"/>
                                <a:ext cx="2190750"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r>
                                    <w:rPr>
                                      <w:rFonts w:hint="eastAsia" w:eastAsia="宋体"/>
                                      <w:lang w:val="en-US" w:eastAsia="zh-CN"/>
                                    </w:rPr>
                                    <w:t xml:space="preserve"> 图12：白银净多头持仓增加</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8pt;margin-top:168.75pt;height:19.85pt;width:172.5pt;z-index:251674624;mso-width-relative:page;mso-height-relative:page;" fillcolor="#FFFFFF [3201]" filled="t" stroked="f" coordsize="21600,21600" o:gfxdata="UEsDBAoAAAAAAIdO4kAAAAAAAAAAAAAAAAAEAAAAZHJzL1BLAwQUAAAACACHTuJAEAKWb9YAAAAL&#10;AQAADwAAAGRycy9kb3ducmV2LnhtbE2Py07DMBBF90j8gzVI7KidliRViNMFElukPujajU0cYY8j&#10;231+fYcVLOfO0Z0z7eriHTuZmMaAEoqZAGawD3rEQcJu+/GyBJayQq1cQCPhahKsuseHVjU6nHFt&#10;Tps8MCrB1CgJNuep4Tz11niVZmEySLvvEL3KNMaB66jOVO4dnwtRca9GpAtWTebdmv5nc/QS9oO/&#10;7b+KKVrt3St+3q7bXRilfH4qxBuwbC75D4ZffVKHjpwO4Yg6MSehLMqKUAmLRV0CI2JZCUoOlNT1&#10;HHjX8v8/dHdQSwMEFAAAAAgAh07iQJHpMNFQAgAAkQQAAA4AAABkcnMvZTJvRG9jLnhtbK1UwW4T&#10;MRC9I/EPlu9kk6VJaZRNFRoFIVW0UkCcHa83a8n2GNvJbvgA+IOeuHDnu/odjL2bNhQOPZCDM54Z&#10;v5l5M7Ozy1YrshfOSzAFHQ2GlAjDoZRmW9BPH1ev3lDiAzMlU2BEQQ/C08v5yxezxk5FDjWoUjiC&#10;IMZPG1vQOgQ7zTLPa6GZH4AVBo0VOM0CXt02Kx1rEF2rLB8OJ1kDrrQOuPAetcvOSHtE9xxAqCrJ&#10;xRL4TgsTOlQnFAtYkq+l9XSesq0qwcNNVXkRiCooVhrSiUFQ3sQzm8/YdOuYrSXvU2DPSeFJTZpJ&#10;g0EfoJYsMLJz8i8oLbkDD1UYcNBZV0hiBKsYDZ9ws66ZFakWpNrbB9L9/4PlH/a3jsiyoPmEEsM0&#10;dvz+7vv9j1/3P78R1CFBjfVT9Ftb9AztW2hxbI56j8pYd1s5Hf+xIoJ2pPfwQK9oA+GozEcXw/Mx&#10;mjja8nE+vBhHmOzxtXU+vBOgSRQK6rB9iVW2v/ahcz26xGAelCxXUql0cdvNlXJkz7DVq/Tr0f9w&#10;U4Y0BZ28xjziKwPxfQetDCYTi+2KilJoN23PwAbKAxLgoJshb/lKYpbXzIdb5nBosDBcq3CDR6UA&#10;g0AvUVKD+/ovffTHXqKVkgaHsKD+y445QYl6b7DLF6OzM4QN6XI2Ps/x4k4tm1OL2ekrwOJHuMCW&#10;JzH6B3UUKwf6M27fIkZFEzMcYxc0HMWr0K0Gbi8Xi0Vywjm1LFybteURuiNtsQtQydSSSFPHTc8e&#10;Tmpqar9VcRVO78nr8Us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QApZv1gAAAAsBAAAPAAAA&#10;AAAAAAEAIAAAACIAAABkcnMvZG93bnJldi54bWxQSwECFAAUAAAACACHTuJAkekw0VACAACRBAAA&#10;DgAAAAAAAAABACAAAAAlAQAAZHJzL2Uyb0RvYy54bWxQSwUGAAAAAAYABgBZAQAA5wUAAAAA&#10;">
                      <v:fill on="t" focussize="0,0"/>
                      <v:stroke on="f" weight="0.5pt"/>
                      <v:imagedata o:title=""/>
                      <o:lock v:ext="edit" aspectratio="f"/>
                      <v:textbox>
                        <w:txbxContent>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r>
                              <w:rPr>
                                <w:rFonts w:hint="eastAsia" w:eastAsia="宋体"/>
                                <w:lang w:val="en-US" w:eastAsia="zh-CN"/>
                              </w:rPr>
                              <w:t xml:space="preserve"> 图12：白银净多头持仓增加</w:t>
                            </w:r>
                          </w:p>
                          <w:p>
                            <w:pPr>
                              <w:jc w:val="center"/>
                              <w:rPr>
                                <w:rFonts w:hint="default" w:eastAsia="宋体"/>
                                <w:lang w:val="en-US" w:eastAsia="zh-CN"/>
                              </w:rPr>
                            </w:pPr>
                          </w:p>
                        </w:txbxContent>
                      </v:textbox>
                    </v:shape>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column">
                        <wp:posOffset>138430</wp:posOffset>
                      </wp:positionH>
                      <wp:positionV relativeFrom="paragraph">
                        <wp:posOffset>2157095</wp:posOffset>
                      </wp:positionV>
                      <wp:extent cx="2190750" cy="252095"/>
                      <wp:effectExtent l="0" t="0" r="0" b="14605"/>
                      <wp:wrapNone/>
                      <wp:docPr id="25" name="文本框 25"/>
                      <wp:cNvGraphicFramePr/>
                      <a:graphic xmlns:a="http://schemas.openxmlformats.org/drawingml/2006/main">
                        <a:graphicData uri="http://schemas.microsoft.com/office/word/2010/wordprocessingShape">
                          <wps:wsp>
                            <wps:cNvSpPr txBox="1"/>
                            <wps:spPr>
                              <a:xfrm>
                                <a:off x="0" y="0"/>
                                <a:ext cx="2190750"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 xml:space="preserve"> 图11：美德10年期国债利差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pt;margin-top:169.85pt;height:19.85pt;width:172.5pt;z-index:251673600;mso-width-relative:page;mso-height-relative:page;" fillcolor="#FFFFFF [3201]" filled="t" stroked="f" coordsize="21600,21600" o:gfxdata="UEsDBAoAAAAAAIdO4kAAAAAAAAAAAAAAAAAEAAAAZHJzL1BLAwQUAAAACACHTuJAZ36E+tYAAAAK&#10;AQAADwAAAGRycy9kb3ducmV2LnhtbE2PzU7DMBCE70i8g7VI3KiTpkppiNMDElck2tKzGy9xhL2O&#10;bPf36VlOcNudHc18264v3okTxjQGUlDOChBIfTAjDQp227enZxApazLaBUIFV0yw7u7vWt2YcKYP&#10;PG3yIDiEUqMV2JynRsrUW/Q6zcKExLevEL3OvMZBmqjPHO6dnBdFLb0eiRusnvDVYv+9OXoF+8Hf&#10;9p/lFK3xbkHvt+t2F0alHh/K4gVExkv+M8MvPqNDx0yHcCSThFMwL5k8K6iq1RIEG6q6ZuXAw3K1&#10;ANm18v8L3Q9QSwMEFAAAAAgAh07iQG4vbZ1RAgAAkQQAAA4AAABkcnMvZTJvRG9jLnhtbK1UzW4T&#10;MRC+I/EOlu90k6VpadRNFVoFIVW0UkCcHa83a8l/2E52ywPAG/TEhTvP1efgszdpS+HQAzk445nx&#10;zHzfzOzpWa8V2QofpDUVHR+MKBGG21qadUU/fVy8ekNJiMzUTFkjKnojAj2bvXxx2rmpKG1rVS08&#10;QRATpp2raBujmxZF4K3QLBxYJwyMjfWaRVz9uqg96xBdq6IcjY6KzvraectFCNBeDEa6i+ifE9A2&#10;jeTiwvKNFiYOUb1QLAJSaKULdJarbRrB41XTBBGJqiiQxnwiCeRVOovZKZuuPXOt5LsS2HNKeIJJ&#10;M2mQ9D7UBYuMbLz8K5SW3Ntgm3jArS4GIJkRoBiPnnCzbJkTGQuoDu6e9PD/wvIP22tPZF3RckKJ&#10;YRodv7v9fvfj193PbwQ6ENS5MIXf0sEz9m9tj7HZ6wOUCXffeJ3+gYjADnpv7ukVfSQcynJ8Mjqe&#10;wMRhKyfl6CSHLx5eOx/iO2E1SUJFPdqXWWXbyxBRCVz3LilZsErWC6lUvvj16lx5smVo9SL/UpF4&#10;8oebMqSr6NFr1JFeGZveD37KwD2BHUAlKfarfsfAytY3IMDbYYaC4wuJKi9ZiNfMY2gADGsVr3A0&#10;yiKJ3UmUtNZ//Zc++aOXsFLSYQgrGr5smBeUqPcGXT4ZHx4ibMyXw8lxiYt/bFk9tpiNPrcAP8YC&#10;O57F5B/VXmy81Z+xffOUFSZmOHJXNO7F8zisBraXi/k8O2FOHYuXZul4Cj2QNt9E28jckkTTwM2O&#10;PUxqpn23VWkVHt+z18OX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36E+tYAAAAKAQAADwAA&#10;AAAAAAABACAAAAAiAAAAZHJzL2Rvd25yZXYueG1sUEsBAhQAFAAAAAgAh07iQG4vbZ1RAgAAkQQA&#10;AA4AAAAAAAAAAQAgAAAAJQEAAGRycy9lMm9Eb2MueG1sUEsFBgAAAAAGAAYAWQEAAOg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 xml:space="preserve"> 图11：美德10年期国债利差</w:t>
                            </w:r>
                          </w:p>
                        </w:txbxContent>
                      </v:textbox>
                    </v:shape>
                  </w:pict>
                </mc:Fallback>
              </mc:AlternateContent>
            </w:r>
            <w:r>
              <w:drawing>
                <wp:inline distT="0" distB="0" distL="114300" distR="114300">
                  <wp:extent cx="3020695" cy="1804035"/>
                  <wp:effectExtent l="0" t="0" r="825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3020695" cy="1804035"/>
                          </a:xfrm>
                          <a:prstGeom prst="rect">
                            <a:avLst/>
                          </a:prstGeom>
                          <a:noFill/>
                          <a:ln>
                            <a:noFill/>
                          </a:ln>
                        </pic:spPr>
                      </pic:pic>
                    </a:graphicData>
                  </a:graphic>
                </wp:inline>
              </w:drawing>
            </w:r>
            <w:r>
              <w:drawing>
                <wp:inline distT="0" distB="0" distL="114300" distR="114300">
                  <wp:extent cx="2727325" cy="1772285"/>
                  <wp:effectExtent l="0" t="0" r="15875"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2727325" cy="1772285"/>
                          </a:xfrm>
                          <a:prstGeom prst="rect">
                            <a:avLst/>
                          </a:prstGeom>
                          <a:noFill/>
                          <a:ln>
                            <a:noFill/>
                          </a:ln>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eastAsia="zh-CN"/>
              </w:rPr>
            </w:pPr>
            <w:r>
              <w:rPr>
                <w:sz w:val="20"/>
              </w:rPr>
              <mc:AlternateContent>
                <mc:Choice Requires="wps">
                  <w:drawing>
                    <wp:anchor distT="0" distB="0" distL="114300" distR="114300" simplePos="0" relativeHeight="251666432" behindDoc="0" locked="0" layoutInCell="1" allowOverlap="1">
                      <wp:simplePos x="0" y="0"/>
                      <wp:positionH relativeFrom="column">
                        <wp:posOffset>290830</wp:posOffset>
                      </wp:positionH>
                      <wp:positionV relativeFrom="paragraph">
                        <wp:posOffset>2129790</wp:posOffset>
                      </wp:positionV>
                      <wp:extent cx="2190750" cy="252095"/>
                      <wp:effectExtent l="0" t="0" r="0" b="14605"/>
                      <wp:wrapNone/>
                      <wp:docPr id="61" name="文本框 61"/>
                      <wp:cNvGraphicFramePr/>
                      <a:graphic xmlns:a="http://schemas.openxmlformats.org/drawingml/2006/main">
                        <a:graphicData uri="http://schemas.microsoft.com/office/word/2010/wordprocessingShape">
                          <wps:wsp>
                            <wps:cNvSpPr txBox="1"/>
                            <wps:spPr>
                              <a:xfrm>
                                <a:off x="1027430" y="3354070"/>
                                <a:ext cx="2190750"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 xml:space="preserve"> 图13：CBOT大豆活跃价格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pt;margin-top:167.7pt;height:19.85pt;width:172.5pt;z-index:251666432;mso-width-relative:page;mso-height-relative:page;" fillcolor="#FFFFFF [3201]" filled="t" stroked="f" coordsize="21600,21600" o:gfxdata="UEsDBAoAAAAAAIdO4kAAAAAAAAAAAAAAAAAEAAAAZHJzL1BLAwQUAAAACACHTuJANtCMTtYAAAAK&#10;AQAADwAAAGRycy9kb3ducmV2LnhtbE2PS0/EMAyE70j8h8hI3NiktOVRmu4BiSsSu8ues41pKhKn&#10;arLPX485wc0ej2Y+t8tT8OKAcxojaSgWCgRSH+1Ig4bN+u3uCUTKhqzxkVDDGRMsu+ur1jQ2HukD&#10;D6s8CA6h1BgNLuepkTL1DoNJizgh8e0rzsFkXudB2tkcOTx4ea/UgwxmJG5wZsJXh/33ah80bIdw&#10;2X4W0+xs8BW9X87rTRy1vr0p1AuIjKf8Z4ZffEaHjpl2cU82Ca+hqpk8ayjLugLBhvJZsbLj4bEu&#10;QHat/P9C9wNQSwMEFAAAAAgAh07iQM0SAaZaAgAAnQQAAA4AAABkcnMvZTJvRG9jLnhtbK1UwW7b&#10;MAy9D9g/CLqvdpykWYM6RZYgw4BiLdANOyuyHAuQRE1SYncfsP3BTrvsvu/qd4ySnbbrduhhOTiU&#10;SD/yPZI+v+i0IgfhvART0tFJTokwHCppdiX9+GHz6jUlPjBTMQVGlPRWeHqxePnivLVzUUADqhKO&#10;IIjx89aWtAnBzrPM80Zo5k/ACoPOGpxmAY9ul1WOtYiuVVbk+WnWgqusAy68x9t176QDonsOINS1&#10;5GINfK+FCT2qE4oFpOQbaT1dpGrrWvBwVddeBKJKikxDemIStLfxmS3O2XznmG0kH0pgzynhCSfN&#10;pMGk91BrFhjZO/kXlJbcgYc6nHDQWU8kKYIsRvkTbW4aZkXiglJ7ey+6/3+w/P3h2hFZlfR0RIlh&#10;Gjt+9/3b3Y9fdz+/ErxDgVrr5xh3YzEydG+gw7E53nu8jLy72un4j4xI9OfFbDJGkW9LOh5PJ/ls&#10;kFp0gXAMKEZn+WyKARwjimmRn00jZPaAZJ0PbwVoEo2SOmxlUpgdLn3oQ48hMbEHJauNVCod3G67&#10;Uo4cGLZ9k34D+h9hypAWiY+xjviWgfh+D60MFhOJ9wSjFbptN6ixheoWxXDQz5O3fCOxykvmwzVz&#10;OEBIDFcsXOGjVoBJYLAoacB9+dd9jMe+opeSFgeypP7znjlBiXpnsONno8kEYUM6TKazAg/usWf7&#10;2GP2egVIHpuK1SUzxgd1NGsH+hNu4jJmRRczHHOXNBzNVejXBDeZi+UyBeHMWhYuzY3lEboXbbkP&#10;UMvUkihTr82gHk5tauqwYXEtHp9T1MNX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tCMTtYA&#10;AAAKAQAADwAAAAAAAAABACAAAAAiAAAAZHJzL2Rvd25yZXYueG1sUEsBAhQAFAAAAAgAh07iQM0S&#10;AaZaAgAAnQQAAA4AAAAAAAAAAQAgAAAAJQEAAGRycy9lMm9Eb2MueG1sUEsFBgAAAAAGAAYAWQEA&#10;APE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 xml:space="preserve"> 图13：CBOT大豆活跃价格</w:t>
                            </w:r>
                          </w:p>
                        </w:txbxContent>
                      </v:textbox>
                    </v:shape>
                  </w:pict>
                </mc:Fallback>
              </mc:AlternateContent>
            </w:r>
            <w:r>
              <w:rPr>
                <w:rFonts w:hint="eastAsia" w:eastAsia="宋体"/>
                <w:sz w:val="20"/>
                <w:lang w:val="en-US" w:eastAsia="zh-CN"/>
              </w:rPr>
              <w:t xml:space="preserve">  </w:t>
            </w:r>
            <w:bookmarkStart w:id="0" w:name="_GoBack"/>
            <w:r>
              <w:rPr>
                <w:rFonts w:hint="eastAsia"/>
                <w:sz w:val="28"/>
                <w:szCs w:val="28"/>
                <w:lang w:val="en-US" w:eastAsia="zh-CN"/>
              </w:rPr>
              <w:drawing>
                <wp:inline distT="0" distB="0" distL="114300" distR="114300">
                  <wp:extent cx="3152140" cy="1818640"/>
                  <wp:effectExtent l="0" t="0" r="10160" b="10160"/>
                  <wp:docPr id="28" name="图片 28" descr="f40ef1c4347db8ea30c21ea959ba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40ef1c4347db8ea30c21ea959ba8de"/>
                          <pic:cNvPicPr>
                            <a:picLocks noChangeAspect="1"/>
                          </pic:cNvPicPr>
                        </pic:nvPicPr>
                        <pic:blipFill>
                          <a:blip r:embed="rId30"/>
                          <a:stretch>
                            <a:fillRect/>
                          </a:stretch>
                        </pic:blipFill>
                        <pic:spPr>
                          <a:xfrm>
                            <a:off x="0" y="0"/>
                            <a:ext cx="3152140" cy="1818640"/>
                          </a:xfrm>
                          <a:prstGeom prst="rect">
                            <a:avLst/>
                          </a:prstGeom>
                        </pic:spPr>
                      </pic:pic>
                    </a:graphicData>
                  </a:graphic>
                </wp:inline>
              </w:drawing>
            </w:r>
            <w:bookmarkEnd w:id="0"/>
          </w:p>
        </w:tc>
      </w:tr>
    </w:tbl>
    <w:p>
      <w:pPr>
        <w:spacing w:before="235" w:line="176" w:lineRule="auto"/>
        <w:ind w:firstLine="194" w:firstLineChars="100"/>
        <w:sectPr>
          <w:headerReference r:id="rId6" w:type="default"/>
          <w:footerReference r:id="rId7" w:type="default"/>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pPr>
      <w:r>
        <w:rPr>
          <w:rFonts w:hint="eastAsia" w:ascii="微软雅黑" w:hAnsi="微软雅黑" w:eastAsia="微软雅黑" w:cs="微软雅黑"/>
          <w:spacing w:val="7"/>
          <w:sz w:val="18"/>
          <w:szCs w:val="18"/>
          <w:lang w:val="en-US" w:eastAsia="zh-CN"/>
        </w:rPr>
        <w:t>资料来源：公开资料整理，瑞达国际</w:t>
      </w: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val="en-US" w:eastAsia="zh-CN"/>
        </w:rPr>
        <w:t>下周热点日程</w:t>
      </w:r>
    </w:p>
    <w:p>
      <w:pPr>
        <w:spacing w:before="84"/>
      </w:pPr>
    </w:p>
    <w:tbl>
      <w:tblPr>
        <w:tblStyle w:val="9"/>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8"/>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8"/>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28"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w:t>
            </w:r>
          </w:p>
        </w:tc>
        <w:tc>
          <w:tcPr>
            <w:tcW w:w="1478" w:type="dxa"/>
            <w:vAlign w:val="top"/>
          </w:tcPr>
          <w:p>
            <w:pPr>
              <w:pStyle w:val="8"/>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21</w:t>
            </w:r>
            <w:r>
              <w:rPr>
                <w:b/>
                <w:bCs/>
                <w:spacing w:val="6"/>
                <w:sz w:val="19"/>
                <w:szCs w:val="19"/>
              </w:rPr>
              <w:t>:</w:t>
            </w:r>
            <w:r>
              <w:rPr>
                <w:rFonts w:hint="eastAsia"/>
                <w:b/>
                <w:bCs/>
                <w:spacing w:val="6"/>
                <w:sz w:val="19"/>
                <w:szCs w:val="19"/>
                <w:lang w:val="en-US" w:eastAsia="zh-CN"/>
              </w:rPr>
              <w:t>3</w:t>
            </w:r>
            <w:r>
              <w:rPr>
                <w:b/>
                <w:bCs/>
                <w:spacing w:val="6"/>
                <w:sz w:val="19"/>
                <w:szCs w:val="19"/>
              </w:rPr>
              <w:t>0</w:t>
            </w:r>
          </w:p>
        </w:tc>
        <w:tc>
          <w:tcPr>
            <w:tcW w:w="6344" w:type="dxa"/>
            <w:vAlign w:val="top"/>
          </w:tcPr>
          <w:p>
            <w:pPr>
              <w:pStyle w:val="8"/>
              <w:spacing w:before="221" w:line="180" w:lineRule="auto"/>
              <w:jc w:val="center"/>
              <w:rPr>
                <w:rFonts w:hint="default" w:eastAsia="微软雅黑"/>
                <w:sz w:val="19"/>
                <w:szCs w:val="19"/>
                <w:lang w:val="en-US" w:eastAsia="zh-CN"/>
              </w:rPr>
            </w:pPr>
            <w:r>
              <w:rPr>
                <w:rFonts w:hint="eastAsia"/>
                <w:spacing w:val="25"/>
                <w:sz w:val="19"/>
                <w:szCs w:val="19"/>
                <w:lang w:val="en-US" w:eastAsia="zh-CN"/>
              </w:rPr>
              <w:t>加拿大3月RBC制造业PMI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0"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w:t>
            </w:r>
          </w:p>
        </w:tc>
        <w:tc>
          <w:tcPr>
            <w:tcW w:w="1478" w:type="dxa"/>
            <w:shd w:val="clear" w:color="auto" w:fill="D3EAFF"/>
            <w:vAlign w:val="top"/>
          </w:tcPr>
          <w:p>
            <w:pPr>
              <w:pStyle w:val="8"/>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21</w:t>
            </w:r>
            <w:r>
              <w:rPr>
                <w:b/>
                <w:bCs/>
                <w:spacing w:val="5"/>
                <w:sz w:val="19"/>
                <w:szCs w:val="19"/>
              </w:rPr>
              <w:t>:</w:t>
            </w:r>
            <w:r>
              <w:rPr>
                <w:rFonts w:hint="eastAsia"/>
                <w:b/>
                <w:bCs/>
                <w:spacing w:val="5"/>
                <w:sz w:val="19"/>
                <w:szCs w:val="19"/>
                <w:lang w:val="en-US" w:eastAsia="zh-CN"/>
              </w:rPr>
              <w:t>45</w:t>
            </w:r>
          </w:p>
        </w:tc>
        <w:tc>
          <w:tcPr>
            <w:tcW w:w="6344" w:type="dxa"/>
            <w:shd w:val="clear" w:color="auto" w:fill="D3EAFF"/>
            <w:vAlign w:val="top"/>
          </w:tcPr>
          <w:p>
            <w:pPr>
              <w:pStyle w:val="8"/>
              <w:spacing w:before="224" w:line="179" w:lineRule="auto"/>
              <w:jc w:val="center"/>
              <w:rPr>
                <w:rFonts w:hint="default" w:eastAsia="微软雅黑"/>
                <w:sz w:val="19"/>
                <w:szCs w:val="19"/>
                <w:lang w:val="en-US" w:eastAsia="zh-CN"/>
              </w:rPr>
            </w:pPr>
            <w:r>
              <w:rPr>
                <w:rFonts w:hint="eastAsia"/>
                <w:spacing w:val="32"/>
                <w:sz w:val="19"/>
                <w:szCs w:val="19"/>
                <w:lang w:val="en-US" w:eastAsia="zh-CN"/>
              </w:rPr>
              <w:t>美国3月Markit制造业PMI终值</w:t>
            </w:r>
          </w:p>
        </w:tc>
      </w:tr>
      <w:tr>
        <w:tblPrEx>
          <w:tblCellMar>
            <w:top w:w="0" w:type="dxa"/>
            <w:left w:w="0" w:type="dxa"/>
            <w:bottom w:w="0" w:type="dxa"/>
            <w:right w:w="0" w:type="dxa"/>
          </w:tblCellMar>
        </w:tblPrEx>
        <w:trPr>
          <w:trHeight w:val="619" w:hRule="atLeast"/>
        </w:trPr>
        <w:tc>
          <w:tcPr>
            <w:tcW w:w="1567" w:type="dxa"/>
            <w:vAlign w:val="top"/>
          </w:tcPr>
          <w:p>
            <w:pPr>
              <w:pStyle w:val="8"/>
              <w:spacing w:before="231"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w:t>
            </w:r>
          </w:p>
        </w:tc>
        <w:tc>
          <w:tcPr>
            <w:tcW w:w="1478" w:type="dxa"/>
            <w:vAlign w:val="top"/>
          </w:tcPr>
          <w:p>
            <w:pPr>
              <w:pStyle w:val="8"/>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22</w:t>
            </w:r>
            <w:r>
              <w:rPr>
                <w:b/>
                <w:bCs/>
                <w:spacing w:val="5"/>
                <w:sz w:val="19"/>
                <w:szCs w:val="19"/>
              </w:rPr>
              <w:t>:</w:t>
            </w:r>
            <w:r>
              <w:rPr>
                <w:rFonts w:hint="eastAsia"/>
                <w:b/>
                <w:bCs/>
                <w:spacing w:val="5"/>
                <w:sz w:val="19"/>
                <w:szCs w:val="19"/>
                <w:lang w:val="en-US" w:eastAsia="zh-CN"/>
              </w:rPr>
              <w:t>45</w:t>
            </w:r>
          </w:p>
        </w:tc>
        <w:tc>
          <w:tcPr>
            <w:tcW w:w="6344" w:type="dxa"/>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美国3月ISM制造业指数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2"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w:t>
            </w:r>
          </w:p>
        </w:tc>
        <w:tc>
          <w:tcPr>
            <w:tcW w:w="1478" w:type="dxa"/>
            <w:shd w:val="clear" w:color="auto" w:fill="D3EAFF"/>
            <w:vAlign w:val="top"/>
          </w:tcPr>
          <w:p>
            <w:pPr>
              <w:pStyle w:val="8"/>
              <w:spacing w:before="246" w:line="172" w:lineRule="auto"/>
              <w:ind w:left="101"/>
              <w:rPr>
                <w:sz w:val="19"/>
                <w:szCs w:val="19"/>
              </w:rPr>
            </w:pPr>
            <w:r>
              <w:rPr>
                <w:rFonts w:hint="eastAsia"/>
                <w:b/>
                <w:bCs/>
                <w:spacing w:val="5"/>
                <w:sz w:val="19"/>
                <w:szCs w:val="19"/>
                <w:lang w:val="en-US" w:eastAsia="zh-CN"/>
              </w:rPr>
              <w:t>22</w:t>
            </w:r>
            <w:r>
              <w:rPr>
                <w:b/>
                <w:bCs/>
                <w:spacing w:val="5"/>
                <w:sz w:val="19"/>
                <w:szCs w:val="19"/>
              </w:rPr>
              <w:t>:00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美国2月营建支出环比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8"/>
              <w:spacing w:before="234"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vAlign w:val="top"/>
          </w:tcPr>
          <w:p>
            <w:pPr>
              <w:pStyle w:val="8"/>
              <w:spacing w:before="248" w:line="172" w:lineRule="auto"/>
              <w:ind w:left="92"/>
              <w:rPr>
                <w:sz w:val="19"/>
                <w:szCs w:val="19"/>
              </w:rPr>
            </w:pPr>
            <w:r>
              <w:rPr>
                <w:rFonts w:hint="eastAsia"/>
                <w:b/>
                <w:bCs/>
                <w:spacing w:val="3"/>
                <w:sz w:val="19"/>
                <w:szCs w:val="19"/>
                <w:lang w:val="en-US" w:eastAsia="zh-CN"/>
              </w:rPr>
              <w:t>13：00</w:t>
            </w:r>
          </w:p>
        </w:tc>
        <w:tc>
          <w:tcPr>
            <w:tcW w:w="6344" w:type="dxa"/>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印度3月标普全球印度制造业PMI终值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2"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shd w:val="clear" w:color="auto" w:fill="D3EAFF"/>
            <w:vAlign w:val="top"/>
          </w:tcPr>
          <w:p>
            <w:pPr>
              <w:pStyle w:val="8"/>
              <w:spacing w:before="246" w:line="172" w:lineRule="auto"/>
              <w:ind w:left="101"/>
              <w:rPr>
                <w:rFonts w:hint="default"/>
                <w:sz w:val="19"/>
                <w:szCs w:val="19"/>
                <w:lang w:val="en-US"/>
              </w:rPr>
            </w:pPr>
            <w:r>
              <w:rPr>
                <w:rFonts w:hint="eastAsia"/>
                <w:b/>
                <w:bCs/>
                <w:spacing w:val="5"/>
                <w:sz w:val="19"/>
                <w:szCs w:val="19"/>
                <w:lang w:val="en-US" w:eastAsia="zh-CN"/>
              </w:rPr>
              <w:t>15：45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意大利3月制造业PMI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vAlign w:val="top"/>
          </w:tcPr>
          <w:p>
            <w:pPr>
              <w:pStyle w:val="8"/>
              <w:spacing w:before="248" w:line="172" w:lineRule="auto"/>
              <w:ind w:left="101" w:leftChars="0"/>
              <w:rPr>
                <w:sz w:val="19"/>
                <w:szCs w:val="19"/>
              </w:rPr>
            </w:pPr>
            <w:r>
              <w:rPr>
                <w:rFonts w:hint="eastAsia"/>
                <w:b/>
                <w:bCs/>
                <w:spacing w:val="5"/>
                <w:sz w:val="19"/>
                <w:szCs w:val="19"/>
                <w:lang w:val="en-US" w:eastAsia="zh-CN"/>
              </w:rPr>
              <w:t>15</w:t>
            </w:r>
            <w:r>
              <w:rPr>
                <w:b/>
                <w:bCs/>
                <w:spacing w:val="5"/>
                <w:sz w:val="19"/>
                <w:szCs w:val="19"/>
              </w:rPr>
              <w:t>:</w:t>
            </w:r>
            <w:r>
              <w:rPr>
                <w:rFonts w:hint="eastAsia"/>
                <w:b/>
                <w:bCs/>
                <w:spacing w:val="5"/>
                <w:sz w:val="19"/>
                <w:szCs w:val="19"/>
                <w:lang w:val="en-US" w:eastAsia="zh-CN"/>
              </w:rPr>
              <w:t>5</w:t>
            </w:r>
            <w:r>
              <w:rPr>
                <w:b/>
                <w:bCs/>
                <w:spacing w:val="5"/>
                <w:sz w:val="19"/>
                <w:szCs w:val="19"/>
              </w:rPr>
              <w:t>0</w:t>
            </w:r>
          </w:p>
        </w:tc>
        <w:tc>
          <w:tcPr>
            <w:tcW w:w="6344" w:type="dxa"/>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法国3月制造业PMI终值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shd w:val="clear" w:color="auto" w:fill="D3EAFF"/>
            <w:vAlign w:val="top"/>
          </w:tcPr>
          <w:p>
            <w:pPr>
              <w:pStyle w:val="8"/>
              <w:spacing w:before="248" w:line="172" w:lineRule="auto"/>
              <w:ind w:left="92" w:leftChars="0"/>
              <w:rPr>
                <w:sz w:val="19"/>
                <w:szCs w:val="19"/>
              </w:rPr>
            </w:pPr>
            <w:r>
              <w:rPr>
                <w:rFonts w:hint="eastAsia"/>
                <w:b/>
                <w:bCs/>
                <w:spacing w:val="3"/>
                <w:sz w:val="19"/>
                <w:szCs w:val="19"/>
                <w:lang w:val="en-US" w:eastAsia="zh-CN"/>
              </w:rPr>
              <w:t>15：55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德国3月制造业PMI终值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4"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shd w:val="clear" w:color="auto" w:fill="FFFFFF" w:themeFill="background1"/>
            <w:vAlign w:val="top"/>
          </w:tcPr>
          <w:p>
            <w:pPr>
              <w:pStyle w:val="8"/>
              <w:spacing w:before="248" w:line="172" w:lineRule="auto"/>
              <w:ind w:left="92"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6"/>
                <w:sz w:val="19"/>
                <w:szCs w:val="19"/>
                <w:lang w:val="en-US" w:eastAsia="zh-CN"/>
              </w:rPr>
              <w:t>16</w:t>
            </w:r>
            <w:r>
              <w:rPr>
                <w:b/>
                <w:bCs/>
                <w:spacing w:val="6"/>
                <w:sz w:val="19"/>
                <w:szCs w:val="19"/>
              </w:rPr>
              <w:t>:</w:t>
            </w:r>
            <w:r>
              <w:rPr>
                <w:rFonts w:hint="eastAsia"/>
                <w:b/>
                <w:bCs/>
                <w:spacing w:val="6"/>
                <w:sz w:val="19"/>
                <w:szCs w:val="19"/>
                <w:lang w:val="en-US" w:eastAsia="zh-CN"/>
              </w:rPr>
              <w:t>0</w:t>
            </w:r>
            <w:r>
              <w:rPr>
                <w:b/>
                <w:bCs/>
                <w:spacing w:val="6"/>
                <w:sz w:val="19"/>
                <w:szCs w:val="19"/>
              </w:rPr>
              <w:t>0</w:t>
            </w:r>
          </w:p>
        </w:tc>
        <w:tc>
          <w:tcPr>
            <w:tcW w:w="6344" w:type="dxa"/>
            <w:shd w:val="clear" w:color="auto" w:fill="FFFFFF" w:themeFill="background1"/>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欧元区3月制造业PMI终值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en-US"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shd w:val="clear" w:color="auto" w:fill="D3EAFF"/>
            <w:vAlign w:val="top"/>
          </w:tcPr>
          <w:p>
            <w:pPr>
              <w:pStyle w:val="8"/>
              <w:spacing w:before="252" w:line="170" w:lineRule="auto"/>
              <w:ind w:left="101" w:leftChars="0"/>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16</w:t>
            </w:r>
            <w:r>
              <w:rPr>
                <w:b/>
                <w:bCs/>
                <w:spacing w:val="5"/>
                <w:sz w:val="19"/>
                <w:szCs w:val="19"/>
              </w:rPr>
              <w:t>:</w:t>
            </w:r>
            <w:r>
              <w:rPr>
                <w:rFonts w:hint="eastAsia"/>
                <w:b/>
                <w:bCs/>
                <w:spacing w:val="5"/>
                <w:sz w:val="19"/>
                <w:szCs w:val="19"/>
                <w:lang w:val="en-US" w:eastAsia="zh-CN"/>
              </w:rPr>
              <w:t>30</w:t>
            </w:r>
          </w:p>
        </w:tc>
        <w:tc>
          <w:tcPr>
            <w:tcW w:w="6344" w:type="dxa"/>
            <w:shd w:val="clear" w:color="auto" w:fill="D3EAFF"/>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英国3月制造业PMI终值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w:t>
            </w:r>
            <w:r>
              <w:rPr>
                <w:b/>
                <w:bCs/>
                <w:spacing w:val="5"/>
                <w:sz w:val="19"/>
                <w:szCs w:val="19"/>
              </w:rPr>
              <w:t>:</w:t>
            </w:r>
            <w:r>
              <w:rPr>
                <w:rFonts w:hint="eastAsia"/>
                <w:b/>
                <w:bCs/>
                <w:spacing w:val="5"/>
                <w:sz w:val="19"/>
                <w:szCs w:val="19"/>
                <w:lang w:val="en-US" w:eastAsia="zh-CN"/>
              </w:rPr>
              <w:t>00</w:t>
            </w:r>
          </w:p>
        </w:tc>
        <w:tc>
          <w:tcPr>
            <w:tcW w:w="6344" w:type="dxa"/>
            <w:shd w:val="clear" w:color="auto" w:fill="FFFFFF" w:themeFill="background1"/>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德国3月调和CPI初值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22：00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美国2月耐用品订单环比终值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478" w:type="dxa"/>
            <w:shd w:val="clear" w:color="auto" w:fill="FFFFFF" w:themeFill="background1"/>
            <w:vAlign w:val="top"/>
          </w:tcPr>
          <w:p>
            <w:pPr>
              <w:pStyle w:val="8"/>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b/>
                <w:bCs/>
                <w:spacing w:val="5"/>
                <w:sz w:val="19"/>
                <w:szCs w:val="19"/>
                <w:lang w:val="en-US" w:eastAsia="zh-CN"/>
              </w:rPr>
              <w:t>8：30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日本3月服务业PMI终值、3月综合PMI终值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17：00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欧元区2月失业率、3月核心调和CPI初值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21：15</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美国3月ADP就业人数变动(万人)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21：45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美国3月Markit综合PMI终值、服务业PMI终值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22：00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美国3月ISM非制造业指数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22：30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美国3月29日当周EIA精炼油库存变动(万桶)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FFFFFF" w:themeFill="background1"/>
            <w:vAlign w:val="top"/>
          </w:tcPr>
          <w:p>
            <w:pPr>
              <w:pStyle w:val="8"/>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14：30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瑞士3月CPI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15：45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意大利3月服务业PMI、3月综合PMI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15：50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法国3月服务业PMI终值、3月综合PMI终值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15：55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德国3月综合PMI终值、3月服务业PMI终值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16：00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欧元区3月综合PMI终值、3月服务业PMI终值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16：30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英国3月综合PMI终值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17：00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欧元区2月PPI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美国3月23日当周续请失业救济人数、3月30日当周首次申请失业救济人数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4</w:t>
            </w:r>
          </w:p>
        </w:tc>
        <w:tc>
          <w:tcPr>
            <w:tcW w:w="1478" w:type="dxa"/>
            <w:shd w:val="clear" w:color="auto" w:fill="FFFFFF" w:themeFill="background1"/>
            <w:vAlign w:val="top"/>
          </w:tcPr>
          <w:p>
            <w:pPr>
              <w:pStyle w:val="8"/>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美国2月贸易帐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5</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8：30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澳大利亚2月商品及服务贸易帐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5</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14：00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德国2月季调后工厂订单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5</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17：00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欧元区2月零售销售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5</w:t>
            </w:r>
          </w:p>
        </w:tc>
        <w:tc>
          <w:tcPr>
            <w:tcW w:w="1478" w:type="dxa"/>
            <w:shd w:val="clear" w:color="auto" w:fill="FFFFFF" w:themeFill="background1"/>
            <w:vAlign w:val="top"/>
          </w:tcPr>
          <w:p>
            <w:pPr>
              <w:pStyle w:val="8"/>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default"/>
                <w:spacing w:val="25"/>
                <w:sz w:val="19"/>
                <w:szCs w:val="19"/>
                <w:lang w:val="en-US" w:eastAsia="zh-CN"/>
              </w:rPr>
              <w:t>美国3月失业率</w:t>
            </w:r>
            <w:r>
              <w:rPr>
                <w:rFonts w:hint="eastAsia"/>
                <w:spacing w:val="25"/>
                <w:sz w:val="19"/>
                <w:szCs w:val="19"/>
                <w:lang w:val="en-US" w:eastAsia="zh-CN"/>
              </w:rPr>
              <w:t>、美国3月非农就业人口变动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5</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加拿大3月失业率</w:t>
            </w:r>
            <w:r>
              <w:rPr>
                <w:rFonts w:hint="eastAsia"/>
                <w:spacing w:val="25"/>
                <w:sz w:val="19"/>
                <w:szCs w:val="19"/>
                <w:lang w:val="en-US" w:eastAsia="zh-CN"/>
              </w:rPr>
              <w:t>、3月季调后Ivey PMI</w:t>
            </w:r>
          </w:p>
        </w:tc>
      </w:tr>
    </w:tbl>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hint="eastAsia" w:ascii="微软雅黑" w:hAnsi="微软雅黑" w:eastAsia="微软雅黑" w:cs="微软雅黑"/>
          <w:color w:val="CE393F"/>
          <w:spacing w:val="8"/>
          <w:position w:val="2"/>
          <w:sz w:val="40"/>
          <w:szCs w:val="40"/>
          <w:lang w:eastAsia="zh-CN"/>
        </w:rPr>
      </w:pPr>
    </w:p>
    <w:p>
      <w:pPr>
        <w:spacing w:before="172" w:line="417" w:lineRule="exact"/>
        <w:rPr>
          <w:rFonts w:hint="eastAsia" w:ascii="微软雅黑" w:hAnsi="微软雅黑" w:eastAsia="微软雅黑" w:cs="微软雅黑"/>
          <w:color w:val="CE393F"/>
          <w:spacing w:val="8"/>
          <w:position w:val="2"/>
          <w:sz w:val="40"/>
          <w:szCs w:val="40"/>
          <w:lang w:eastAsia="zh-CN"/>
        </w:rPr>
      </w:pPr>
    </w:p>
    <w:p>
      <w:pPr>
        <w:spacing w:before="172" w:line="417" w:lineRule="exact"/>
        <w:rPr>
          <w:rFonts w:hint="eastAsia" w:ascii="微软雅黑" w:hAnsi="微软雅黑" w:eastAsia="微软雅黑" w:cs="微软雅黑"/>
          <w:color w:val="CE393F"/>
          <w:spacing w:val="8"/>
          <w:position w:val="2"/>
          <w:sz w:val="40"/>
          <w:szCs w:val="40"/>
          <w:lang w:eastAsia="zh-CN"/>
        </w:rPr>
      </w:pPr>
    </w:p>
    <w:p>
      <w:pPr>
        <w:spacing w:before="172" w:line="417" w:lineRule="exact"/>
        <w:rPr>
          <w:rFonts w:hint="eastAsia" w:ascii="微软雅黑" w:hAnsi="微软雅黑" w:eastAsia="微软雅黑" w:cs="微软雅黑"/>
          <w:color w:val="CE393F"/>
          <w:spacing w:val="8"/>
          <w:position w:val="2"/>
          <w:sz w:val="40"/>
          <w:szCs w:val="40"/>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15CB1165"/>
    <w:rsid w:val="00B22BA0"/>
    <w:rsid w:val="00E13486"/>
    <w:rsid w:val="00E15234"/>
    <w:rsid w:val="00E22773"/>
    <w:rsid w:val="019304DF"/>
    <w:rsid w:val="019F50C8"/>
    <w:rsid w:val="01F3521E"/>
    <w:rsid w:val="02297E10"/>
    <w:rsid w:val="027E160A"/>
    <w:rsid w:val="03655CA8"/>
    <w:rsid w:val="03A2514E"/>
    <w:rsid w:val="03AC1797"/>
    <w:rsid w:val="03D60172"/>
    <w:rsid w:val="03E07A24"/>
    <w:rsid w:val="03F75516"/>
    <w:rsid w:val="03F90AE6"/>
    <w:rsid w:val="045B0C31"/>
    <w:rsid w:val="061C7051"/>
    <w:rsid w:val="065A3ABE"/>
    <w:rsid w:val="06CE0008"/>
    <w:rsid w:val="07943000"/>
    <w:rsid w:val="09AF791D"/>
    <w:rsid w:val="09B131C5"/>
    <w:rsid w:val="0AEB73DB"/>
    <w:rsid w:val="0BBF0178"/>
    <w:rsid w:val="0D3E0A93"/>
    <w:rsid w:val="0D8C6527"/>
    <w:rsid w:val="0DAE2941"/>
    <w:rsid w:val="10507CE0"/>
    <w:rsid w:val="109C4CD3"/>
    <w:rsid w:val="10ED552F"/>
    <w:rsid w:val="113969C6"/>
    <w:rsid w:val="11C049F1"/>
    <w:rsid w:val="12FE3A23"/>
    <w:rsid w:val="13B660AC"/>
    <w:rsid w:val="1448764C"/>
    <w:rsid w:val="14C86AF0"/>
    <w:rsid w:val="14CC2FF3"/>
    <w:rsid w:val="153B1E45"/>
    <w:rsid w:val="15CB1165"/>
    <w:rsid w:val="16746137"/>
    <w:rsid w:val="16BE1E47"/>
    <w:rsid w:val="16E1792E"/>
    <w:rsid w:val="1774742B"/>
    <w:rsid w:val="17BB1EE3"/>
    <w:rsid w:val="17E610B2"/>
    <w:rsid w:val="181B0BD3"/>
    <w:rsid w:val="191F64A1"/>
    <w:rsid w:val="1C0C0F5F"/>
    <w:rsid w:val="1C3E1334"/>
    <w:rsid w:val="1C876837"/>
    <w:rsid w:val="1F1702FA"/>
    <w:rsid w:val="209B6D55"/>
    <w:rsid w:val="20EE157B"/>
    <w:rsid w:val="23783845"/>
    <w:rsid w:val="252E01A9"/>
    <w:rsid w:val="254E25E8"/>
    <w:rsid w:val="258A1A44"/>
    <w:rsid w:val="25E82A3D"/>
    <w:rsid w:val="25FA62CC"/>
    <w:rsid w:val="26556842"/>
    <w:rsid w:val="272B0702"/>
    <w:rsid w:val="28CB3F50"/>
    <w:rsid w:val="28DA4193"/>
    <w:rsid w:val="296248B4"/>
    <w:rsid w:val="2A693A20"/>
    <w:rsid w:val="2BFF63EA"/>
    <w:rsid w:val="2C273B93"/>
    <w:rsid w:val="2C340A16"/>
    <w:rsid w:val="2C7A3CC3"/>
    <w:rsid w:val="2C950AFD"/>
    <w:rsid w:val="2CA549FA"/>
    <w:rsid w:val="2D6D04F5"/>
    <w:rsid w:val="2D7E77E3"/>
    <w:rsid w:val="2DA94CCC"/>
    <w:rsid w:val="2DB33930"/>
    <w:rsid w:val="2DE55AB4"/>
    <w:rsid w:val="2FB77A00"/>
    <w:rsid w:val="30161400"/>
    <w:rsid w:val="315E3BB3"/>
    <w:rsid w:val="31772CB5"/>
    <w:rsid w:val="32827D75"/>
    <w:rsid w:val="3340448D"/>
    <w:rsid w:val="34A83397"/>
    <w:rsid w:val="355B69C7"/>
    <w:rsid w:val="359A0F9A"/>
    <w:rsid w:val="3709636F"/>
    <w:rsid w:val="37C66B95"/>
    <w:rsid w:val="386B1064"/>
    <w:rsid w:val="38E928FC"/>
    <w:rsid w:val="391972DE"/>
    <w:rsid w:val="398E0DAD"/>
    <w:rsid w:val="3A557E84"/>
    <w:rsid w:val="3C9C6B06"/>
    <w:rsid w:val="3D617FF5"/>
    <w:rsid w:val="3E3143FD"/>
    <w:rsid w:val="3E351665"/>
    <w:rsid w:val="3E5227DD"/>
    <w:rsid w:val="3EB56DDC"/>
    <w:rsid w:val="3ED01E68"/>
    <w:rsid w:val="3EE17BD1"/>
    <w:rsid w:val="3EEA117C"/>
    <w:rsid w:val="3F2F2BC2"/>
    <w:rsid w:val="40195CBF"/>
    <w:rsid w:val="40FB7670"/>
    <w:rsid w:val="41662610"/>
    <w:rsid w:val="43A37B4B"/>
    <w:rsid w:val="44BF6C07"/>
    <w:rsid w:val="452E1696"/>
    <w:rsid w:val="45CD7101"/>
    <w:rsid w:val="45E84D52"/>
    <w:rsid w:val="45EF7078"/>
    <w:rsid w:val="46080139"/>
    <w:rsid w:val="46761547"/>
    <w:rsid w:val="46BA1434"/>
    <w:rsid w:val="47AD0F98"/>
    <w:rsid w:val="4800731A"/>
    <w:rsid w:val="48AF2AEE"/>
    <w:rsid w:val="48EF45ED"/>
    <w:rsid w:val="497004D0"/>
    <w:rsid w:val="49B44860"/>
    <w:rsid w:val="4A3247E1"/>
    <w:rsid w:val="4B0D1F8E"/>
    <w:rsid w:val="4BBC1E80"/>
    <w:rsid w:val="4C042EE1"/>
    <w:rsid w:val="4CB17D0E"/>
    <w:rsid w:val="4D185106"/>
    <w:rsid w:val="4FF5172F"/>
    <w:rsid w:val="50DC644B"/>
    <w:rsid w:val="531243A6"/>
    <w:rsid w:val="5358625C"/>
    <w:rsid w:val="537A3091"/>
    <w:rsid w:val="53BE6ABC"/>
    <w:rsid w:val="551B5793"/>
    <w:rsid w:val="55741347"/>
    <w:rsid w:val="57082D0C"/>
    <w:rsid w:val="573E7E5F"/>
    <w:rsid w:val="576A78C0"/>
    <w:rsid w:val="58B303D9"/>
    <w:rsid w:val="58E203E2"/>
    <w:rsid w:val="59514C56"/>
    <w:rsid w:val="59D2663D"/>
    <w:rsid w:val="5ACE00A3"/>
    <w:rsid w:val="5B5119C1"/>
    <w:rsid w:val="5BD448EE"/>
    <w:rsid w:val="5C49715E"/>
    <w:rsid w:val="5C5951DB"/>
    <w:rsid w:val="5CA44735"/>
    <w:rsid w:val="5CFD1C22"/>
    <w:rsid w:val="5F351B48"/>
    <w:rsid w:val="5F3F6522"/>
    <w:rsid w:val="5FBA204D"/>
    <w:rsid w:val="607E12CC"/>
    <w:rsid w:val="61F5736C"/>
    <w:rsid w:val="62CC424E"/>
    <w:rsid w:val="62EB67A0"/>
    <w:rsid w:val="66ED2D08"/>
    <w:rsid w:val="67660125"/>
    <w:rsid w:val="686E1C26"/>
    <w:rsid w:val="68F06DD6"/>
    <w:rsid w:val="69672440"/>
    <w:rsid w:val="6BCC7390"/>
    <w:rsid w:val="6BCC7750"/>
    <w:rsid w:val="6C44102E"/>
    <w:rsid w:val="6CC60CEF"/>
    <w:rsid w:val="6D981752"/>
    <w:rsid w:val="6E9A3775"/>
    <w:rsid w:val="6EF72976"/>
    <w:rsid w:val="6FC84312"/>
    <w:rsid w:val="71184E25"/>
    <w:rsid w:val="715C11B6"/>
    <w:rsid w:val="71DD14ED"/>
    <w:rsid w:val="724B3941"/>
    <w:rsid w:val="72740122"/>
    <w:rsid w:val="72750E87"/>
    <w:rsid w:val="73B76B77"/>
    <w:rsid w:val="74B3627D"/>
    <w:rsid w:val="74BA06CD"/>
    <w:rsid w:val="759727BC"/>
    <w:rsid w:val="75B21FBB"/>
    <w:rsid w:val="75E1200D"/>
    <w:rsid w:val="77764653"/>
    <w:rsid w:val="77FA7033"/>
    <w:rsid w:val="7A1C14E2"/>
    <w:rsid w:val="7AAC6D0A"/>
    <w:rsid w:val="7B904BED"/>
    <w:rsid w:val="7C1A5EF5"/>
    <w:rsid w:val="7C75457A"/>
    <w:rsid w:val="7D252DA4"/>
    <w:rsid w:val="7E2E5C88"/>
    <w:rsid w:val="7E755665"/>
    <w:rsid w:val="7F141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oleObject" Target="file:///E:\&#21508;&#21697;&#31181;\3&#12289;&#38081;&#30719;&#30707;\&#25968;&#25454;&#24211;\1&#12289;&#38081;&#30719;&#30707;&#28207;&#21475;&#24211;&#23384;.xlsx!45&#28207;&#24211;&#23384;&#37327;!%5b1&#12289;&#38081;&#30719;&#30707;&#28207;&#21475;&#24211;&#23384;.xlsx%5d45&#28207;&#24211;&#23384;&#37327;%20&#22270;&#34920;%202" TargetMode="External"/><Relationship Id="rId25" Type="http://schemas.openxmlformats.org/officeDocument/2006/relationships/image" Target="media/image17.emf"/><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oleObject" Target="file:///D:\SUGA&#24037;&#20316;\SUGA&#24037;&#20316;\2&#38108;\&#21697;&#31181;--&#25968;&#25454;&#24211;\&#25968;&#25454;&#24211;\3&#19978;&#28216;.xlsx!TC&#25351;&#25968;!%5b3&#19978;&#28216;.xlsx%5dTC&#25351;&#25968;%20&#22270;&#34920;%204" TargetMode="External"/><Relationship Id="rId17" Type="http://schemas.openxmlformats.org/officeDocument/2006/relationships/image" Target="media/image10.emf"/><Relationship Id="rId16" Type="http://schemas.openxmlformats.org/officeDocument/2006/relationships/oleObject" Target="file:///D:\SUGA&#24037;&#20316;\SUGA&#24037;&#20316;\2&#38108;\&#21697;&#31181;--&#25968;&#25454;&#24211;\&#25968;&#25454;&#24211;\4&#20135;&#19994;.xlsx!&#20132;&#26131;&#25152;&#24211;&#23384;!%5b4&#20135;&#19994;.xlsx%5d&#20132;&#26131;&#25152;&#24211;&#23384;%20&#22270;&#34920;%201" TargetMode="External"/><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3810</Words>
  <Characters>4815</Characters>
  <Lines>0</Lines>
  <Paragraphs>0</Paragraphs>
  <TotalTime>0</TotalTime>
  <ScaleCrop>false</ScaleCrop>
  <LinksUpToDate>false</LinksUpToDate>
  <CharactersWithSpaces>4915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2024-04-01T00:03:00Z</dcterms:created>
  <dc:creator>WPS_1180513195</dc:creator>
  <cp:lastModifiedBy>WPS_1180513195</cp:lastModifiedBy>
  <dcterms:modified xsi:type="dcterms:W3CDTF">2024-04-01T02:05:57Z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224574E9CA40411CA586FC1D69C05E8B_11</vt:lpwstr>
  </property>
</Properties>
</file>