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g4TsGrIBAABe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8</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2"/>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2"/>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ascii="微软雅黑" w:hAnsi="微软雅黑" w:eastAsia="微软雅黑" w:cs="微软雅黑"/>
          <w:spacing w:val="4"/>
          <w:sz w:val="24"/>
          <w:szCs w:val="24"/>
        </w:rPr>
        <w:t>截至</w:t>
      </w:r>
      <w:r>
        <w:rPr>
          <w:rFonts w:hint="eastAsia" w:ascii="微软雅黑" w:hAnsi="微软雅黑" w:eastAsia="微软雅黑" w:cs="微软雅黑"/>
          <w:spacing w:val="4"/>
          <w:sz w:val="24"/>
          <w:szCs w:val="24"/>
          <w:lang w:val="en-US" w:eastAsia="zh-CN"/>
        </w:rPr>
        <w:t>4</w:t>
      </w:r>
      <w:r>
        <w:rPr>
          <w:rFonts w:ascii="微软雅黑" w:hAnsi="微软雅黑" w:eastAsia="微软雅黑" w:cs="微软雅黑"/>
          <w:spacing w:val="4"/>
          <w:sz w:val="24"/>
          <w:szCs w:val="24"/>
        </w:rPr>
        <w:t>月</w:t>
      </w:r>
      <w:r>
        <w:rPr>
          <w:rFonts w:hint="eastAsia" w:ascii="微软雅黑" w:hAnsi="微软雅黑" w:eastAsia="微软雅黑" w:cs="微软雅黑"/>
          <w:spacing w:val="4"/>
          <w:sz w:val="24"/>
          <w:szCs w:val="24"/>
          <w:lang w:val="en-US" w:eastAsia="zh-CN"/>
        </w:rPr>
        <w:t>8</w:t>
      </w:r>
      <w:r>
        <w:rPr>
          <w:rFonts w:ascii="微软雅黑" w:hAnsi="微软雅黑" w:eastAsia="微软雅黑" w:cs="微软雅黑"/>
          <w:spacing w:val="4"/>
          <w:sz w:val="24"/>
          <w:szCs w:val="24"/>
        </w:rPr>
        <w:t>日，</w:t>
      </w:r>
      <w:r>
        <w:rPr>
          <w:rFonts w:hint="eastAsia" w:ascii="微软雅黑" w:hAnsi="微软雅黑" w:eastAsia="微软雅黑" w:cs="微软雅黑"/>
          <w:spacing w:val="4"/>
          <w:sz w:val="24"/>
          <w:szCs w:val="24"/>
          <w:lang w:val="en-US" w:eastAsia="zh-CN"/>
        </w:rPr>
        <w:t>上周</w:t>
      </w:r>
      <w:r>
        <w:rPr>
          <w:rFonts w:ascii="微软雅黑" w:hAnsi="微软雅黑" w:eastAsia="微软雅黑" w:cs="微软雅黑"/>
          <w:spacing w:val="4"/>
          <w:sz w:val="24"/>
          <w:szCs w:val="24"/>
        </w:rPr>
        <w:t>富时中国A50</w:t>
      </w:r>
      <w:r>
        <w:rPr>
          <w:rFonts w:hint="eastAsia" w:ascii="微软雅黑" w:hAnsi="微软雅黑" w:eastAsia="微软雅黑" w:cs="微软雅黑"/>
          <w:spacing w:val="4"/>
          <w:sz w:val="24"/>
          <w:szCs w:val="24"/>
          <w:lang w:val="en-US" w:eastAsia="zh-CN"/>
        </w:rPr>
        <w:t>涨0.79%</w:t>
      </w:r>
      <w:r>
        <w:rPr>
          <w:rFonts w:ascii="微软雅黑" w:hAnsi="微软雅黑" w:eastAsia="微软雅黑" w:cs="微软雅黑"/>
          <w:spacing w:val="4"/>
          <w:sz w:val="24"/>
          <w:szCs w:val="24"/>
        </w:rPr>
        <w:t>报1</w:t>
      </w:r>
      <w:r>
        <w:rPr>
          <w:rFonts w:hint="eastAsia" w:ascii="微软雅黑" w:hAnsi="微软雅黑" w:eastAsia="微软雅黑" w:cs="微软雅黑"/>
          <w:spacing w:val="4"/>
          <w:sz w:val="24"/>
          <w:szCs w:val="24"/>
          <w:lang w:val="en-US" w:eastAsia="zh-CN"/>
        </w:rPr>
        <w:t>2232.62</w:t>
      </w:r>
      <w:r>
        <w:rPr>
          <w:rFonts w:ascii="微软雅黑" w:hAnsi="微软雅黑" w:eastAsia="微软雅黑" w:cs="微软雅黑"/>
          <w:spacing w:val="4"/>
          <w:sz w:val="24"/>
          <w:szCs w:val="24"/>
        </w:rPr>
        <w:t>，标准普尔500指数</w:t>
      </w:r>
      <w:r>
        <w:rPr>
          <w:rFonts w:hint="eastAsia" w:ascii="微软雅黑" w:hAnsi="微软雅黑" w:eastAsia="微软雅黑" w:cs="微软雅黑"/>
          <w:spacing w:val="4"/>
          <w:sz w:val="24"/>
          <w:szCs w:val="24"/>
          <w:lang w:val="en-US" w:eastAsia="zh-CN"/>
        </w:rPr>
        <w:t>跌0.95%</w:t>
      </w:r>
      <w:r>
        <w:rPr>
          <w:rFonts w:ascii="微软雅黑" w:hAnsi="微软雅黑" w:eastAsia="微软雅黑" w:cs="微软雅黑"/>
          <w:spacing w:val="5"/>
          <w:sz w:val="24"/>
          <w:szCs w:val="24"/>
        </w:rPr>
        <w:t>报5</w:t>
      </w:r>
      <w:r>
        <w:rPr>
          <w:rFonts w:hint="eastAsia" w:ascii="微软雅黑" w:hAnsi="微软雅黑" w:eastAsia="微软雅黑" w:cs="微软雅黑"/>
          <w:spacing w:val="5"/>
          <w:sz w:val="24"/>
          <w:szCs w:val="24"/>
          <w:lang w:val="en-US" w:eastAsia="zh-CN"/>
        </w:rPr>
        <w:t>204.34。美国3月非农就业人数大超预期，市场预计在今年6月完成首次降息的概率已经大幅降至45%左右，受此影响，美股和日本股市出现明显回调，港股波澜不惊，相对抗跌。</w:t>
      </w:r>
      <w:r>
        <w:rPr>
          <w:rFonts w:ascii="微软雅黑" w:hAnsi="微软雅黑" w:eastAsia="微软雅黑" w:cs="微软雅黑"/>
          <w:spacing w:val="5"/>
          <w:sz w:val="24"/>
          <w:szCs w:val="24"/>
        </w:rPr>
        <w:t>美元兑离岸人民币</w:t>
      </w:r>
      <w:r>
        <w:rPr>
          <w:rFonts w:hint="eastAsia" w:ascii="微软雅黑" w:hAnsi="微软雅黑" w:eastAsia="微软雅黑" w:cs="微软雅黑"/>
          <w:spacing w:val="5"/>
          <w:sz w:val="24"/>
          <w:szCs w:val="24"/>
          <w:lang w:val="en-US" w:eastAsia="zh-CN"/>
        </w:rPr>
        <w:t>跌0.14</w:t>
      </w:r>
      <w:r>
        <w:rPr>
          <w:rFonts w:ascii="微软雅黑" w:hAnsi="微软雅黑" w:eastAsia="微软雅黑" w:cs="微软雅黑"/>
          <w:spacing w:val="5"/>
          <w:sz w:val="24"/>
          <w:szCs w:val="24"/>
        </w:rPr>
        <w:t>%报</w:t>
      </w:r>
      <w:r>
        <w:rPr>
          <w:rFonts w:ascii="微软雅黑" w:hAnsi="微软雅黑" w:eastAsia="微软雅黑" w:cs="微软雅黑"/>
          <w:spacing w:val="4"/>
          <w:sz w:val="24"/>
          <w:szCs w:val="24"/>
        </w:rPr>
        <w:t>7.2</w:t>
      </w:r>
      <w:r>
        <w:rPr>
          <w:rFonts w:hint="eastAsia" w:ascii="微软雅黑" w:hAnsi="微软雅黑" w:eastAsia="微软雅黑" w:cs="微软雅黑"/>
          <w:spacing w:val="4"/>
          <w:sz w:val="24"/>
          <w:szCs w:val="24"/>
          <w:lang w:val="en-US" w:eastAsia="zh-CN"/>
        </w:rPr>
        <w:t>472</w:t>
      </w:r>
      <w:r>
        <w:rPr>
          <w:rFonts w:ascii="微软雅黑" w:hAnsi="微软雅黑" w:eastAsia="微软雅黑" w:cs="微软雅黑"/>
          <w:spacing w:val="4"/>
          <w:sz w:val="24"/>
          <w:szCs w:val="24"/>
        </w:rPr>
        <w:t>人民币/美元，</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w:t>
      </w:r>
      <w:r>
        <w:rPr>
          <w:rFonts w:hint="eastAsia" w:ascii="微软雅黑" w:hAnsi="微软雅黑" w:eastAsia="微软雅黑" w:cs="微软雅黑"/>
          <w:spacing w:val="4"/>
          <w:sz w:val="24"/>
          <w:szCs w:val="24"/>
          <w:lang w:val="en-US" w:eastAsia="zh-CN"/>
        </w:rPr>
        <w:t>涨5.47%</w:t>
      </w:r>
      <w:r>
        <w:rPr>
          <w:rFonts w:ascii="微软雅黑" w:hAnsi="微软雅黑" w:eastAsia="微软雅黑" w:cs="微软雅黑"/>
          <w:spacing w:val="4"/>
          <w:sz w:val="24"/>
          <w:szCs w:val="24"/>
        </w:rPr>
        <w:t>报</w:t>
      </w:r>
      <w:r>
        <w:rPr>
          <w:rFonts w:hint="eastAsia" w:ascii="微软雅黑" w:hAnsi="微软雅黑" w:eastAsia="微软雅黑" w:cs="微软雅黑"/>
          <w:spacing w:val="2"/>
          <w:sz w:val="24"/>
          <w:szCs w:val="24"/>
          <w:lang w:val="en-US" w:eastAsia="zh-CN"/>
        </w:rPr>
        <w:t>9303</w:t>
      </w:r>
      <w:r>
        <w:rPr>
          <w:rFonts w:ascii="微软雅黑" w:hAnsi="微软雅黑" w:eastAsia="微软雅黑" w:cs="微软雅黑"/>
          <w:spacing w:val="2"/>
          <w:sz w:val="24"/>
          <w:szCs w:val="24"/>
        </w:rPr>
        <w:t>美元/吨，</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w:t>
      </w:r>
      <w:r>
        <w:rPr>
          <w:rFonts w:hint="eastAsia" w:ascii="微软雅黑" w:hAnsi="微软雅黑" w:eastAsia="微软雅黑" w:cs="微软雅黑"/>
          <w:spacing w:val="2"/>
          <w:sz w:val="24"/>
          <w:szCs w:val="24"/>
          <w:lang w:val="en-US" w:eastAsia="zh-CN"/>
        </w:rPr>
        <w:t>4.20</w:t>
      </w:r>
      <w:r>
        <w:rPr>
          <w:rFonts w:ascii="微软雅黑" w:hAnsi="微软雅黑" w:eastAsia="微软雅黑" w:cs="微软雅黑"/>
          <w:spacing w:val="2"/>
          <w:sz w:val="24"/>
          <w:szCs w:val="24"/>
        </w:rPr>
        <w:t>%报</w:t>
      </w:r>
      <w:r>
        <w:rPr>
          <w:rFonts w:hint="eastAsia" w:ascii="微软雅黑" w:hAnsi="微软雅黑" w:eastAsia="微软雅黑" w:cs="微软雅黑"/>
          <w:spacing w:val="2"/>
          <w:sz w:val="24"/>
          <w:szCs w:val="24"/>
          <w:lang w:val="en-US" w:eastAsia="zh-CN"/>
        </w:rPr>
        <w:t>2349.1</w:t>
      </w:r>
      <w:r>
        <w:rPr>
          <w:rFonts w:ascii="微软雅黑" w:hAnsi="微软雅黑" w:eastAsia="微软雅黑" w:cs="微软雅黑"/>
          <w:spacing w:val="2"/>
          <w:sz w:val="24"/>
          <w:szCs w:val="24"/>
        </w:rPr>
        <w:t>美元/盎司，</w:t>
      </w:r>
      <w:r>
        <w:rPr>
          <w:rFonts w:hint="eastAsia" w:ascii="微软雅黑" w:hAnsi="微软雅黑" w:eastAsia="微软雅黑" w:cs="微软雅黑"/>
          <w:spacing w:val="2"/>
          <w:sz w:val="24"/>
          <w:szCs w:val="24"/>
          <w:lang w:val="en-US" w:eastAsia="zh-CN"/>
        </w:rPr>
        <w:t>持续刷新历史新高；</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w:t>
      </w:r>
      <w:r>
        <w:rPr>
          <w:rFonts w:hint="eastAsia" w:ascii="微软雅黑" w:hAnsi="微软雅黑" w:eastAsia="微软雅黑" w:cs="微软雅黑"/>
          <w:spacing w:val="2"/>
          <w:sz w:val="24"/>
          <w:szCs w:val="24"/>
          <w:lang w:val="en-US" w:eastAsia="zh-CN"/>
        </w:rPr>
        <w:t>涨10.44</w:t>
      </w:r>
      <w:r>
        <w:rPr>
          <w:rFonts w:ascii="微软雅黑" w:hAnsi="微软雅黑" w:eastAsia="微软雅黑" w:cs="微软雅黑"/>
          <w:spacing w:val="2"/>
          <w:sz w:val="24"/>
          <w:szCs w:val="24"/>
        </w:rPr>
        <w:t>%</w:t>
      </w:r>
      <w:r>
        <w:rPr>
          <w:rFonts w:ascii="微软雅黑" w:hAnsi="微软雅黑" w:eastAsia="微软雅黑" w:cs="微软雅黑"/>
          <w:spacing w:val="12"/>
          <w:sz w:val="24"/>
          <w:szCs w:val="24"/>
        </w:rPr>
        <w:t>报</w:t>
      </w:r>
      <w:r>
        <w:rPr>
          <w:rFonts w:hint="eastAsia" w:ascii="微软雅黑" w:hAnsi="微软雅黑" w:eastAsia="微软雅黑" w:cs="微软雅黑"/>
          <w:spacing w:val="12"/>
          <w:sz w:val="24"/>
          <w:szCs w:val="24"/>
          <w:lang w:val="en-US" w:eastAsia="zh-CN"/>
        </w:rPr>
        <w:t>27.6</w:t>
      </w:r>
      <w:r>
        <w:rPr>
          <w:rFonts w:ascii="微软雅黑" w:hAnsi="微软雅黑" w:eastAsia="微软雅黑" w:cs="微软雅黑"/>
          <w:spacing w:val="12"/>
          <w:sz w:val="24"/>
          <w:szCs w:val="24"/>
        </w:rPr>
        <w:t>美元/盎司。</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原糖期货</w:t>
      </w:r>
      <w:r>
        <w:rPr>
          <w:rFonts w:hint="eastAsia" w:ascii="微软雅黑" w:hAnsi="微软雅黑" w:eastAsia="微软雅黑" w:cs="微软雅黑"/>
          <w:spacing w:val="12"/>
          <w:sz w:val="24"/>
          <w:szCs w:val="24"/>
          <w:lang w:val="en-US" w:eastAsia="zh-CN"/>
        </w:rPr>
        <w:t>周度跌幅2.53</w:t>
      </w:r>
      <w:r>
        <w:rPr>
          <w:rFonts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棉跌</w:t>
      </w:r>
      <w:r>
        <w:rPr>
          <w:rFonts w:hint="eastAsia" w:ascii="微软雅黑" w:hAnsi="微软雅黑" w:eastAsia="微软雅黑" w:cs="微软雅黑"/>
          <w:spacing w:val="12"/>
          <w:sz w:val="24"/>
          <w:szCs w:val="24"/>
          <w:lang w:val="en-US" w:eastAsia="zh-CN"/>
        </w:rPr>
        <w:t>5.68</w:t>
      </w:r>
      <w:r>
        <w:rPr>
          <w:rFonts w:ascii="微软雅黑" w:hAnsi="微软雅黑" w:eastAsia="微软雅黑" w:cs="微软雅黑"/>
          <w:spacing w:val="3"/>
          <w:sz w:val="24"/>
          <w:szCs w:val="24"/>
        </w:rPr>
        <w:t>%，</w:t>
      </w:r>
      <w:r>
        <w:rPr>
          <w:rFonts w:hint="eastAsia" w:ascii="微软雅黑" w:hAnsi="微软雅黑" w:eastAsia="微软雅黑" w:cs="微软雅黑"/>
          <w:sz w:val="24"/>
          <w:szCs w:val="24"/>
          <w:lang w:val="en-US" w:eastAsia="zh-CN"/>
        </w:rPr>
        <w:t>MB</w:t>
      </w:r>
      <w:r>
        <w:rPr>
          <w:rFonts w:ascii="微软雅黑" w:hAnsi="微软雅黑" w:eastAsia="微软雅黑" w:cs="微软雅黑"/>
          <w:spacing w:val="3"/>
          <w:sz w:val="24"/>
          <w:szCs w:val="24"/>
        </w:rPr>
        <w:t>铁矿石</w:t>
      </w:r>
      <w:r>
        <w:rPr>
          <w:rFonts w:hint="eastAsia" w:ascii="微软雅黑" w:hAnsi="微软雅黑" w:eastAsia="微软雅黑" w:cs="微软雅黑"/>
          <w:spacing w:val="3"/>
          <w:sz w:val="24"/>
          <w:szCs w:val="24"/>
          <w:lang w:val="en-US" w:eastAsia="zh-CN"/>
        </w:rPr>
        <w:t>跌9.33%</w:t>
      </w:r>
      <w:r>
        <w:rPr>
          <w:rFonts w:hint="eastAsia" w:ascii="微软雅黑" w:hAnsi="微软雅黑" w:eastAsia="微软雅黑" w:cs="微软雅黑"/>
          <w:spacing w:val="3"/>
          <w:sz w:val="24"/>
          <w:szCs w:val="24"/>
          <w:lang w:eastAsia="zh-CN"/>
        </w:rPr>
        <w:t>。</w:t>
      </w:r>
    </w:p>
    <w:p>
      <w:pPr>
        <w:spacing w:before="235" w:line="176" w:lineRule="auto"/>
        <w:ind w:firstLine="254" w:firstLineChars="100"/>
        <w:rPr>
          <w:rFonts w:ascii="微软雅黑" w:hAnsi="微软雅黑" w:eastAsia="微软雅黑" w:cs="微软雅黑"/>
          <w:spacing w:val="7"/>
          <w:sz w:val="24"/>
          <w:szCs w:val="24"/>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spacing w:before="235" w:line="176" w:lineRule="auto"/>
        <w:ind w:firstLine="210" w:firstLineChars="100"/>
        <w:jc w:val="both"/>
        <w:rPr>
          <w:rFonts w:hint="eastAsia" w:ascii="微软雅黑" w:hAnsi="微软雅黑" w:eastAsia="微软雅黑" w:cs="微软雅黑"/>
          <w:spacing w:val="3"/>
          <w:sz w:val="24"/>
          <w:szCs w:val="24"/>
          <w:lang w:eastAsia="zh-CN"/>
        </w:rPr>
      </w:pPr>
      <w:r>
        <w:drawing>
          <wp:inline distT="0" distB="0" distL="114300" distR="114300">
            <wp:extent cx="6131560" cy="3352165"/>
            <wp:effectExtent l="0" t="0" r="254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6131560" cy="3352165"/>
                    </a:xfrm>
                    <a:prstGeom prst="rect">
                      <a:avLst/>
                    </a:prstGeom>
                    <a:noFill/>
                    <a:ln>
                      <a:noFill/>
                    </a:ln>
                  </pic:spPr>
                </pic:pic>
              </a:graphicData>
            </a:graphic>
          </wp:inline>
        </w:drawing>
      </w:r>
    </w:p>
    <w:p>
      <w:pPr>
        <w:spacing w:before="235" w:line="176" w:lineRule="auto"/>
        <w:ind w:firstLine="194" w:firstLineChars="100"/>
        <w:rPr>
          <w:rFonts w:hint="default" w:ascii="微软雅黑" w:hAnsi="微软雅黑" w:eastAsia="微软雅黑" w:cs="微软雅黑"/>
          <w:sz w:val="18"/>
          <w:szCs w:val="18"/>
          <w:lang w:val="en-US" w:eastAsia="zh-CN"/>
        </w:rPr>
      </w:pPr>
      <w:r>
        <w:rPr>
          <w:rFonts w:hint="eastAsia" w:ascii="微软雅黑" w:hAnsi="微软雅黑" w:eastAsia="微软雅黑" w:cs="微软雅黑"/>
          <w:spacing w:val="7"/>
          <w:sz w:val="18"/>
          <w:szCs w:val="18"/>
          <w:lang w:val="en-US" w:eastAsia="zh-CN"/>
        </w:rPr>
        <w:t>资料来源：公开资料整理，瑞达国际</w:t>
      </w:r>
    </w:p>
    <w:p>
      <w:pPr>
        <w:pStyle w:val="2"/>
        <w:spacing w:line="282" w:lineRule="auto"/>
      </w:pPr>
    </w:p>
    <w:p>
      <w:pPr>
        <w:pStyle w:val="2"/>
        <w:spacing w:line="282" w:lineRule="auto"/>
      </w:pPr>
    </w:p>
    <w:p>
      <w:pPr>
        <w:pStyle w:val="2"/>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val="en-US" w:eastAsia="zh-CN"/>
        </w:rPr>
        <w:t>3</w:t>
      </w:r>
      <w:r>
        <w:rPr>
          <w:rFonts w:hint="eastAsia" w:ascii="微软雅黑" w:hAnsi="微软雅黑" w:eastAsia="微软雅黑" w:cs="微软雅黑"/>
          <w:spacing w:val="-4"/>
          <w:sz w:val="24"/>
          <w:szCs w:val="24"/>
          <w:lang w:val="en-US" w:eastAsia="zh-CN"/>
        </w:rPr>
        <w:t>月全球PMI为50.3%，较上月上升1.2个百分点，结束了连续17个月50%以下运行的走势，重回扩张区间。</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3"/>
          <w:sz w:val="24"/>
          <w:szCs w:val="24"/>
        </w:rPr>
        <w:t>【</w:t>
      </w:r>
      <w:r>
        <w:rPr>
          <w:rFonts w:ascii="微软雅黑" w:hAnsi="微软雅黑" w:eastAsia="微软雅黑" w:cs="微软雅黑"/>
          <w:spacing w:val="-4"/>
          <w:sz w:val="24"/>
          <w:szCs w:val="24"/>
        </w:rPr>
        <w:t>美国3月季调后非农就业人口增30.3万人，为2023年5月以来最大增幅，</w:t>
      </w:r>
      <w:r>
        <w:rPr>
          <w:rFonts w:hint="eastAsia" w:ascii="微软雅黑" w:hAnsi="微软雅黑" w:eastAsia="微软雅黑" w:cs="微软雅黑"/>
          <w:spacing w:val="-4"/>
          <w:sz w:val="24"/>
          <w:szCs w:val="24"/>
          <w:lang w:val="en-US" w:eastAsia="zh-CN"/>
        </w:rPr>
        <w:t>远高于预期值</w:t>
      </w:r>
      <w:r>
        <w:rPr>
          <w:rFonts w:ascii="微软雅黑" w:hAnsi="微软雅黑" w:eastAsia="微软雅黑" w:cs="微软雅黑"/>
          <w:spacing w:val="-4"/>
          <w:sz w:val="24"/>
          <w:szCs w:val="24"/>
        </w:rPr>
        <w:t>2</w:t>
      </w:r>
      <w:r>
        <w:rPr>
          <w:rFonts w:hint="eastAsia" w:ascii="微软雅黑" w:hAnsi="微软雅黑" w:eastAsia="微软雅黑" w:cs="微软雅黑"/>
          <w:spacing w:val="-4"/>
          <w:sz w:val="24"/>
          <w:szCs w:val="24"/>
          <w:lang w:val="en-US" w:eastAsia="zh-CN"/>
        </w:rPr>
        <w:t>1.4</w:t>
      </w:r>
      <w:r>
        <w:rPr>
          <w:rFonts w:ascii="微软雅黑" w:hAnsi="微软雅黑" w:eastAsia="微软雅黑" w:cs="微软雅黑"/>
          <w:spacing w:val="-4"/>
          <w:sz w:val="24"/>
          <w:szCs w:val="24"/>
        </w:rPr>
        <w:t>万人</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鲍威尔表示，劳动力市场疲软将是降息的一个刺激因素，但目前就业恶化迹象并不多。甚至有美联储理事激进表示“现在不是降息的时候，如果通胀进展停滞，我们仍愿意加息”。</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【美国3月ISM制造业PMI</w:t>
      </w:r>
      <w:r>
        <w:rPr>
          <w:rFonts w:hint="eastAsia" w:ascii="微软雅黑" w:hAnsi="微软雅黑" w:eastAsia="微软雅黑" w:cs="微软雅黑"/>
          <w:spacing w:val="4"/>
          <w:sz w:val="24"/>
          <w:szCs w:val="24"/>
          <w:lang w:val="en-US" w:eastAsia="zh-CN"/>
        </w:rPr>
        <w:t>为</w:t>
      </w:r>
      <w:r>
        <w:rPr>
          <w:rFonts w:hint="eastAsia" w:ascii="微软雅黑" w:hAnsi="微软雅黑" w:eastAsia="微软雅黑" w:cs="微软雅黑"/>
          <w:spacing w:val="4"/>
          <w:sz w:val="24"/>
          <w:szCs w:val="24"/>
          <w:lang w:eastAsia="zh-CN"/>
        </w:rPr>
        <w:t>50.3，</w:t>
      </w:r>
      <w:r>
        <w:rPr>
          <w:rFonts w:hint="eastAsia" w:ascii="微软雅黑" w:hAnsi="微软雅黑" w:eastAsia="微软雅黑" w:cs="微软雅黑"/>
          <w:spacing w:val="4"/>
          <w:sz w:val="24"/>
          <w:szCs w:val="24"/>
          <w:lang w:val="en-US" w:eastAsia="zh-CN"/>
        </w:rPr>
        <w:t>高于预期的48.5，</w:t>
      </w:r>
      <w:r>
        <w:rPr>
          <w:rFonts w:hint="eastAsia" w:ascii="微软雅黑" w:hAnsi="微软雅黑" w:eastAsia="微软雅黑" w:cs="微软雅黑"/>
          <w:spacing w:val="4"/>
          <w:sz w:val="24"/>
          <w:szCs w:val="24"/>
          <w:lang w:eastAsia="zh-CN"/>
        </w:rPr>
        <w:t>止住了连续16个月萎缩的势头，</w:t>
      </w:r>
      <w:r>
        <w:rPr>
          <w:rFonts w:hint="eastAsia" w:ascii="微软雅黑" w:hAnsi="微软雅黑" w:eastAsia="微软雅黑" w:cs="微软雅黑"/>
          <w:spacing w:val="4"/>
          <w:sz w:val="24"/>
          <w:szCs w:val="24"/>
          <w:lang w:val="en-US" w:eastAsia="zh-CN"/>
        </w:rPr>
        <w:t>重回扩张区间</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hint="eastAsia" w:ascii="微软雅黑" w:hAnsi="微软雅黑" w:eastAsia="微软雅黑" w:cs="微软雅黑"/>
          <w:spacing w:val="-4"/>
          <w:sz w:val="24"/>
          <w:szCs w:val="24"/>
          <w:lang w:eastAsia="zh-CN"/>
        </w:rPr>
      </w:pPr>
      <w:r>
        <w:rPr>
          <w:rFonts w:ascii="微软雅黑" w:hAnsi="微软雅黑" w:eastAsia="微软雅黑" w:cs="微软雅黑"/>
          <w:spacing w:val="13"/>
          <w:sz w:val="24"/>
          <w:szCs w:val="24"/>
        </w:rPr>
        <w:t>【</w:t>
      </w:r>
      <w:r>
        <w:rPr>
          <w:rFonts w:hint="eastAsia" w:ascii="微软雅黑" w:hAnsi="微软雅黑" w:eastAsia="微软雅黑" w:cs="微软雅黑"/>
          <w:spacing w:val="4"/>
          <w:sz w:val="24"/>
          <w:szCs w:val="24"/>
          <w:lang w:eastAsia="zh-CN"/>
        </w:rPr>
        <w:t>美国3月经车型组合、里程数和季节性调整后的二手车批发价格环比下降0.34%，二手车零售挂牌价环比持平。</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2月耐用品订单环比终值升1.3%，预期升1.4%，初值升1.4%，1月终值降6.2%。美国2月工厂订单环比升1.4%，预期升1.0%，前值降3.6%；扣除运输的工厂订单环比升1.1%，前值降0.8%；扣除国防的工厂订单环比升1.8%，前值降4.1%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【欧元区3月制造业PMI终值46.1，预期45.7，前值46.5。】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3"/>
          <w:sz w:val="24"/>
          <w:szCs w:val="24"/>
        </w:rPr>
        <w:t>【</w:t>
      </w:r>
      <w:r>
        <w:rPr>
          <w:rFonts w:ascii="微软雅黑" w:hAnsi="微软雅黑" w:eastAsia="微软雅黑" w:cs="微软雅黑"/>
          <w:spacing w:val="-4"/>
          <w:sz w:val="24"/>
          <w:szCs w:val="24"/>
        </w:rPr>
        <w:t>欧元区2月零售销售环比降0.5%，预期降0.4%，前值升0.1%；同比降0.7%，预期降1.3%</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前值降1.0%。】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【德国3月制造业PMI终值41.9，预期41.6，前值42.5。3月CPI初值同比升2.2%，预期升2.2%，前值升2.5%；环比升0.4%，预期升0.6%，前值升0.4%。】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【法国3月制造业PMI终值46.2，预期45.8，前值47.1。】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【意大利3月制造业PMI为50.4，预期48.8，前值48.7。】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【英国3月BRC商店价格指数同比增1.3%，预期增2.2%，前值增2.5%。】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4"/>
          <w:sz w:val="24"/>
          <w:szCs w:val="24"/>
        </w:rPr>
      </w:pPr>
      <w:r>
        <w:rPr>
          <w:rFonts w:hint="eastAsia" w:ascii="微软雅黑" w:hAnsi="微软雅黑" w:eastAsia="微软雅黑" w:cs="微软雅黑"/>
          <w:spacing w:val="4"/>
          <w:sz w:val="24"/>
          <w:szCs w:val="24"/>
          <w:lang w:eastAsia="zh-CN"/>
        </w:rPr>
        <w:t>【英国3月制造业PMI终值50.3，预期49.9，前值47.5。3月Nationwide房价指数同比升1.6%，预期升2.4%，前值升1.2%；环比降0.2%，预期升0.3%，前值升0.7%。】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【澳大利亚和新西兰进入冬令时，其金融市场交易时间及经济数据公布时间将较夏令时推迟一小时。】</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【澳洲联储认为降低通胀的政策路径是不确定的；劳动力市场压力有所缓解，但仍然紧张；家庭储蓄正在减少，但减少速度很慢。】</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【瑞士2月实际零售销售同比降0.2%，前值升0.3%。】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【日本3月Markit服务业PMI54.1，前值54.9；综合PMI51.7，前值52.3。】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lang w:val="en-US" w:eastAsia="zh-CN"/>
        </w:rPr>
        <w:t>现货黄金突破2273.9美元/盎司</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【据新加坡《联合早报》转引伊朗和叙利亚官方媒体报道，以色列4月1日对伊朗驻叙利亚大使馆发动空袭，造成7人死亡。】</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【据新</w:t>
      </w:r>
      <w:r>
        <w:rPr>
          <w:rFonts w:hint="eastAsia" w:ascii="微软雅黑" w:hAnsi="微软雅黑" w:eastAsia="微软雅黑" w:cs="微软雅黑"/>
          <w:spacing w:val="4"/>
          <w:sz w:val="24"/>
          <w:szCs w:val="24"/>
          <w:lang w:val="en-US" w:eastAsia="zh-CN"/>
        </w:rPr>
        <w:t>以色列媒体报道，由于担心伊朗的报复性打击，以色列关闭了世界各地28个大使馆。</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ascii="微软雅黑" w:hAnsi="微软雅黑" w:eastAsia="微软雅黑" w:cs="微软雅黑"/>
          <w:spacing w:val="13"/>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ascii="微软雅黑" w:hAnsi="微软雅黑" w:eastAsia="微软雅黑" w:cs="微软雅黑"/>
          <w:spacing w:val="13"/>
          <w:sz w:val="24"/>
          <w:szCs w:val="24"/>
        </w:rPr>
      </w:pPr>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6"/>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8"/>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8"/>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富时中国A50指数周涨0.79%至12232.62点；新交所富时A50期指主力合约周涨0.87%至12228点。国内3月制造业PMI数据超预期，供需格局改善且出口新订单较强，成为市场信心主要催化剂，关注原材料与产成品库存持续回升对库存周期拐点印证。海外美联储降息预期降温，时点上分歧较大，考虑到当前通胀水平与经济韧性，预计三季度后降息概率更高。整体来看，国内基本面乐观预期存在，短线市场支撑性仍然较强。策略上，短线逢低做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0" w:line="191" w:lineRule="auto"/>
              <w:jc w:val="center"/>
              <w:rPr>
                <w:b/>
                <w:bCs/>
                <w:sz w:val="19"/>
                <w:szCs w:val="19"/>
              </w:rPr>
            </w:pPr>
            <w:r>
              <w:rPr>
                <w:rFonts w:hint="eastAsia"/>
                <w:b/>
                <w:bCs/>
                <w:sz w:val="19"/>
                <w:szCs w:val="19"/>
              </w:rPr>
              <w:t>S&amp;P500</w:t>
            </w:r>
          </w:p>
          <w:p>
            <w:pPr>
              <w:pStyle w:val="8"/>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标普500指数周跌0.95%至5204.34点；迷你标普500主力合约周跌0.91%至5255.75点。美股周五收高，但三大股指本周均录得跌幅。美国3月非农就业数据远超预期、平均时薪同比增长4.1%，表明美国经济仍有韧性、通胀压力依旧高企，使市场预测美联储首次降息时间将推迟至9月份。策略上，逢低试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清明假期中新交所铁矿石62%指数期货下跌3.05%，国内进口铁矿石现货报价下调。本期澳巴铁矿石发运量及到港量继续提升，国内铁矿石港口库存延续增加，现货供应维持宽松。贸易商报盘积极性一般，钢厂询盘谨慎，部分有采购需求。整体上，当前行情矛盾仍在于成材端变化，即在铁水回升的情况下成材能否稳定去化，从目前成材库存来看，暂未达到乐观预期，I2409合约短线或陷入790-740区间宽幅波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非农数据远超预期，美元指数较强，铜与美元的相关性逐步减弱，表现更为强劲，铜的金融属性影响开始削弱。国内3月制造业PMI数据向好，政策上“以旧换新”亦支撑铜价高位运行；国际方面，欧元区PMI陆续公布，制造业亦有逐步企稳趋势，铜的商品属性影响开始提升。外盘铜价涨势强劲，沪铜因国内假期原因有补涨预期；COMEX铜商品属性仍将占主导作用，供给偏紧需求逐步恢复的背景下，建议震荡偏多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近期美豆总体震荡偏弱，巴西豆集中上市，对市场有一定冲击；美豆出口进入季节性的下降趋势中，后期USDA可能调整美豆总体的出口目标，美豆陈豆的库存可能增加，总体压制美豆走势。就新豆而言，USDA调高了美豆的种植面积，播种面积对于美国大豆来说位于较高水平，历史上只有2017年和2018年超过此数值。且通常在播种面积处于高位时，产量对天气的容错率提高，限制了生长季美国大豆天气炒作高度。4月中下旬开始，美豆进入播种季节，重点关注美豆的天气情况。短期消息面影响偏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美国3月非农新增就业人数大超预期，打压市场对美联储的降息预期，美元指数小幅回升。欧佩克联盟产油国将自愿减产措施延长到二季度，沙特自愿减产100万桶/日，俄罗斯将在二季度自愿削减供应47.1万桶/日。欧佩克联盟监督会议维持产量政策不变，并敦促伊拉克和哈萨克斯坦等国家遵守减产协议；伊朗驻叙利亚大使馆遭袭，市场担忧伊朗报复加剧局势动荡，乌克兰继续袭击俄罗斯炼厂。整体上，中东及俄乌地缘局势动荡支撑油市，美联储降息预期推迟抑制需求前景，市场权衡地缘局势及需求前景，短线原油期价呈现强势震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jc w:val="both"/>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糖5月合约期价回调为主，周度跌幅2.53%。因巴西中南部降雨可能推迟24/25榨季甘蔗收割，亦改善甘蔗产量前景。巴西糖出口仍强劲，但市场焦点仍是新榨季产量预估。巴西出口贸易数据显示，3月巴西食糖出口量为271.92万吨，较去年同期增加48.8%。2023/24榨季4-2024年3月巴西累计出口糖3588.6万吨，同比增加22.12%，该榨季巴西糖基本结束，但3月巴西糖出口量同比增幅仍明显，表明亚洲收成欠佳的情况下，全球市场仍越来越多依赖巴西港口充裕的糖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8"/>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上周美棉5月合约周度跌幅约5.68%。美棉出口销售签约量下滑明显，美元上涨拖累市场。据美国农业部(USDA)报告显示，2024年3月22-28日，2023/24年度美国陆地棉出口签约量19272吨，较前周下降14%，但较前4周平均水平增长4%。2023/24年度美国陆地棉出口装运量83445吨，较前周增长2%，较前4周平均水平增长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1744" w:type="dxa"/>
            <w:tcBorders>
              <w:top w:val="dotted" w:color="auto" w:sz="4" w:space="0"/>
              <w:left w:val="single" w:color="FFFFFF" w:sz="4" w:space="0"/>
              <w:bottom w:val="dotted" w:color="auto" w:sz="4" w:space="0"/>
              <w:right w:val="dotted" w:color="auto" w:sz="4" w:space="0"/>
            </w:tcBorders>
            <w:shd w:val="clear" w:color="auto" w:fill="B5C7EA" w:themeFill="accent1" w:themeFillTint="66"/>
            <w:vAlign w:val="center"/>
          </w:tcPr>
          <w:p>
            <w:pPr>
              <w:pStyle w:val="8"/>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美国3月非农就业数据大超预期，新增就业人数录得2023年5月以来新高，失业率随之回落，而薪资增速也出现小幅反升。非农就业数据强劲或反映市场需求仍有较大填补空间，短期内失业率在供需缺口显著缩小前或难以大幅提升。除非农就业数据外，近期多数美联储官员皆释放若通胀无法显著下降年内将不考虑降息的鹰派信号，在经济数据接连与美联储目标背离的情况下，年内降息预期逐步下降。往后看，短期内美元指数在利率预期抬升的影响下或持续得到支撑，非美国家通胀水平走弱叠加经济增速放缓或使市场提高对非美央行降息的预期，利差走阔或使非美货币承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trPr>
        <w:tc>
          <w:tcPr>
            <w:tcW w:w="1744" w:type="dxa"/>
            <w:tcBorders>
              <w:top w:val="dotted" w:color="auto" w:sz="4" w:space="0"/>
              <w:left w:val="single" w:color="FFFFFF" w:sz="4" w:space="0"/>
              <w:bottom w:val="single" w:color="2169C1" w:sz="4" w:space="0"/>
              <w:right w:val="dotted" w:color="auto" w:sz="4" w:space="0"/>
            </w:tcBorders>
            <w:shd w:val="clear" w:color="auto" w:fill="B5C7EA" w:themeFill="accent1" w:themeFillTint="66"/>
            <w:vAlign w:val="center"/>
          </w:tcPr>
          <w:p>
            <w:pPr>
              <w:pStyle w:val="8"/>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BE3F4" w:themeFill="accent1" w:themeFillTint="32"/>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lang w:val="en-US" w:eastAsia="zh-CN"/>
              </w:rPr>
              <w:t>美国经济数据持续超市场预期，非农就业数据显示劳动力市场仍旧强劲，薪资增速维持高位或持续给予消费水平一定支撑，未来美国通胀下行阻力或有所增强。美联储官员陆续释放鹰派信号，市场持续下调年内降息预期，整体利率预期上修，贵金属整体持有成本受美国国债收益率上涨的影响有所增加。然而近期地缘冲突紧张程度升级，市场避险情绪飙升或持续给予贵金属价格一定支撑。</w:t>
            </w:r>
          </w:p>
        </w:tc>
      </w:tr>
    </w:tbl>
    <w:p>
      <w:pPr>
        <w:spacing w:before="120" w:line="190" w:lineRule="auto"/>
        <w:rPr>
          <w:rFonts w:hint="eastAsia" w:ascii="微软雅黑" w:hAnsi="微软雅黑" w:eastAsia="微软雅黑" w:cs="微软雅黑"/>
          <w:b/>
          <w:bCs/>
          <w:color w:val="036EB8"/>
          <w:spacing w:val="10"/>
          <w:sz w:val="28"/>
          <w:szCs w:val="28"/>
          <w:lang w:val="en-US" w:eastAsia="zh-CN"/>
        </w:rPr>
      </w:pPr>
    </w:p>
    <w:p>
      <w:pPr>
        <w:pStyle w:val="2"/>
        <w:spacing w:line="263" w:lineRule="auto"/>
      </w:pPr>
    </w:p>
    <w:p>
      <w:pPr>
        <w:pStyle w:val="2"/>
        <w:spacing w:line="263" w:lineRule="auto"/>
      </w:pPr>
    </w:p>
    <w:p>
      <w:pPr>
        <w:pStyle w:val="2"/>
        <w:spacing w:line="263" w:lineRule="auto"/>
      </w:pPr>
    </w:p>
    <w:p>
      <w:pPr>
        <w:pStyle w:val="2"/>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9"/>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center"/>
              <w:rPr>
                <w:rFonts w:hint="eastAsia" w:eastAsia="宋体"/>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2917825</wp:posOffset>
                      </wp:positionH>
                      <wp:positionV relativeFrom="paragraph">
                        <wp:posOffset>2190750</wp:posOffset>
                      </wp:positionV>
                      <wp:extent cx="2849245" cy="287655"/>
                      <wp:effectExtent l="5080" t="4445" r="22225" b="12700"/>
                      <wp:wrapNone/>
                      <wp:docPr id="39" name="文本框 39"/>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图2 ：纽约铜主力合约走势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75pt;margin-top:172.5pt;height:22.65pt;width:224.35pt;z-index:251663360;mso-width-relative:page;mso-height-relative:page;" fillcolor="#FFFFFF [3201]" filled="t" stroked="t" coordsize="21600,21600" o:gfxdata="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4Qp302QAAAAsB&#10;AAAPAAAAAAAAAAEAIAAAACIAAABkcnMvZG93bnJldi54bWxQSwECFAAUAAAACACHTuJAEm0SbVMC&#10;AAC6BAAADgAAAAAAAAABACAAAAAoAQAAZHJzL2Uyb0RvYy54bWxQSwUGAAAAAAYABgBZAQAA7QUA&#10;AAAA&#10;">
                      <v:fill on="t" focussize="0,0"/>
                      <v:stroke weight="0.5pt" color="#FFFFFF [3212]" joinstyle="round"/>
                      <v:imagedata o:title=""/>
                      <o:lock v:ext="edit" aspectratio="f"/>
                      <v:textbox>
                        <w:txbxContent>
                          <w:p>
                            <w:pPr>
                              <w:jc w:val="center"/>
                              <w:rPr>
                                <w:rFonts w:hint="default" w:eastAsia="宋体"/>
                                <w:lang w:val="en-US" w:eastAsia="zh-CN"/>
                              </w:rPr>
                            </w:pPr>
                            <w:r>
                              <w:rPr>
                                <w:rFonts w:hint="eastAsia" w:eastAsia="宋体"/>
                                <w:lang w:val="en-US" w:eastAsia="zh-CN"/>
                              </w:rPr>
                              <w:t>图2 ：纽约铜主力合约走势</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107315</wp:posOffset>
                      </wp:positionH>
                      <wp:positionV relativeFrom="paragraph">
                        <wp:posOffset>2211070</wp:posOffset>
                      </wp:positionV>
                      <wp:extent cx="2797175" cy="287655"/>
                      <wp:effectExtent l="0" t="0" r="3175" b="17145"/>
                      <wp:wrapNone/>
                      <wp:docPr id="38" name="文本框 38"/>
                      <wp:cNvGraphicFramePr/>
                      <a:graphic xmlns:a="http://schemas.openxmlformats.org/drawingml/2006/main">
                        <a:graphicData uri="http://schemas.microsoft.com/office/word/2010/wordprocessingShape">
                          <wps:wsp>
                            <wps:cNvSpPr txBox="1"/>
                            <wps:spPr>
                              <a:xfrm>
                                <a:off x="897890" y="4470400"/>
                                <a:ext cx="279717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 ：铜库存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174.1pt;height:22.65pt;width:220.25pt;z-index:251662336;mso-width-relative:page;mso-height-relative:page;" fillcolor="#FFFFFF [3201]" filled="t" stroked="f" coordsize="21600,21600" o:gfxdata="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3ODUA&#10;1gAAAAoBAAAPAAAAAAAAAAEAIAAAACIAAABkcnMvZG93bnJldi54bWxQSwECFAAUAAAACACHTuJA&#10;tMCLi1wCAACcBAAADgAAAAAAAAABACAAAAAlAQAAZHJzL2Uyb0RvYy54bWxQSwUGAAAAAAYABgBZ&#10;AQAA8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 ：铜库存</w:t>
                            </w:r>
                          </w:p>
                        </w:txbxContent>
                      </v:textbox>
                    </v:shape>
                  </w:pict>
                </mc:Fallback>
              </mc:AlternateContent>
            </w:r>
            <w:r>
              <w:object>
                <v:shape id="_x0000_i1025" o:spt="75" type="#_x0000_t75" style="height:148.3pt;width:236.55pt;" o:ole="t" filled="f" o:preferrelative="t" stroked="f" coordsize="21600,21600">
                  <v:path/>
                  <v:fill on="f" focussize="0,0"/>
                  <v:stroke on="f"/>
                  <v:imagedata r:id="rId15" o:title=""/>
                  <o:lock v:ext="edit" aspectratio="f"/>
                  <w10:wrap type="none"/>
                  <w10:anchorlock/>
                </v:shape>
                <o:OLEObject Type="Link" ProgID="Excel.Sheet.12" ShapeID="_x0000_i1025" UpdateMode="Always" DrawAspect="Content" ObjectID="_1468075725" r:id="rId16">
                  <o:LinkType>EnhancedMetaFile</o:LinkType>
                  <o:LockedField>false</o:LockedField>
                </o:OLEObject>
              </w:object>
            </w:r>
            <w:r>
              <w:drawing>
                <wp:inline distT="0" distB="0" distL="0" distR="0">
                  <wp:extent cx="2788285" cy="1874520"/>
                  <wp:effectExtent l="0" t="0" r="12065" b="114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2788285" cy="187452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center"/>
              <w:rPr>
                <w:rFonts w:hint="eastAsia" w:eastAsia="新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3142615</wp:posOffset>
                      </wp:positionH>
                      <wp:positionV relativeFrom="paragraph">
                        <wp:posOffset>2124710</wp:posOffset>
                      </wp:positionV>
                      <wp:extent cx="2573020" cy="287655"/>
                      <wp:effectExtent l="0" t="0" r="17780" b="17145"/>
                      <wp:wrapNone/>
                      <wp:docPr id="43" name="文本框 43"/>
                      <wp:cNvGraphicFramePr/>
                      <a:graphic xmlns:a="http://schemas.openxmlformats.org/drawingml/2006/main">
                        <a:graphicData uri="http://schemas.microsoft.com/office/word/2010/wordprocessingShape">
                          <wps:wsp>
                            <wps:cNvSpPr txBox="1"/>
                            <wps:spPr>
                              <a:xfrm>
                                <a:off x="0" y="0"/>
                                <a:ext cx="25730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图4：制造业PMI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45pt;margin-top:167.3pt;height:22.65pt;width:202.6pt;z-index:251665408;mso-width-relative:page;mso-height-relative:page;" fillcolor="#FFFFFF [3201]" filled="t" stroked="f" coordsize="21600,21600" o:gfxdata="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7MB01gAAAAsBAAAPAAAA&#10;AAAAAAEAIAAAACIAAABkcnMvZG93bnJldi54bWxQSwECFAAUAAAACACHTuJAKNdXSVACAACRBAAA&#10;DgAAAAAAAAABACAAAAAlAQAAZHJzL2Uyb0RvYy54bWxQSwUGAAAAAAYABgBZAQAA5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图4：制造业PMI</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236855</wp:posOffset>
                      </wp:positionH>
                      <wp:positionV relativeFrom="paragraph">
                        <wp:posOffset>2127885</wp:posOffset>
                      </wp:positionV>
                      <wp:extent cx="2849245" cy="287655"/>
                      <wp:effectExtent l="0" t="0" r="8255" b="17145"/>
                      <wp:wrapNone/>
                      <wp:docPr id="40" name="文本框 40"/>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图3：美国通胀水平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pt;margin-top:167.55pt;height:22.65pt;width:224.35pt;z-index:251664384;mso-width-relative:page;mso-height-relative:page;" fillcolor="#FFFFFF [3201]" filled="t" stroked="f" coordsize="21600,21600" o:gfxdata="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u4w29YAAAAKAQAADwAA&#10;AAAAAAABACAAAAAiAAAAZHJzL2Rvd25yZXYueG1sUEsBAhQAFAAAAAgAh07iQDpyiwJRAgAAkQQA&#10;AA4AAAAAAAAAAQAgAAAAJQEAAGRycy9lMm9Eb2MueG1sUEsFBgAAAAAGAAYAWQEAAOg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图3：美国通胀水平</w:t>
                            </w:r>
                          </w:p>
                        </w:txbxContent>
                      </v:textbox>
                    </v:shape>
                  </w:pict>
                </mc:Fallback>
              </mc:AlternateContent>
            </w:r>
            <w:r>
              <w:drawing>
                <wp:inline distT="0" distB="0" distL="0" distR="0">
                  <wp:extent cx="3089910" cy="1942465"/>
                  <wp:effectExtent l="0" t="0" r="152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3089910" cy="1942465"/>
                          </a:xfrm>
                          <a:prstGeom prst="rect">
                            <a:avLst/>
                          </a:prstGeom>
                        </pic:spPr>
                      </pic:pic>
                    </a:graphicData>
                  </a:graphic>
                </wp:inline>
              </w:drawing>
            </w:r>
            <w:r>
              <w:drawing>
                <wp:inline distT="0" distB="0" distL="0" distR="0">
                  <wp:extent cx="2709545" cy="1944370"/>
                  <wp:effectExtent l="0" t="0" r="1460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709545" cy="194437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ind w:firstLine="1470" w:firstLineChars="700"/>
              <w:jc w:val="both"/>
              <w:rPr>
                <w:rFonts w:ascii="宋体" w:hAnsi="宋体" w:eastAsia="宋体"/>
                <w:color w:val="000000"/>
                <w:szCs w:val="21"/>
              </w:rPr>
            </w:pPr>
          </w:p>
          <w:p>
            <w:pPr>
              <w:spacing w:line="4053" w:lineRule="exact"/>
              <w:jc w:val="center"/>
            </w:pPr>
            <w:r>
              <w:rPr>
                <w:rFonts w:ascii="宋体" w:hAnsi="宋体" w:eastAsia="宋体"/>
              </w:rPr>
              <w:drawing>
                <wp:inline distT="0" distB="0" distL="0" distR="0">
                  <wp:extent cx="3098800" cy="1987550"/>
                  <wp:effectExtent l="0" t="0" r="635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98800" cy="1987550"/>
                          </a:xfrm>
                          <a:prstGeom prst="rect">
                            <a:avLst/>
                          </a:prstGeom>
                          <a:noFill/>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3223260</wp:posOffset>
                      </wp:positionH>
                      <wp:positionV relativeFrom="paragraph">
                        <wp:posOffset>2156460</wp:posOffset>
                      </wp:positionV>
                      <wp:extent cx="2580640" cy="302895"/>
                      <wp:effectExtent l="0" t="0" r="10160" b="1905"/>
                      <wp:wrapNone/>
                      <wp:docPr id="66" name="文本框 66"/>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图6：美国炼厂产能利用率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pt;margin-top:169.8pt;height:23.85pt;width:203.2pt;z-index:251667456;mso-width-relative:page;mso-height-relative:page;" fillcolor="#FFFFFF [3201]" filled="t" stroked="f" coordsize="21600,21600" o:gfxdata="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WE1gAAAAsBAAAPAAAA&#10;AAAAAAEAIAAAACIAAABkcnMvZG93bnJldi54bWxQSwECFAAUAAAACACHTuJAHO/hlFACAACRBAAA&#10;DgAAAAAAAAABACAAAAAlAQAAZHJzL2Uyb0RvYy54bWxQSwUGAAAAAAYABgBZAQAA5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图6：美国炼厂产能利用率</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287020</wp:posOffset>
                      </wp:positionH>
                      <wp:positionV relativeFrom="paragraph">
                        <wp:posOffset>2142490</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1079500" y="9404985"/>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图5：EIA美国商业原油库存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pt;margin-top:168.7pt;height:23.85pt;width:203.2pt;z-index:251666432;mso-width-relative:page;mso-height-relative:page;" fillcolor="#FFFFFF [3201]" filled="t" stroked="f" coordsize="21600,21600" o:gfxdata="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Vy&#10;kv/WAAAACgEAAA8AAAAAAAAAAQAgAAAAIgAAAGRycy9kb3ducmV2LnhtbFBLAQIUABQAAAAIAIdO&#10;4kAwO/XXXgIAAJ0EAAAOAAAAAAAAAAEAIAAAACUBAABkcnMvZTJvRG9jLnhtbFBLBQYAAAAABgAG&#10;AFkBAAD1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图5：EIA美国商业原油库存</w:t>
                            </w:r>
                          </w:p>
                        </w:txbxContent>
                      </v:textbox>
                    </v:shape>
                  </w:pict>
                </mc:Fallback>
              </mc:AlternateContent>
            </w:r>
            <w:r>
              <w:rPr>
                <w:rFonts w:ascii="宋体" w:hAnsi="宋体" w:eastAsia="宋体"/>
              </w:rPr>
              <w:drawing>
                <wp:inline distT="0" distB="0" distL="0" distR="0">
                  <wp:extent cx="2684780" cy="2032000"/>
                  <wp:effectExtent l="0" t="0" r="127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84780" cy="2032000"/>
                          </a:xfrm>
                          <a:prstGeom prst="rect">
                            <a:avLst/>
                          </a:prstGeom>
                          <a:noFill/>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default" w:eastAsia="宋体"/>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图8：</w:t>
                                  </w:r>
                                  <w:r>
                                    <w:rPr>
                                      <w:rFonts w:hint="eastAsia" w:ascii="微软雅黑" w:hAnsi="微软雅黑" w:eastAsia="微软雅黑" w:cs="微软雅黑"/>
                                      <w:spacing w:val="7"/>
                                      <w:sz w:val="21"/>
                                      <w:szCs w:val="21"/>
                                      <w:lang w:val="en-US" w:eastAsia="zh-CN"/>
                                    </w:rPr>
                                    <w:t>ICE</w:t>
                                  </w:r>
                                  <w:r>
                                    <w:rPr>
                                      <w:rFonts w:hint="eastAsia" w:ascii="微软雅黑" w:hAnsi="微软雅黑" w:eastAsia="微软雅黑" w:cs="微软雅黑"/>
                                      <w:spacing w:val="7"/>
                                      <w:sz w:val="21"/>
                                      <w:szCs w:val="21"/>
                                      <w:lang w:val="zh-CN" w:eastAsia="zh-CN"/>
                                    </w:rPr>
                                    <w:t>原糖期货主力</w:t>
                                  </w:r>
                                  <w:r>
                                    <w:rPr>
                                      <w:rFonts w:hint="eastAsia" w:ascii="微软雅黑" w:hAnsi="微软雅黑" w:eastAsia="微软雅黑" w:cs="微软雅黑"/>
                                      <w:spacing w:val="7"/>
                                      <w:sz w:val="21"/>
                                      <w:szCs w:val="21"/>
                                      <w:lang w:val="en-US" w:eastAsia="zh-CN"/>
                                    </w:rPr>
                                    <w:t>合约</w:t>
                                  </w:r>
                                  <w:r>
                                    <w:rPr>
                                      <w:rFonts w:hint="eastAsia" w:ascii="微软雅黑" w:hAnsi="微软雅黑" w:eastAsia="微软雅黑" w:cs="微软雅黑"/>
                                      <w:spacing w:val="7"/>
                                      <w:sz w:val="21"/>
                                      <w:szCs w:val="21"/>
                                      <w:lang w:val="zh-CN" w:eastAsia="zh-CN"/>
                                    </w:rPr>
                                    <w:t>走势</w:t>
                                  </w:r>
                                  <w:r>
                                    <w:rPr>
                                      <w:rFonts w:hint="eastAsia" w:ascii="微软雅黑" w:hAnsi="微软雅黑" w:eastAsia="微软雅黑" w:cs="微软雅黑"/>
                                      <w:spacing w:val="7"/>
                                      <w:sz w:val="21"/>
                                      <w:szCs w:val="21"/>
                                      <w:lang w:val="en-US" w:eastAsia="zh-CN"/>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66.1pt;height:33.4pt;width:223.45pt;z-index:251669504;mso-width-relative:page;mso-height-relative:page;" fillcolor="#FFFFFF [3201]" filled="t" stroked="f" coordsize="21600,21600" o:gfxdata="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vTj5dcAAAALAQAA&#10;DwAAAAAAAAABACAAAAAiAAAAZHJzL2Rvd25yZXYueG1sUEsBAhQAFAAAAAgAh07iQHVVI95TAgAA&#10;kQQAAA4AAAAAAAAAAQAgAAAAJgEAAGRycy9lMm9Eb2MueG1sUEsFBgAAAAAGAAYAWQEAAOsFAAAA&#10;AA==&#10;">
                      <v:fill on="t" focussize="0,0"/>
                      <v:stroke on="f" weight="0.5pt"/>
                      <v:imagedata o:title=""/>
                      <o:lock v:ext="edit" aspectratio="f"/>
                      <v:textbo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图8：</w:t>
                            </w:r>
                            <w:r>
                              <w:rPr>
                                <w:rFonts w:hint="eastAsia" w:ascii="微软雅黑" w:hAnsi="微软雅黑" w:eastAsia="微软雅黑" w:cs="微软雅黑"/>
                                <w:spacing w:val="7"/>
                                <w:sz w:val="21"/>
                                <w:szCs w:val="21"/>
                                <w:lang w:val="en-US" w:eastAsia="zh-CN"/>
                              </w:rPr>
                              <w:t>ICE</w:t>
                            </w:r>
                            <w:r>
                              <w:rPr>
                                <w:rFonts w:hint="eastAsia" w:ascii="微软雅黑" w:hAnsi="微软雅黑" w:eastAsia="微软雅黑" w:cs="微软雅黑"/>
                                <w:spacing w:val="7"/>
                                <w:sz w:val="21"/>
                                <w:szCs w:val="21"/>
                                <w:lang w:val="zh-CN" w:eastAsia="zh-CN"/>
                              </w:rPr>
                              <w:t>原糖期货主力</w:t>
                            </w:r>
                            <w:r>
                              <w:rPr>
                                <w:rFonts w:hint="eastAsia" w:ascii="微软雅黑" w:hAnsi="微软雅黑" w:eastAsia="微软雅黑" w:cs="微软雅黑"/>
                                <w:spacing w:val="7"/>
                                <w:sz w:val="21"/>
                                <w:szCs w:val="21"/>
                                <w:lang w:val="en-US" w:eastAsia="zh-CN"/>
                              </w:rPr>
                              <w:t>合约</w:t>
                            </w:r>
                            <w:r>
                              <w:rPr>
                                <w:rFonts w:hint="eastAsia" w:ascii="微软雅黑" w:hAnsi="微软雅黑" w:eastAsia="微软雅黑" w:cs="微软雅黑"/>
                                <w:spacing w:val="7"/>
                                <w:sz w:val="21"/>
                                <w:szCs w:val="21"/>
                                <w:lang w:val="zh-CN" w:eastAsia="zh-CN"/>
                              </w:rPr>
                              <w:t>走势</w:t>
                            </w:r>
                            <w:r>
                              <w:rPr>
                                <w:rFonts w:hint="eastAsia" w:ascii="微软雅黑" w:hAnsi="微软雅黑" w:eastAsia="微软雅黑" w:cs="微软雅黑"/>
                                <w:spacing w:val="7"/>
                                <w:sz w:val="21"/>
                                <w:szCs w:val="21"/>
                                <w:lang w:val="en-US" w:eastAsia="zh-CN"/>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图7：</w:t>
                                  </w:r>
                                  <w:r>
                                    <w:rPr>
                                      <w:rFonts w:hint="eastAsia" w:ascii="微软雅黑" w:hAnsi="微软雅黑" w:eastAsia="微软雅黑" w:cs="微软雅黑"/>
                                      <w:spacing w:val="7"/>
                                      <w:sz w:val="21"/>
                                      <w:szCs w:val="21"/>
                                      <w:lang w:val="en-US" w:eastAsia="zh-CN"/>
                                    </w:rPr>
                                    <w:t>ICE棉花</w:t>
                                  </w:r>
                                  <w:r>
                                    <w:rPr>
                                      <w:rFonts w:hint="eastAsia" w:ascii="微软雅黑" w:hAnsi="微软雅黑" w:eastAsia="微软雅黑" w:cs="微软雅黑"/>
                                      <w:spacing w:val="7"/>
                                      <w:sz w:val="21"/>
                                      <w:szCs w:val="21"/>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8480;mso-width-relative:page;mso-height-relative:page;" fillcolor="#FFFFFF [3201]" filled="t" stroked="f" coordsize="21600,21600" o:gfxdata="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bVxP&#10;1QAAAAoBAAAPAAAAAAAAAAEAIAAAACIAAABkcnMvZG93bnJldi54bWxQSwECFAAUAAAACACHTuJA&#10;NF5u3F0CAACcBAAADgAAAAAAAAABACAAAAAkAQAAZHJzL2Uyb0RvYy54bWxQSwUGAAAAAAYABgBZ&#10;AQAA8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图7：</w:t>
                            </w:r>
                            <w:r>
                              <w:rPr>
                                <w:rFonts w:hint="eastAsia" w:ascii="微软雅黑" w:hAnsi="微软雅黑" w:eastAsia="微软雅黑" w:cs="微软雅黑"/>
                                <w:spacing w:val="7"/>
                                <w:sz w:val="21"/>
                                <w:szCs w:val="21"/>
                                <w:lang w:val="en-US" w:eastAsia="zh-CN"/>
                              </w:rPr>
                              <w:t>ICE棉花</w:t>
                            </w:r>
                            <w:r>
                              <w:rPr>
                                <w:rFonts w:hint="eastAsia" w:ascii="微软雅黑" w:hAnsi="微软雅黑" w:eastAsia="微软雅黑" w:cs="微软雅黑"/>
                                <w:spacing w:val="7"/>
                                <w:sz w:val="21"/>
                                <w:szCs w:val="21"/>
                                <w:lang w:val="zh-CN" w:eastAsia="zh-CN"/>
                              </w:rPr>
                              <w:t>期货主力合约日走势图</w:t>
                            </w:r>
                          </w:p>
                        </w:txbxContent>
                      </v:textbox>
                    </v:shape>
                  </w:pict>
                </mc:Fallback>
              </mc:AlternateContent>
            </w:r>
            <w:r>
              <w:rPr>
                <w:rFonts w:hint="eastAsia" w:eastAsia="宋体"/>
                <w:lang w:val="en-US" w:eastAsia="zh-CN"/>
              </w:rPr>
              <w:t xml:space="preserve">  </w:t>
            </w:r>
            <w:r>
              <w:rPr>
                <w:rFonts w:hint="eastAsia" w:eastAsia="宋体"/>
                <w:lang w:eastAsia="zh-CN"/>
              </w:rPr>
              <w:drawing>
                <wp:inline distT="0" distB="0" distL="114300" distR="114300">
                  <wp:extent cx="3056890" cy="1758315"/>
                  <wp:effectExtent l="0" t="0" r="10160" b="13335"/>
                  <wp:docPr id="29" name="图片 29" descr="QQ截图2024040808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截图20240408081309"/>
                          <pic:cNvPicPr>
                            <a:picLocks noChangeAspect="1"/>
                          </pic:cNvPicPr>
                        </pic:nvPicPr>
                        <pic:blipFill>
                          <a:blip r:embed="rId22"/>
                          <a:stretch>
                            <a:fillRect/>
                          </a:stretch>
                        </pic:blipFill>
                        <pic:spPr>
                          <a:xfrm>
                            <a:off x="0" y="0"/>
                            <a:ext cx="3056890" cy="1758315"/>
                          </a:xfrm>
                          <a:prstGeom prst="rect">
                            <a:avLst/>
                          </a:prstGeom>
                          <a:noFill/>
                          <a:ln>
                            <a:noFill/>
                          </a:ln>
                        </pic:spPr>
                      </pic:pic>
                    </a:graphicData>
                  </a:graphic>
                </wp:inline>
              </w:drawing>
            </w:r>
            <w:r>
              <w:rPr>
                <w:rFonts w:hint="eastAsia" w:eastAsia="宋体"/>
                <w:lang w:eastAsia="zh-CN"/>
              </w:rPr>
              <w:drawing>
                <wp:inline distT="0" distB="0" distL="114300" distR="114300">
                  <wp:extent cx="2700020" cy="1760855"/>
                  <wp:effectExtent l="0" t="0" r="5080" b="10795"/>
                  <wp:docPr id="27" name="图片 27" descr="QQ截图2024040808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240408081300"/>
                          <pic:cNvPicPr>
                            <a:picLocks noChangeAspect="1"/>
                          </pic:cNvPicPr>
                        </pic:nvPicPr>
                        <pic:blipFill>
                          <a:blip r:embed="rId23"/>
                          <a:stretch>
                            <a:fillRect/>
                          </a:stretch>
                        </pic:blipFill>
                        <pic:spPr>
                          <a:xfrm>
                            <a:off x="0" y="0"/>
                            <a:ext cx="2700020" cy="1760855"/>
                          </a:xfrm>
                          <a:prstGeom prst="rect">
                            <a:avLst/>
                          </a:prstGeom>
                          <a:noFill/>
                          <a:ln>
                            <a:noFill/>
                          </a:ln>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图10：美国失业率及非农新增就业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5pt;margin-top:167.95pt;height:24.35pt;width:208pt;z-index:251671552;mso-width-relative:page;mso-height-relative:page;" fillcolor="#FFFFFF [3201]" filled="t" stroked="f" coordsize="21600,21600" o:gfxdata="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n6eNYAAAALAQAADwAA&#10;AAAAAAABACAAAAAiAAAAZHJzL2Rvd25yZXYueG1sUEsBAhQAFAAAAAgAh07iQGH1hZBRAgAAkQQA&#10;AA4AAAAAAAAAAQAgAAAAJQEAAGRycy9lMm9Eb2MueG1sUEsFBgAAAAAGAAYAWQEAAOg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图10：美国失业率及非农新增就业</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230505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图9：铁矿石港口库存与矿价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5pt;margin-top:168.7pt;height:24.35pt;width:208pt;z-index:251670528;mso-width-relative:page;mso-height-relative:page;" fillcolor="#FFFFFF [3201]" filled="t" stroked="f" coordsize="21600,21600" o:gfxdata="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dBobW&#10;AAAACgEAAA8AAAAAAAAAAQAgAAAAIgAAAGRycy9kb3ducmV2LnhtbFBLAQIUABQAAAAIAIdO4kDb&#10;bVtGWwIAAJwEAAAOAAAAAAAAAAEAIAAAACUBAABkcnMvZTJvRG9jLnhtbFBLBQYAAAAABgAGAFkB&#10;AADy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图9：铁矿石港口库存与矿价</w:t>
                            </w:r>
                          </w:p>
                        </w:txbxContent>
                      </v:textbox>
                    </v:shape>
                  </w:pict>
                </mc:Fallback>
              </mc:AlternateContent>
            </w:r>
            <w:r>
              <w:rPr>
                <w:rFonts w:ascii="宋体" w:hAnsi="宋体" w:eastAsia="宋体"/>
              </w:rPr>
              <w:object>
                <v:shape id="_x0000_i1026" o:spt="75" type="#_x0000_t75" style="height:150.65pt;width:237pt;" o:ole="t" filled="f" o:preferrelative="t" stroked="f" coordsize="21600,21600">
                  <v:path/>
                  <v:fill on="f" focussize="0,0"/>
                  <v:stroke on="f"/>
                  <v:imagedata r:id="rId24" o:title=""/>
                  <o:lock v:ext="edit" aspectratio="t"/>
                  <w10:wrap type="none"/>
                  <w10:anchorlock/>
                </v:shape>
                <o:OLEObject Type="Link" ProgID="Excel.Sheet.12" ShapeID="_x0000_i1026" UpdateMode="Always" DrawAspect="Content" ObjectID="_1468075726" r:id="rId25">
                  <o:LinkType>EnhancedMetaFile</o:LinkType>
                  <o:LockedField>false</o:LockedField>
                </o:OLEObject>
              </w:object>
            </w:r>
            <w:r>
              <w:drawing>
                <wp:inline distT="0" distB="0" distL="114300" distR="114300">
                  <wp:extent cx="2935605" cy="1915160"/>
                  <wp:effectExtent l="0" t="0" r="1714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6"/>
                          <a:stretch>
                            <a:fillRect/>
                          </a:stretch>
                        </pic:blipFill>
                        <pic:spPr>
                          <a:xfrm>
                            <a:off x="0" y="0"/>
                            <a:ext cx="2935605" cy="1915160"/>
                          </a:xfrm>
                          <a:prstGeom prst="rect">
                            <a:avLst/>
                          </a:prstGeom>
                          <a:noFill/>
                          <a:ln>
                            <a:noFill/>
                          </a:ln>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eastAsia="zh-CN"/>
              </w:rPr>
            </w:pPr>
            <w:r>
              <w:rPr>
                <w:sz w:val="20"/>
              </w:rPr>
              <mc:AlternateContent>
                <mc:Choice Requires="wps">
                  <w:drawing>
                    <wp:anchor distT="0" distB="0" distL="114300" distR="114300" simplePos="0" relativeHeight="251673600" behindDoc="0" locked="0" layoutInCell="1" allowOverlap="1">
                      <wp:simplePos x="0" y="0"/>
                      <wp:positionH relativeFrom="column">
                        <wp:posOffset>3274060</wp:posOffset>
                      </wp:positionH>
                      <wp:positionV relativeFrom="paragraph">
                        <wp:posOffset>2143125</wp:posOffset>
                      </wp:positionV>
                      <wp:extent cx="2190750" cy="252095"/>
                      <wp:effectExtent l="0" t="0" r="0" b="14605"/>
                      <wp:wrapNone/>
                      <wp:docPr id="26" name="文本框 26"/>
                      <wp:cNvGraphicFramePr/>
                      <a:graphic xmlns:a="http://schemas.openxmlformats.org/drawingml/2006/main">
                        <a:graphicData uri="http://schemas.microsoft.com/office/word/2010/wordprocessingShape">
                          <wps:wsp>
                            <wps:cNvSpPr txBox="1"/>
                            <wps:spPr>
                              <a:xfrm>
                                <a:off x="0" y="0"/>
                                <a:ext cx="2190750"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r>
                                    <w:rPr>
                                      <w:rFonts w:hint="eastAsia" w:eastAsia="宋体"/>
                                      <w:lang w:val="en-US" w:eastAsia="zh-CN"/>
                                    </w:rPr>
                                    <w:t xml:space="preserve"> 图12：美豆走势图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8pt;margin-top:168.75pt;height:19.85pt;width:172.5pt;z-index:251673600;mso-width-relative:page;mso-height-relative:page;" fillcolor="#FFFFFF [3201]" filled="t" stroked="f" coordsize="21600,21600" o:gfxdata="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QApZv1gAAAAsBAAAPAAAA&#10;AAAAAAEAIAAAACIAAABkcnMvZG93bnJldi54bWxQSwECFAAUAAAACACHTuJAkekw0VACAACRBAAA&#10;DgAAAAAAAAABACAAAAAlAQAAZHJzL2Uyb0RvYy54bWxQSwUGAAAAAAYABgBZAQAA5wUAAAAA&#10;">
                      <v:fill on="t" focussize="0,0"/>
                      <v:stroke on="f" weight="0.5pt"/>
                      <v:imagedata o:title=""/>
                      <o:lock v:ext="edit" aspectratio="f"/>
                      <v:textbox>
                        <w:txbxContent>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r>
                              <w:rPr>
                                <w:rFonts w:hint="eastAsia" w:eastAsia="宋体"/>
                                <w:lang w:val="en-US" w:eastAsia="zh-CN"/>
                              </w:rPr>
                              <w:t xml:space="preserve"> 图12：美豆走势图</w:t>
                            </w:r>
                          </w:p>
                          <w:p>
                            <w:pPr>
                              <w:jc w:val="center"/>
                              <w:rPr>
                                <w:rFonts w:hint="default" w:eastAsia="宋体"/>
                                <w:lang w:val="en-US" w:eastAsia="zh-CN"/>
                              </w:rPr>
                            </w:pPr>
                          </w:p>
                        </w:txbxContent>
                      </v:textbox>
                    </v:shape>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column">
                        <wp:posOffset>138430</wp:posOffset>
                      </wp:positionH>
                      <wp:positionV relativeFrom="paragraph">
                        <wp:posOffset>2157095</wp:posOffset>
                      </wp:positionV>
                      <wp:extent cx="2190750" cy="252095"/>
                      <wp:effectExtent l="0" t="0" r="0" b="14605"/>
                      <wp:wrapNone/>
                      <wp:docPr id="25" name="文本框 25"/>
                      <wp:cNvGraphicFramePr/>
                      <a:graphic xmlns:a="http://schemas.openxmlformats.org/drawingml/2006/main">
                        <a:graphicData uri="http://schemas.microsoft.com/office/word/2010/wordprocessingShape">
                          <wps:wsp>
                            <wps:cNvSpPr txBox="1"/>
                            <wps:spPr>
                              <a:xfrm>
                                <a:off x="0" y="0"/>
                                <a:ext cx="2190750"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 xml:space="preserve"> 图11：美德10年期国债利差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pt;margin-top:169.85pt;height:19.85pt;width:172.5pt;z-index:251672576;mso-width-relative:page;mso-height-relative:page;" fillcolor="#FFFFFF [3201]" filled="t" stroked="f" coordsize="21600,21600" o:gfxdata="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36E+tYAAAAKAQAADwAA&#10;AAAAAAABACAAAAAiAAAAZHJzL2Rvd25yZXYueG1sUEsBAhQAFAAAAAgAh07iQG4vbZ1RAgAAkQQA&#10;AA4AAAAAAAAAAQAgAAAAJQEAAGRycy9lMm9Eb2MueG1sUEsFBgAAAAAGAAYAWQEAAOg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 xml:space="preserve"> 图11：美德10年期国债利差</w:t>
                            </w:r>
                          </w:p>
                        </w:txbxContent>
                      </v:textbox>
                    </v:shape>
                  </w:pict>
                </mc:Fallback>
              </mc:AlternateContent>
            </w:r>
            <w:r>
              <w:drawing>
                <wp:inline distT="0" distB="0" distL="114300" distR="114300">
                  <wp:extent cx="3162300" cy="1907540"/>
                  <wp:effectExtent l="0" t="0" r="0" b="1651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7"/>
                          <a:stretch>
                            <a:fillRect/>
                          </a:stretch>
                        </pic:blipFill>
                        <pic:spPr>
                          <a:xfrm>
                            <a:off x="0" y="0"/>
                            <a:ext cx="3162300" cy="1907540"/>
                          </a:xfrm>
                          <a:prstGeom prst="rect">
                            <a:avLst/>
                          </a:prstGeom>
                          <a:noFill/>
                          <a:ln>
                            <a:noFill/>
                          </a:ln>
                        </pic:spPr>
                      </pic:pic>
                    </a:graphicData>
                  </a:graphic>
                </wp:inline>
              </w:drawing>
            </w:r>
            <w:bookmarkStart w:id="0" w:name="_GoBack"/>
            <w:r>
              <w:rPr>
                <w:rFonts w:hint="eastAsia" w:eastAsiaTheme="minorEastAsia"/>
                <w:lang w:eastAsia="zh-CN"/>
              </w:rPr>
              <w:drawing>
                <wp:inline distT="0" distB="0" distL="114300" distR="114300">
                  <wp:extent cx="2648585" cy="1858010"/>
                  <wp:effectExtent l="0" t="0" r="18415" b="8890"/>
                  <wp:docPr id="11" name="图片 11" descr="6bf8d6def1cf95be0c0b1f989a50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f8d6def1cf95be0c0b1f989a50ff5"/>
                          <pic:cNvPicPr>
                            <a:picLocks noChangeAspect="1"/>
                          </pic:cNvPicPr>
                        </pic:nvPicPr>
                        <pic:blipFill>
                          <a:blip r:embed="rId28"/>
                          <a:stretch>
                            <a:fillRect/>
                          </a:stretch>
                        </pic:blipFill>
                        <pic:spPr>
                          <a:xfrm>
                            <a:off x="0" y="0"/>
                            <a:ext cx="2648585" cy="1858010"/>
                          </a:xfrm>
                          <a:prstGeom prst="rect">
                            <a:avLst/>
                          </a:prstGeom>
                        </pic:spPr>
                      </pic:pic>
                    </a:graphicData>
                  </a:graphic>
                </wp:inline>
              </w:drawing>
            </w:r>
            <w:bookmarkEnd w:id="0"/>
          </w:p>
        </w:tc>
      </w:tr>
    </w:tbl>
    <w:p>
      <w:pPr>
        <w:spacing w:before="235" w:line="176" w:lineRule="auto"/>
        <w:ind w:firstLine="194" w:firstLineChars="100"/>
        <w:rPr>
          <w:rFonts w:hint="eastAsia" w:ascii="微软雅黑" w:hAnsi="微软雅黑" w:eastAsia="微软雅黑" w:cs="微软雅黑"/>
          <w:spacing w:val="7"/>
          <w:sz w:val="18"/>
          <w:szCs w:val="18"/>
          <w:lang w:val="en-US" w:eastAsia="zh-CN"/>
        </w:rPr>
      </w:pPr>
      <w:r>
        <w:rPr>
          <w:rFonts w:hint="eastAsia" w:ascii="微软雅黑" w:hAnsi="微软雅黑" w:eastAsia="微软雅黑" w:cs="微软雅黑"/>
          <w:spacing w:val="7"/>
          <w:sz w:val="18"/>
          <w:szCs w:val="18"/>
          <w:lang w:val="en-US" w:eastAsia="zh-CN"/>
        </w:rPr>
        <w:t>资料源：公开资料整理，瑞达国</w:t>
      </w:r>
    </w:p>
    <w:p>
      <w:pPr>
        <w:spacing w:before="235" w:line="176" w:lineRule="auto"/>
        <w:ind w:firstLine="194" w:firstLineChars="100"/>
        <w:rPr>
          <w:rFonts w:hint="eastAsia" w:ascii="微软雅黑" w:hAnsi="微软雅黑" w:eastAsia="微软雅黑" w:cs="微软雅黑"/>
          <w:spacing w:val="7"/>
          <w:sz w:val="18"/>
          <w:szCs w:val="18"/>
          <w:lang w:val="en-US" w:eastAsia="zh-CN"/>
        </w:rPr>
        <w:sectPr>
          <w:headerReference r:id="rId6" w:type="default"/>
          <w:footerReference r:id="rId7" w:type="default"/>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pP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9"/>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val="en-US" w:eastAsia="zh-CN"/>
        </w:rPr>
        <w:t>下周热点日程</w:t>
      </w:r>
    </w:p>
    <w:p>
      <w:pPr>
        <w:spacing w:before="84"/>
      </w:pPr>
    </w:p>
    <w:tbl>
      <w:tblPr>
        <w:tblStyle w:val="9"/>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8"/>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8"/>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28"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8</w:t>
            </w:r>
          </w:p>
        </w:tc>
        <w:tc>
          <w:tcPr>
            <w:tcW w:w="1478" w:type="dxa"/>
            <w:vAlign w:val="top"/>
          </w:tcPr>
          <w:p>
            <w:pPr>
              <w:pStyle w:val="8"/>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14</w:t>
            </w:r>
            <w:r>
              <w:rPr>
                <w:b/>
                <w:bCs/>
                <w:spacing w:val="6"/>
                <w:sz w:val="19"/>
                <w:szCs w:val="19"/>
              </w:rPr>
              <w:t>:</w:t>
            </w:r>
            <w:r>
              <w:rPr>
                <w:rFonts w:hint="eastAsia"/>
                <w:b/>
                <w:bCs/>
                <w:spacing w:val="6"/>
                <w:sz w:val="19"/>
                <w:szCs w:val="19"/>
                <w:lang w:val="en-US" w:eastAsia="zh-CN"/>
              </w:rPr>
              <w:t>00</w:t>
            </w:r>
          </w:p>
        </w:tc>
        <w:tc>
          <w:tcPr>
            <w:tcW w:w="6344" w:type="dxa"/>
            <w:vAlign w:val="top"/>
          </w:tcPr>
          <w:p>
            <w:pPr>
              <w:pStyle w:val="8"/>
              <w:spacing w:before="221" w:line="180" w:lineRule="auto"/>
              <w:jc w:val="center"/>
              <w:rPr>
                <w:rFonts w:hint="default" w:eastAsia="微软雅黑"/>
                <w:sz w:val="19"/>
                <w:szCs w:val="19"/>
                <w:lang w:val="en-US" w:eastAsia="zh-CN"/>
              </w:rPr>
            </w:pPr>
            <w:r>
              <w:rPr>
                <w:rFonts w:hint="eastAsia"/>
                <w:spacing w:val="25"/>
                <w:sz w:val="19"/>
                <w:szCs w:val="19"/>
                <w:lang w:val="en-US" w:eastAsia="zh-CN"/>
              </w:rPr>
              <w:t>I德国2月季调后进出口、2月工业产出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0"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8</w:t>
            </w:r>
          </w:p>
        </w:tc>
        <w:tc>
          <w:tcPr>
            <w:tcW w:w="1478" w:type="dxa"/>
            <w:shd w:val="clear" w:color="auto" w:fill="D3EAFF"/>
            <w:vAlign w:val="top"/>
          </w:tcPr>
          <w:p>
            <w:pPr>
              <w:pStyle w:val="8"/>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16</w:t>
            </w:r>
            <w:r>
              <w:rPr>
                <w:b/>
                <w:bCs/>
                <w:spacing w:val="5"/>
                <w:sz w:val="19"/>
                <w:szCs w:val="19"/>
              </w:rPr>
              <w:t>:</w:t>
            </w:r>
            <w:r>
              <w:rPr>
                <w:rFonts w:hint="eastAsia"/>
                <w:b/>
                <w:bCs/>
                <w:spacing w:val="5"/>
                <w:sz w:val="19"/>
                <w:szCs w:val="19"/>
                <w:lang w:val="en-US" w:eastAsia="zh-CN"/>
              </w:rPr>
              <w:t>30</w:t>
            </w:r>
          </w:p>
        </w:tc>
        <w:tc>
          <w:tcPr>
            <w:tcW w:w="6344" w:type="dxa"/>
            <w:shd w:val="clear" w:color="auto" w:fill="D3EAFF"/>
            <w:vAlign w:val="top"/>
          </w:tcPr>
          <w:p>
            <w:pPr>
              <w:pStyle w:val="8"/>
              <w:spacing w:before="224" w:line="179" w:lineRule="auto"/>
              <w:jc w:val="center"/>
              <w:rPr>
                <w:rFonts w:hint="default" w:eastAsia="微软雅黑"/>
                <w:sz w:val="19"/>
                <w:szCs w:val="19"/>
                <w:lang w:val="en-US" w:eastAsia="zh-CN"/>
              </w:rPr>
            </w:pPr>
            <w:r>
              <w:rPr>
                <w:rFonts w:hint="eastAsia"/>
                <w:spacing w:val="32"/>
                <w:sz w:val="19"/>
                <w:szCs w:val="19"/>
                <w:lang w:val="en-US" w:eastAsia="zh-CN"/>
              </w:rPr>
              <w:t>欧元区4月Sentix投资者信心指数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8"/>
              <w:spacing w:before="231"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9</w:t>
            </w:r>
          </w:p>
        </w:tc>
        <w:tc>
          <w:tcPr>
            <w:tcW w:w="1478" w:type="dxa"/>
            <w:vAlign w:val="top"/>
          </w:tcPr>
          <w:p>
            <w:pPr>
              <w:pStyle w:val="8"/>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18</w:t>
            </w:r>
            <w:r>
              <w:rPr>
                <w:b/>
                <w:bCs/>
                <w:spacing w:val="5"/>
                <w:sz w:val="19"/>
                <w:szCs w:val="19"/>
              </w:rPr>
              <w:t>:</w:t>
            </w:r>
            <w:r>
              <w:rPr>
                <w:rFonts w:hint="eastAsia"/>
                <w:b/>
                <w:bCs/>
                <w:spacing w:val="5"/>
                <w:sz w:val="19"/>
                <w:szCs w:val="19"/>
                <w:lang w:val="en-US" w:eastAsia="zh-CN"/>
              </w:rPr>
              <w:t>00</w:t>
            </w:r>
          </w:p>
        </w:tc>
        <w:tc>
          <w:tcPr>
            <w:tcW w:w="6344" w:type="dxa"/>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美国3月NFIB中小企业乐观程度指数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2"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478" w:type="dxa"/>
            <w:shd w:val="clear" w:color="auto" w:fill="D3EAFF"/>
            <w:vAlign w:val="top"/>
          </w:tcPr>
          <w:p>
            <w:pPr>
              <w:pStyle w:val="8"/>
              <w:spacing w:before="246" w:line="172" w:lineRule="auto"/>
              <w:ind w:left="101"/>
              <w:rPr>
                <w:sz w:val="19"/>
                <w:szCs w:val="19"/>
              </w:rPr>
            </w:pPr>
            <w:r>
              <w:rPr>
                <w:rFonts w:hint="eastAsia"/>
                <w:b/>
                <w:bCs/>
                <w:spacing w:val="5"/>
                <w:sz w:val="19"/>
                <w:szCs w:val="19"/>
                <w:lang w:val="en-US" w:eastAsia="zh-CN"/>
              </w:rPr>
              <w:t>7</w:t>
            </w:r>
            <w:r>
              <w:rPr>
                <w:b/>
                <w:bCs/>
                <w:spacing w:val="5"/>
                <w:sz w:val="19"/>
                <w:szCs w:val="19"/>
              </w:rPr>
              <w:t>:</w:t>
            </w:r>
            <w:r>
              <w:rPr>
                <w:rFonts w:hint="eastAsia"/>
                <w:b/>
                <w:bCs/>
                <w:spacing w:val="5"/>
                <w:sz w:val="19"/>
                <w:szCs w:val="19"/>
                <w:lang w:val="en-US" w:eastAsia="zh-CN"/>
              </w:rPr>
              <w:t>5</w:t>
            </w:r>
            <w:r>
              <w:rPr>
                <w:b/>
                <w:bCs/>
                <w:spacing w:val="5"/>
                <w:sz w:val="19"/>
                <w:szCs w:val="19"/>
              </w:rPr>
              <w:t>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日本3月国内企业商品物价指数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8"/>
              <w:spacing w:before="234"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478" w:type="dxa"/>
            <w:vAlign w:val="top"/>
          </w:tcPr>
          <w:p>
            <w:pPr>
              <w:pStyle w:val="8"/>
              <w:spacing w:before="248" w:line="172" w:lineRule="auto"/>
              <w:ind w:left="92"/>
              <w:rPr>
                <w:sz w:val="19"/>
                <w:szCs w:val="19"/>
              </w:rPr>
            </w:pPr>
            <w:r>
              <w:rPr>
                <w:rFonts w:hint="eastAsia"/>
                <w:b/>
                <w:bCs/>
                <w:spacing w:val="3"/>
                <w:sz w:val="19"/>
                <w:szCs w:val="19"/>
                <w:lang w:val="en-US" w:eastAsia="zh-CN"/>
              </w:rPr>
              <w:t>10：00</w:t>
            </w:r>
          </w:p>
        </w:tc>
        <w:tc>
          <w:tcPr>
            <w:tcW w:w="6344" w:type="dxa"/>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新西兰联储公布利率决议和货币政策评估报告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2"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478" w:type="dxa"/>
            <w:shd w:val="clear" w:color="auto" w:fill="D3EAFF"/>
            <w:vAlign w:val="top"/>
          </w:tcPr>
          <w:p>
            <w:pPr>
              <w:pStyle w:val="8"/>
              <w:spacing w:before="246" w:line="172" w:lineRule="auto"/>
              <w:ind w:left="101"/>
              <w:rPr>
                <w:rFonts w:hint="default"/>
                <w:sz w:val="19"/>
                <w:szCs w:val="19"/>
                <w:lang w:val="en-US"/>
              </w:rPr>
            </w:pPr>
            <w:r>
              <w:rPr>
                <w:rFonts w:hint="eastAsia"/>
                <w:b/>
                <w:bCs/>
                <w:spacing w:val="5"/>
                <w:sz w:val="19"/>
                <w:szCs w:val="19"/>
                <w:lang w:val="en-US" w:eastAsia="zh-CN"/>
              </w:rPr>
              <w:t>14：00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日本央行行长植田和男发表讲话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8"/>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478" w:type="dxa"/>
            <w:vAlign w:val="top"/>
          </w:tcPr>
          <w:p>
            <w:pPr>
              <w:pStyle w:val="8"/>
              <w:spacing w:before="248" w:line="172" w:lineRule="auto"/>
              <w:ind w:left="101" w:leftChars="0"/>
              <w:rPr>
                <w:rFonts w:hint="default" w:eastAsia="微软雅黑"/>
                <w:sz w:val="19"/>
                <w:szCs w:val="19"/>
                <w:lang w:val="en-US" w:eastAsia="zh-CN"/>
              </w:rPr>
            </w:pPr>
            <w:r>
              <w:rPr>
                <w:rFonts w:hint="eastAsia"/>
                <w:b/>
                <w:bCs/>
                <w:spacing w:val="5"/>
                <w:sz w:val="19"/>
                <w:szCs w:val="19"/>
                <w:lang w:val="en-US" w:eastAsia="zh-CN"/>
              </w:rPr>
              <w:t>20</w:t>
            </w:r>
            <w:r>
              <w:rPr>
                <w:b/>
                <w:bCs/>
                <w:spacing w:val="5"/>
                <w:sz w:val="19"/>
                <w:szCs w:val="19"/>
              </w:rPr>
              <w:t>:</w:t>
            </w:r>
            <w:r>
              <w:rPr>
                <w:rFonts w:hint="eastAsia"/>
                <w:b/>
                <w:bCs/>
                <w:spacing w:val="5"/>
                <w:sz w:val="19"/>
                <w:szCs w:val="19"/>
                <w:lang w:val="en-US" w:eastAsia="zh-CN"/>
              </w:rPr>
              <w:t>30</w:t>
            </w:r>
          </w:p>
        </w:tc>
        <w:tc>
          <w:tcPr>
            <w:tcW w:w="6344" w:type="dxa"/>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美国3月CPI、核心CPI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478" w:type="dxa"/>
            <w:shd w:val="clear" w:color="auto" w:fill="D3EAFF"/>
            <w:vAlign w:val="top"/>
          </w:tcPr>
          <w:p>
            <w:pPr>
              <w:pStyle w:val="8"/>
              <w:spacing w:before="248" w:line="172" w:lineRule="auto"/>
              <w:ind w:left="92" w:leftChars="0"/>
              <w:rPr>
                <w:rFonts w:hint="default"/>
                <w:sz w:val="19"/>
                <w:szCs w:val="19"/>
                <w:lang w:val="en-US"/>
              </w:rPr>
            </w:pPr>
            <w:r>
              <w:rPr>
                <w:rFonts w:hint="eastAsia"/>
                <w:b/>
                <w:bCs/>
                <w:spacing w:val="3"/>
                <w:sz w:val="19"/>
                <w:szCs w:val="19"/>
                <w:lang w:val="en-US" w:eastAsia="zh-CN"/>
              </w:rPr>
              <w:t>21：45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加拿大央行公布利率决议和货币政策报告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4"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478" w:type="dxa"/>
            <w:shd w:val="clear" w:color="auto" w:fill="FFFFFF" w:themeFill="background1"/>
            <w:vAlign w:val="top"/>
          </w:tcPr>
          <w:p>
            <w:pPr>
              <w:pStyle w:val="8"/>
              <w:spacing w:before="248" w:line="172" w:lineRule="auto"/>
              <w:ind w:left="92"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6"/>
                <w:sz w:val="19"/>
                <w:szCs w:val="19"/>
                <w:lang w:val="en-US" w:eastAsia="zh-CN"/>
              </w:rPr>
              <w:t>22</w:t>
            </w:r>
            <w:r>
              <w:rPr>
                <w:b/>
                <w:bCs/>
                <w:spacing w:val="6"/>
                <w:sz w:val="19"/>
                <w:szCs w:val="19"/>
              </w:rPr>
              <w:t>:</w:t>
            </w:r>
            <w:r>
              <w:rPr>
                <w:rFonts w:hint="eastAsia"/>
                <w:b/>
                <w:bCs/>
                <w:spacing w:val="6"/>
                <w:sz w:val="19"/>
                <w:szCs w:val="19"/>
                <w:lang w:val="en-US" w:eastAsia="zh-CN"/>
              </w:rPr>
              <w:t>0</w:t>
            </w:r>
            <w:r>
              <w:rPr>
                <w:b/>
                <w:bCs/>
                <w:spacing w:val="6"/>
                <w:sz w:val="19"/>
                <w:szCs w:val="19"/>
              </w:rPr>
              <w:t>0</w:t>
            </w:r>
          </w:p>
        </w:tc>
        <w:tc>
          <w:tcPr>
            <w:tcW w:w="6344" w:type="dxa"/>
            <w:shd w:val="clear" w:color="auto" w:fill="FFFFFF" w:themeFill="background1"/>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美国2月批发库存终值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10</w:t>
            </w:r>
          </w:p>
        </w:tc>
        <w:tc>
          <w:tcPr>
            <w:tcW w:w="1478" w:type="dxa"/>
            <w:shd w:val="clear" w:color="auto" w:fill="D3EAFF"/>
            <w:vAlign w:val="top"/>
          </w:tcPr>
          <w:p>
            <w:pPr>
              <w:pStyle w:val="8"/>
              <w:spacing w:before="252" w:line="170" w:lineRule="auto"/>
              <w:ind w:left="101" w:leftChars="0"/>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w:t>
            </w:r>
            <w:r>
              <w:rPr>
                <w:b/>
                <w:bCs/>
                <w:spacing w:val="5"/>
                <w:sz w:val="19"/>
                <w:szCs w:val="19"/>
              </w:rPr>
              <w:t>:</w:t>
            </w:r>
            <w:r>
              <w:rPr>
                <w:rFonts w:hint="eastAsia"/>
                <w:b/>
                <w:bCs/>
                <w:spacing w:val="5"/>
                <w:sz w:val="19"/>
                <w:szCs w:val="19"/>
                <w:lang w:val="en-US" w:eastAsia="zh-CN"/>
              </w:rPr>
              <w:t>30</w:t>
            </w:r>
          </w:p>
        </w:tc>
        <w:tc>
          <w:tcPr>
            <w:tcW w:w="6344" w:type="dxa"/>
            <w:shd w:val="clear" w:color="auto" w:fill="D3EAFF"/>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美国4月5日当周EIA原油、EIA精炼油、EIA汽油、EIA库欣地区原油库存变动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02</w:t>
            </w:r>
            <w:r>
              <w:rPr>
                <w:b/>
                <w:bCs/>
                <w:spacing w:val="5"/>
                <w:sz w:val="19"/>
                <w:szCs w:val="19"/>
              </w:rPr>
              <w:t>:</w:t>
            </w:r>
            <w:r>
              <w:rPr>
                <w:rFonts w:hint="eastAsia"/>
                <w:b/>
                <w:bCs/>
                <w:spacing w:val="5"/>
                <w:sz w:val="19"/>
                <w:szCs w:val="19"/>
                <w:lang w:val="en-US" w:eastAsia="zh-CN"/>
              </w:rPr>
              <w:t>00</w:t>
            </w:r>
          </w:p>
        </w:tc>
        <w:tc>
          <w:tcPr>
            <w:tcW w:w="6344" w:type="dxa"/>
            <w:shd w:val="clear" w:color="auto" w:fill="FFFFFF" w:themeFill="background1"/>
            <w:vAlign w:val="top"/>
          </w:tcPr>
          <w:p>
            <w:pPr>
              <w:pStyle w:val="8"/>
              <w:spacing w:before="221" w:line="180" w:lineRule="auto"/>
              <w:jc w:val="center"/>
              <w:rPr>
                <w:rFonts w:hint="default"/>
                <w:spacing w:val="25"/>
                <w:sz w:val="19"/>
                <w:szCs w:val="19"/>
                <w:lang w:val="en-US" w:eastAsia="zh-CN"/>
              </w:rPr>
            </w:pPr>
            <w:r>
              <w:rPr>
                <w:rFonts w:hint="eastAsia"/>
                <w:spacing w:val="25"/>
                <w:sz w:val="19"/>
                <w:szCs w:val="19"/>
                <w:lang w:val="en-US" w:eastAsia="zh-CN"/>
              </w:rPr>
              <w:t>美国3月政府预算</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16：00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意大利2月季调后工业产出环比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b/>
                <w:bCs/>
                <w:spacing w:val="5"/>
                <w:sz w:val="19"/>
                <w:szCs w:val="19"/>
                <w:lang w:val="en-US" w:eastAsia="zh-CN"/>
              </w:rPr>
              <w:t>20：15</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欧洲央行公布利率决议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美国3月30日当周续请失业救济人数</w:t>
            </w:r>
            <w:r>
              <w:rPr>
                <w:rFonts w:hint="eastAsia"/>
                <w:spacing w:val="25"/>
                <w:sz w:val="19"/>
                <w:szCs w:val="19"/>
                <w:lang w:val="en-US" w:eastAsia="zh-CN"/>
              </w:rPr>
              <w:t>、4月6日当周首次申请失业救济人数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美国3月PPI、核心PPI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11</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20：45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欧洲央行行长拉加德召开货币政策新闻发布会</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12：30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日本2月工业产出终值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14：00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英国2月整体商品和服务贸易帐</w:t>
            </w:r>
            <w:r>
              <w:rPr>
                <w:rFonts w:hint="eastAsia"/>
                <w:spacing w:val="25"/>
                <w:sz w:val="19"/>
                <w:szCs w:val="19"/>
                <w:lang w:val="en-US" w:eastAsia="zh-CN"/>
              </w:rPr>
              <w:t>、制造业产出、工业产出、GDP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478" w:type="dxa"/>
            <w:shd w:val="clear" w:color="auto" w:fill="FFFFFF" w:themeFill="background1"/>
            <w:vAlign w:val="top"/>
          </w:tcPr>
          <w:p>
            <w:pPr>
              <w:pStyle w:val="8"/>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14：00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德国3月3月CPI、调和CPI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14：45</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法国3月CPI终值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20：30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美国3月进口价格指数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12</w:t>
            </w:r>
          </w:p>
        </w:tc>
        <w:tc>
          <w:tcPr>
            <w:tcW w:w="1478" w:type="dxa"/>
            <w:shd w:val="clear" w:color="auto" w:fill="D3EAFF"/>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22：00</w:t>
            </w:r>
          </w:p>
        </w:tc>
        <w:tc>
          <w:tcPr>
            <w:tcW w:w="6344" w:type="dxa"/>
            <w:shd w:val="clear" w:color="auto" w:fill="D3EAFF"/>
            <w:vAlign w:val="top"/>
          </w:tcPr>
          <w:p>
            <w:pPr>
              <w:pStyle w:val="8"/>
              <w:spacing w:before="221" w:line="180" w:lineRule="auto"/>
              <w:jc w:val="center"/>
              <w:rPr>
                <w:rFonts w:hint="default"/>
                <w:spacing w:val="25"/>
                <w:sz w:val="19"/>
                <w:szCs w:val="19"/>
                <w:lang w:val="en-US" w:eastAsia="zh-CN"/>
              </w:rPr>
            </w:pPr>
            <w:r>
              <w:rPr>
                <w:rFonts w:hint="default"/>
                <w:spacing w:val="25"/>
                <w:sz w:val="19"/>
                <w:szCs w:val="19"/>
                <w:lang w:val="en-US" w:eastAsia="zh-CN"/>
              </w:rPr>
              <w:t>美国4月密歇根大学消费者预期指数初值</w:t>
            </w:r>
            <w:r>
              <w:rPr>
                <w:rFonts w:hint="eastAsia"/>
                <w:spacing w:val="25"/>
                <w:sz w:val="19"/>
                <w:szCs w:val="19"/>
                <w:lang w:val="en-US" w:eastAsia="zh-CN"/>
              </w:rPr>
              <w:t>、消费者现况指数初值、消费者信心指数初值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8"/>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13</w:t>
            </w:r>
          </w:p>
        </w:tc>
        <w:tc>
          <w:tcPr>
            <w:tcW w:w="1478" w:type="dxa"/>
            <w:shd w:val="clear" w:color="auto" w:fill="FFFFFF" w:themeFill="background1"/>
            <w:vAlign w:val="top"/>
          </w:tcPr>
          <w:p>
            <w:pPr>
              <w:pStyle w:val="8"/>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01：00</w:t>
            </w:r>
          </w:p>
        </w:tc>
        <w:tc>
          <w:tcPr>
            <w:tcW w:w="6344" w:type="dxa"/>
            <w:shd w:val="clear" w:color="auto" w:fill="FFFFFF" w:themeFill="background1"/>
            <w:vAlign w:val="top"/>
          </w:tcPr>
          <w:p>
            <w:pPr>
              <w:pStyle w:val="8"/>
              <w:spacing w:before="221" w:line="180" w:lineRule="auto"/>
              <w:jc w:val="center"/>
              <w:rPr>
                <w:rFonts w:hint="eastAsia"/>
                <w:spacing w:val="25"/>
                <w:sz w:val="19"/>
                <w:szCs w:val="19"/>
                <w:lang w:val="en-US" w:eastAsia="zh-CN"/>
              </w:rPr>
            </w:pPr>
            <w:r>
              <w:rPr>
                <w:rFonts w:hint="eastAsia"/>
                <w:spacing w:val="25"/>
                <w:sz w:val="19"/>
                <w:szCs w:val="19"/>
                <w:lang w:val="en-US" w:eastAsia="zh-CN"/>
              </w:rPr>
              <w:t>美国4月12日当周石油钻井数</w:t>
            </w:r>
          </w:p>
        </w:tc>
      </w:tr>
    </w:tbl>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hint="eastAsia" w:ascii="微软雅黑" w:hAnsi="微软雅黑" w:eastAsia="微软雅黑" w:cs="微软雅黑"/>
          <w:color w:val="CE393F"/>
          <w:spacing w:val="8"/>
          <w:position w:val="2"/>
          <w:sz w:val="40"/>
          <w:szCs w:val="40"/>
          <w:lang w:eastAsia="zh-CN"/>
        </w:rPr>
      </w:pPr>
    </w:p>
    <w:p>
      <w:pPr>
        <w:spacing w:before="172" w:line="417" w:lineRule="exact"/>
        <w:rPr>
          <w:rFonts w:hint="eastAsia" w:ascii="微软雅黑" w:hAnsi="微软雅黑" w:eastAsia="微软雅黑" w:cs="微软雅黑"/>
          <w:color w:val="CE393F"/>
          <w:spacing w:val="8"/>
          <w:position w:val="2"/>
          <w:sz w:val="40"/>
          <w:szCs w:val="40"/>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0"/>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15CB1165"/>
    <w:rsid w:val="00044EF2"/>
    <w:rsid w:val="00496DA9"/>
    <w:rsid w:val="00863B59"/>
    <w:rsid w:val="00A62BDE"/>
    <w:rsid w:val="00B22BA0"/>
    <w:rsid w:val="00C36B5B"/>
    <w:rsid w:val="00E13486"/>
    <w:rsid w:val="00E15234"/>
    <w:rsid w:val="00E22773"/>
    <w:rsid w:val="01193A1D"/>
    <w:rsid w:val="012D0479"/>
    <w:rsid w:val="013B4944"/>
    <w:rsid w:val="019304DF"/>
    <w:rsid w:val="019F50C8"/>
    <w:rsid w:val="01BB1E5F"/>
    <w:rsid w:val="01F3521E"/>
    <w:rsid w:val="02297E10"/>
    <w:rsid w:val="022E63CF"/>
    <w:rsid w:val="02421D02"/>
    <w:rsid w:val="027E160A"/>
    <w:rsid w:val="02BA7A06"/>
    <w:rsid w:val="02CD5A6F"/>
    <w:rsid w:val="034A70C0"/>
    <w:rsid w:val="03655CA8"/>
    <w:rsid w:val="03A2514E"/>
    <w:rsid w:val="03AC1797"/>
    <w:rsid w:val="03D60172"/>
    <w:rsid w:val="03E07A24"/>
    <w:rsid w:val="03F75516"/>
    <w:rsid w:val="03F90AE6"/>
    <w:rsid w:val="045B0C31"/>
    <w:rsid w:val="05290F57"/>
    <w:rsid w:val="0539563E"/>
    <w:rsid w:val="05746676"/>
    <w:rsid w:val="05874FAF"/>
    <w:rsid w:val="05F02484"/>
    <w:rsid w:val="061C7051"/>
    <w:rsid w:val="062005AC"/>
    <w:rsid w:val="065A3ABE"/>
    <w:rsid w:val="06CE0008"/>
    <w:rsid w:val="06EB0BBA"/>
    <w:rsid w:val="07520C39"/>
    <w:rsid w:val="07862691"/>
    <w:rsid w:val="07943000"/>
    <w:rsid w:val="07BA233A"/>
    <w:rsid w:val="08202C92"/>
    <w:rsid w:val="083D2683"/>
    <w:rsid w:val="08D31906"/>
    <w:rsid w:val="09AF791D"/>
    <w:rsid w:val="09B131C5"/>
    <w:rsid w:val="09E244F6"/>
    <w:rsid w:val="0AE75B3C"/>
    <w:rsid w:val="0AEB73DB"/>
    <w:rsid w:val="0B676E13"/>
    <w:rsid w:val="0B732F2C"/>
    <w:rsid w:val="0B884C29"/>
    <w:rsid w:val="0B9A670B"/>
    <w:rsid w:val="0BBF0178"/>
    <w:rsid w:val="0BF202F5"/>
    <w:rsid w:val="0C281F69"/>
    <w:rsid w:val="0D3E0A93"/>
    <w:rsid w:val="0D4032E2"/>
    <w:rsid w:val="0D532C44"/>
    <w:rsid w:val="0D7C07BE"/>
    <w:rsid w:val="0D8458C4"/>
    <w:rsid w:val="0D8C6527"/>
    <w:rsid w:val="0D906017"/>
    <w:rsid w:val="0DAE2941"/>
    <w:rsid w:val="0DD405FA"/>
    <w:rsid w:val="0DF540CC"/>
    <w:rsid w:val="0EA7186A"/>
    <w:rsid w:val="0F1B31AC"/>
    <w:rsid w:val="0F9D4A1B"/>
    <w:rsid w:val="0FAB7138"/>
    <w:rsid w:val="0FF7237E"/>
    <w:rsid w:val="103233B6"/>
    <w:rsid w:val="10507CE0"/>
    <w:rsid w:val="109C4CD3"/>
    <w:rsid w:val="10ED552F"/>
    <w:rsid w:val="11020FDA"/>
    <w:rsid w:val="11194576"/>
    <w:rsid w:val="113969C6"/>
    <w:rsid w:val="11AC7FAA"/>
    <w:rsid w:val="11C049F1"/>
    <w:rsid w:val="11C75D80"/>
    <w:rsid w:val="11D72467"/>
    <w:rsid w:val="12E14DFB"/>
    <w:rsid w:val="12F232D0"/>
    <w:rsid w:val="12FE3A23"/>
    <w:rsid w:val="13340126"/>
    <w:rsid w:val="138433AD"/>
    <w:rsid w:val="13AC7923"/>
    <w:rsid w:val="13B660AC"/>
    <w:rsid w:val="13F015BE"/>
    <w:rsid w:val="1414412B"/>
    <w:rsid w:val="143811B7"/>
    <w:rsid w:val="1448764C"/>
    <w:rsid w:val="144E2BD1"/>
    <w:rsid w:val="145C30F7"/>
    <w:rsid w:val="14A81E98"/>
    <w:rsid w:val="14C86AF0"/>
    <w:rsid w:val="14CC2FF3"/>
    <w:rsid w:val="150D26D7"/>
    <w:rsid w:val="153B1E45"/>
    <w:rsid w:val="15C727F2"/>
    <w:rsid w:val="15CB1165"/>
    <w:rsid w:val="16746137"/>
    <w:rsid w:val="16BE1E47"/>
    <w:rsid w:val="16E1792E"/>
    <w:rsid w:val="16E3540A"/>
    <w:rsid w:val="170E265C"/>
    <w:rsid w:val="1726179A"/>
    <w:rsid w:val="17285513"/>
    <w:rsid w:val="173D7210"/>
    <w:rsid w:val="17606A5A"/>
    <w:rsid w:val="1774742B"/>
    <w:rsid w:val="17A24888"/>
    <w:rsid w:val="17AA4179"/>
    <w:rsid w:val="17BB1EE3"/>
    <w:rsid w:val="17E610B2"/>
    <w:rsid w:val="181B0BD3"/>
    <w:rsid w:val="18581E27"/>
    <w:rsid w:val="186D543D"/>
    <w:rsid w:val="18980476"/>
    <w:rsid w:val="18A1732B"/>
    <w:rsid w:val="18FD47EE"/>
    <w:rsid w:val="191F64A1"/>
    <w:rsid w:val="19662322"/>
    <w:rsid w:val="1A5F56EF"/>
    <w:rsid w:val="1AE45BF4"/>
    <w:rsid w:val="1AEE4A81"/>
    <w:rsid w:val="1B0B13D3"/>
    <w:rsid w:val="1BD619E1"/>
    <w:rsid w:val="1C0C0F5F"/>
    <w:rsid w:val="1C3E1334"/>
    <w:rsid w:val="1C6C7C4F"/>
    <w:rsid w:val="1C766370"/>
    <w:rsid w:val="1C876837"/>
    <w:rsid w:val="1C9F0025"/>
    <w:rsid w:val="1D5E777F"/>
    <w:rsid w:val="1E05035C"/>
    <w:rsid w:val="1EC43D73"/>
    <w:rsid w:val="1F1702FA"/>
    <w:rsid w:val="1F9A4AD4"/>
    <w:rsid w:val="20014B53"/>
    <w:rsid w:val="200F0B71"/>
    <w:rsid w:val="20401B1F"/>
    <w:rsid w:val="209B6D55"/>
    <w:rsid w:val="20BF0C96"/>
    <w:rsid w:val="20EE157B"/>
    <w:rsid w:val="21260D15"/>
    <w:rsid w:val="21521E4A"/>
    <w:rsid w:val="217F6E19"/>
    <w:rsid w:val="222B4469"/>
    <w:rsid w:val="224A458F"/>
    <w:rsid w:val="228A0E2F"/>
    <w:rsid w:val="22D93B65"/>
    <w:rsid w:val="233C53E7"/>
    <w:rsid w:val="236773C3"/>
    <w:rsid w:val="23783845"/>
    <w:rsid w:val="23D9610A"/>
    <w:rsid w:val="24612064"/>
    <w:rsid w:val="24967F5F"/>
    <w:rsid w:val="24B108F5"/>
    <w:rsid w:val="252E01A9"/>
    <w:rsid w:val="254E25E8"/>
    <w:rsid w:val="258A1A44"/>
    <w:rsid w:val="25E82A3D"/>
    <w:rsid w:val="25E940BF"/>
    <w:rsid w:val="25FA62CC"/>
    <w:rsid w:val="26190E48"/>
    <w:rsid w:val="26556842"/>
    <w:rsid w:val="270D202F"/>
    <w:rsid w:val="272B0702"/>
    <w:rsid w:val="275D2FB6"/>
    <w:rsid w:val="27C46B92"/>
    <w:rsid w:val="2895052E"/>
    <w:rsid w:val="28A6098D"/>
    <w:rsid w:val="28CB3F50"/>
    <w:rsid w:val="28DA4193"/>
    <w:rsid w:val="29023E15"/>
    <w:rsid w:val="296248B4"/>
    <w:rsid w:val="298011DE"/>
    <w:rsid w:val="2A2878AC"/>
    <w:rsid w:val="2A2B114A"/>
    <w:rsid w:val="2A693A20"/>
    <w:rsid w:val="2ADA66CC"/>
    <w:rsid w:val="2AF976EE"/>
    <w:rsid w:val="2B0F6376"/>
    <w:rsid w:val="2BF8505C"/>
    <w:rsid w:val="2BFF63EA"/>
    <w:rsid w:val="2C273B93"/>
    <w:rsid w:val="2C3306C5"/>
    <w:rsid w:val="2C340A16"/>
    <w:rsid w:val="2C7A3CC3"/>
    <w:rsid w:val="2C950AFD"/>
    <w:rsid w:val="2C99771A"/>
    <w:rsid w:val="2CA549FA"/>
    <w:rsid w:val="2CAD22EA"/>
    <w:rsid w:val="2CD5539D"/>
    <w:rsid w:val="2CDC497D"/>
    <w:rsid w:val="2D0A14C6"/>
    <w:rsid w:val="2D30477D"/>
    <w:rsid w:val="2D6D04F5"/>
    <w:rsid w:val="2D7E77E3"/>
    <w:rsid w:val="2DA94CCC"/>
    <w:rsid w:val="2DB33930"/>
    <w:rsid w:val="2DE55AB4"/>
    <w:rsid w:val="2DE578FB"/>
    <w:rsid w:val="2DF32E80"/>
    <w:rsid w:val="2E0E0B66"/>
    <w:rsid w:val="2E3073C5"/>
    <w:rsid w:val="2E642E7C"/>
    <w:rsid w:val="2F0957D2"/>
    <w:rsid w:val="2F0B154A"/>
    <w:rsid w:val="2F29178F"/>
    <w:rsid w:val="2FA84FEB"/>
    <w:rsid w:val="2FB77A00"/>
    <w:rsid w:val="30161400"/>
    <w:rsid w:val="30A8270F"/>
    <w:rsid w:val="30BB2AFC"/>
    <w:rsid w:val="313B5938"/>
    <w:rsid w:val="315E3BB3"/>
    <w:rsid w:val="31772CB5"/>
    <w:rsid w:val="31DD2753"/>
    <w:rsid w:val="322A7F39"/>
    <w:rsid w:val="323927EA"/>
    <w:rsid w:val="32827D75"/>
    <w:rsid w:val="32B12807"/>
    <w:rsid w:val="3340448D"/>
    <w:rsid w:val="33813B89"/>
    <w:rsid w:val="33A06705"/>
    <w:rsid w:val="33DB19C8"/>
    <w:rsid w:val="342F1837"/>
    <w:rsid w:val="345E036E"/>
    <w:rsid w:val="34872F83"/>
    <w:rsid w:val="34A83397"/>
    <w:rsid w:val="350F0B5F"/>
    <w:rsid w:val="353A0493"/>
    <w:rsid w:val="354143BC"/>
    <w:rsid w:val="355B69C7"/>
    <w:rsid w:val="358F7E26"/>
    <w:rsid w:val="359A0F9A"/>
    <w:rsid w:val="35BC534C"/>
    <w:rsid w:val="36716136"/>
    <w:rsid w:val="3709636F"/>
    <w:rsid w:val="379437C1"/>
    <w:rsid w:val="37C52BDE"/>
    <w:rsid w:val="37C66B95"/>
    <w:rsid w:val="37E455AA"/>
    <w:rsid w:val="37EA2644"/>
    <w:rsid w:val="38082ACA"/>
    <w:rsid w:val="386B1064"/>
    <w:rsid w:val="38A327F3"/>
    <w:rsid w:val="38E928FC"/>
    <w:rsid w:val="39161217"/>
    <w:rsid w:val="391972DE"/>
    <w:rsid w:val="391D4265"/>
    <w:rsid w:val="392A6A70"/>
    <w:rsid w:val="394308E4"/>
    <w:rsid w:val="396E4BAF"/>
    <w:rsid w:val="398E0DAD"/>
    <w:rsid w:val="39A44A75"/>
    <w:rsid w:val="39F77BD4"/>
    <w:rsid w:val="39FA4695"/>
    <w:rsid w:val="3A557E84"/>
    <w:rsid w:val="3A5A656B"/>
    <w:rsid w:val="3AED4F4D"/>
    <w:rsid w:val="3AFA5018"/>
    <w:rsid w:val="3B585B17"/>
    <w:rsid w:val="3B5B1163"/>
    <w:rsid w:val="3B903503"/>
    <w:rsid w:val="3BE253E0"/>
    <w:rsid w:val="3C9C6B06"/>
    <w:rsid w:val="3CCF6101"/>
    <w:rsid w:val="3CD94A35"/>
    <w:rsid w:val="3D617FF5"/>
    <w:rsid w:val="3D6A38DF"/>
    <w:rsid w:val="3DE9514C"/>
    <w:rsid w:val="3E2D328B"/>
    <w:rsid w:val="3E3143FD"/>
    <w:rsid w:val="3E351665"/>
    <w:rsid w:val="3E5227DD"/>
    <w:rsid w:val="3E5637BC"/>
    <w:rsid w:val="3EB56DDC"/>
    <w:rsid w:val="3ED01E68"/>
    <w:rsid w:val="3EE17BD1"/>
    <w:rsid w:val="3EEA117C"/>
    <w:rsid w:val="3F141D55"/>
    <w:rsid w:val="3F2F2BC2"/>
    <w:rsid w:val="3F4C5993"/>
    <w:rsid w:val="3F6D76B7"/>
    <w:rsid w:val="3FB406FC"/>
    <w:rsid w:val="3FC25C55"/>
    <w:rsid w:val="3FE07E89"/>
    <w:rsid w:val="3FFD4EDF"/>
    <w:rsid w:val="40195CBF"/>
    <w:rsid w:val="405708C5"/>
    <w:rsid w:val="40C94DC1"/>
    <w:rsid w:val="40D63A95"/>
    <w:rsid w:val="40FB7670"/>
    <w:rsid w:val="4114792A"/>
    <w:rsid w:val="41656898"/>
    <w:rsid w:val="41662610"/>
    <w:rsid w:val="421A58D4"/>
    <w:rsid w:val="42B15B0D"/>
    <w:rsid w:val="43771ECC"/>
    <w:rsid w:val="43A37B4B"/>
    <w:rsid w:val="440E28E0"/>
    <w:rsid w:val="44775260"/>
    <w:rsid w:val="44BF6C07"/>
    <w:rsid w:val="44DA16DC"/>
    <w:rsid w:val="452E1696"/>
    <w:rsid w:val="45905EAD"/>
    <w:rsid w:val="45CD7101"/>
    <w:rsid w:val="45E84D52"/>
    <w:rsid w:val="45EF7078"/>
    <w:rsid w:val="46080139"/>
    <w:rsid w:val="46761547"/>
    <w:rsid w:val="46BA1434"/>
    <w:rsid w:val="473D0A98"/>
    <w:rsid w:val="47A83982"/>
    <w:rsid w:val="47AD0F98"/>
    <w:rsid w:val="4800731A"/>
    <w:rsid w:val="480C3F11"/>
    <w:rsid w:val="48403BBB"/>
    <w:rsid w:val="484E298E"/>
    <w:rsid w:val="48537D92"/>
    <w:rsid w:val="489B34E7"/>
    <w:rsid w:val="48AF2AEE"/>
    <w:rsid w:val="48EF45ED"/>
    <w:rsid w:val="497004D0"/>
    <w:rsid w:val="49997DA0"/>
    <w:rsid w:val="499F0DB5"/>
    <w:rsid w:val="49A44BB2"/>
    <w:rsid w:val="49B44860"/>
    <w:rsid w:val="4A3247E1"/>
    <w:rsid w:val="4A552E74"/>
    <w:rsid w:val="4AAE12AF"/>
    <w:rsid w:val="4B0D1F8E"/>
    <w:rsid w:val="4BBC1E80"/>
    <w:rsid w:val="4BC95B65"/>
    <w:rsid w:val="4C042EE1"/>
    <w:rsid w:val="4C7402D7"/>
    <w:rsid w:val="4C7E1155"/>
    <w:rsid w:val="4CB17D0E"/>
    <w:rsid w:val="4D185106"/>
    <w:rsid w:val="4D5325E2"/>
    <w:rsid w:val="4D813AAF"/>
    <w:rsid w:val="4DA3566D"/>
    <w:rsid w:val="4DCB4B60"/>
    <w:rsid w:val="4DD92CB2"/>
    <w:rsid w:val="4DF71285"/>
    <w:rsid w:val="4DFC67D6"/>
    <w:rsid w:val="4EDB63EB"/>
    <w:rsid w:val="4EF11305"/>
    <w:rsid w:val="4F580259"/>
    <w:rsid w:val="4FA03191"/>
    <w:rsid w:val="4FCC21D8"/>
    <w:rsid w:val="4FE83060"/>
    <w:rsid w:val="4FF5172F"/>
    <w:rsid w:val="50112EC9"/>
    <w:rsid w:val="5043693E"/>
    <w:rsid w:val="509E3AE8"/>
    <w:rsid w:val="50CE5E0A"/>
    <w:rsid w:val="50DC644B"/>
    <w:rsid w:val="51042608"/>
    <w:rsid w:val="51295DBA"/>
    <w:rsid w:val="5180327A"/>
    <w:rsid w:val="5210604F"/>
    <w:rsid w:val="523A5B1F"/>
    <w:rsid w:val="526404DA"/>
    <w:rsid w:val="531243A6"/>
    <w:rsid w:val="5358625C"/>
    <w:rsid w:val="53685179"/>
    <w:rsid w:val="537A3091"/>
    <w:rsid w:val="53A476F3"/>
    <w:rsid w:val="53BE6ABC"/>
    <w:rsid w:val="53C54323"/>
    <w:rsid w:val="54422A68"/>
    <w:rsid w:val="544C6829"/>
    <w:rsid w:val="54D51B2F"/>
    <w:rsid w:val="54F16968"/>
    <w:rsid w:val="54F9581D"/>
    <w:rsid w:val="551B5793"/>
    <w:rsid w:val="55741347"/>
    <w:rsid w:val="55A41C2D"/>
    <w:rsid w:val="57082D0C"/>
    <w:rsid w:val="573E7E5F"/>
    <w:rsid w:val="576A78C0"/>
    <w:rsid w:val="58B303D9"/>
    <w:rsid w:val="58E203E2"/>
    <w:rsid w:val="59514C56"/>
    <w:rsid w:val="596516D3"/>
    <w:rsid w:val="59D2663D"/>
    <w:rsid w:val="5ACE00A3"/>
    <w:rsid w:val="5B0E196C"/>
    <w:rsid w:val="5B5119C1"/>
    <w:rsid w:val="5B8B222E"/>
    <w:rsid w:val="5BAD7361"/>
    <w:rsid w:val="5BD448EE"/>
    <w:rsid w:val="5BD60666"/>
    <w:rsid w:val="5C49715E"/>
    <w:rsid w:val="5C5951DB"/>
    <w:rsid w:val="5C9E6422"/>
    <w:rsid w:val="5CA44735"/>
    <w:rsid w:val="5CFD1C22"/>
    <w:rsid w:val="5DC82230"/>
    <w:rsid w:val="5DD07337"/>
    <w:rsid w:val="5E4915C3"/>
    <w:rsid w:val="5E4F4700"/>
    <w:rsid w:val="5EC073AC"/>
    <w:rsid w:val="5EDD7F5D"/>
    <w:rsid w:val="5F23665C"/>
    <w:rsid w:val="5F351B48"/>
    <w:rsid w:val="5F3F6522"/>
    <w:rsid w:val="5F5C0E82"/>
    <w:rsid w:val="5F92774E"/>
    <w:rsid w:val="5FBA204D"/>
    <w:rsid w:val="607E12CC"/>
    <w:rsid w:val="60D1764E"/>
    <w:rsid w:val="61301E4B"/>
    <w:rsid w:val="61F5736C"/>
    <w:rsid w:val="61F71336"/>
    <w:rsid w:val="61FF01EB"/>
    <w:rsid w:val="62C76F5B"/>
    <w:rsid w:val="62CC424E"/>
    <w:rsid w:val="62EB67A0"/>
    <w:rsid w:val="645C7B76"/>
    <w:rsid w:val="64DD4813"/>
    <w:rsid w:val="64DF7D21"/>
    <w:rsid w:val="64EE6A20"/>
    <w:rsid w:val="65363F24"/>
    <w:rsid w:val="655645C6"/>
    <w:rsid w:val="65A13A93"/>
    <w:rsid w:val="65B31A18"/>
    <w:rsid w:val="65BD4788"/>
    <w:rsid w:val="66B94E0C"/>
    <w:rsid w:val="66ED2D08"/>
    <w:rsid w:val="67660125"/>
    <w:rsid w:val="679A6900"/>
    <w:rsid w:val="6850354E"/>
    <w:rsid w:val="686E1C26"/>
    <w:rsid w:val="687C2595"/>
    <w:rsid w:val="6885675A"/>
    <w:rsid w:val="689D5203"/>
    <w:rsid w:val="68AC500D"/>
    <w:rsid w:val="68F06DD6"/>
    <w:rsid w:val="69392234"/>
    <w:rsid w:val="69672440"/>
    <w:rsid w:val="69A973BA"/>
    <w:rsid w:val="69B63885"/>
    <w:rsid w:val="69C935B8"/>
    <w:rsid w:val="69FE3D41"/>
    <w:rsid w:val="6A582B8E"/>
    <w:rsid w:val="6B07083C"/>
    <w:rsid w:val="6BCC7390"/>
    <w:rsid w:val="6BCC7750"/>
    <w:rsid w:val="6C44102E"/>
    <w:rsid w:val="6CA36342"/>
    <w:rsid w:val="6CBA18DE"/>
    <w:rsid w:val="6CC60CEF"/>
    <w:rsid w:val="6D944A08"/>
    <w:rsid w:val="6D981752"/>
    <w:rsid w:val="6E386F5E"/>
    <w:rsid w:val="6E8D72AA"/>
    <w:rsid w:val="6E9A3775"/>
    <w:rsid w:val="6EE4097F"/>
    <w:rsid w:val="6EF72976"/>
    <w:rsid w:val="6FC84312"/>
    <w:rsid w:val="70597C8E"/>
    <w:rsid w:val="70D73AAB"/>
    <w:rsid w:val="71184E25"/>
    <w:rsid w:val="715C11B6"/>
    <w:rsid w:val="71C034F3"/>
    <w:rsid w:val="71DD14ED"/>
    <w:rsid w:val="720535FB"/>
    <w:rsid w:val="723143F0"/>
    <w:rsid w:val="72327230"/>
    <w:rsid w:val="724B3941"/>
    <w:rsid w:val="72740122"/>
    <w:rsid w:val="72750E87"/>
    <w:rsid w:val="7285473C"/>
    <w:rsid w:val="72D134DE"/>
    <w:rsid w:val="73B76B77"/>
    <w:rsid w:val="73EA2AA9"/>
    <w:rsid w:val="740D6797"/>
    <w:rsid w:val="74253AE1"/>
    <w:rsid w:val="74B3627D"/>
    <w:rsid w:val="74BA06CD"/>
    <w:rsid w:val="759727BC"/>
    <w:rsid w:val="75A44ED9"/>
    <w:rsid w:val="75B21FBB"/>
    <w:rsid w:val="75E1200D"/>
    <w:rsid w:val="75F47C0F"/>
    <w:rsid w:val="761756AB"/>
    <w:rsid w:val="76571F4C"/>
    <w:rsid w:val="76A72ED3"/>
    <w:rsid w:val="771A0386"/>
    <w:rsid w:val="77674410"/>
    <w:rsid w:val="77764653"/>
    <w:rsid w:val="77FA7033"/>
    <w:rsid w:val="7836450F"/>
    <w:rsid w:val="78B11DE7"/>
    <w:rsid w:val="78D248B9"/>
    <w:rsid w:val="792A1B99"/>
    <w:rsid w:val="79386064"/>
    <w:rsid w:val="799C4845"/>
    <w:rsid w:val="79F37797"/>
    <w:rsid w:val="7A1C14E2"/>
    <w:rsid w:val="7A5C2227"/>
    <w:rsid w:val="7AAC6D0A"/>
    <w:rsid w:val="7AB14320"/>
    <w:rsid w:val="7AC83418"/>
    <w:rsid w:val="7AE2272C"/>
    <w:rsid w:val="7B8F1A83"/>
    <w:rsid w:val="7B904BED"/>
    <w:rsid w:val="7BE67FFA"/>
    <w:rsid w:val="7BF87D2D"/>
    <w:rsid w:val="7C1A5EF5"/>
    <w:rsid w:val="7C75457A"/>
    <w:rsid w:val="7CE00EED"/>
    <w:rsid w:val="7D1F3D2F"/>
    <w:rsid w:val="7D252DA4"/>
    <w:rsid w:val="7E0E3838"/>
    <w:rsid w:val="7E2E5C88"/>
    <w:rsid w:val="7E755665"/>
    <w:rsid w:val="7EC363A2"/>
    <w:rsid w:val="7EFD0F59"/>
    <w:rsid w:val="7F141322"/>
    <w:rsid w:val="7F201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oleObject" Target="file:///E:\&#21508;&#21697;&#31181;\3&#12289;&#38081;&#30719;&#30707;\&#25968;&#25454;&#24211;\1&#12289;&#38081;&#30719;&#30707;&#28207;&#21475;&#24211;&#23384;.xlsx!45&#28207;&#24211;&#23384;&#37327;!%5b1&#12289;&#38081;&#30719;&#30707;&#28207;&#21475;&#24211;&#23384;.xlsx%5d45&#28207;&#24211;&#23384;&#37327;%20&#22270;&#34920;%202" TargetMode="External"/><Relationship Id="rId24" Type="http://schemas.openxmlformats.org/officeDocument/2006/relationships/image" Target="media/image17.emf"/><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oleObject" Target="file:///D:\SUGA&#24037;&#20316;\SUGA&#24037;&#20316;\2&#38108;\&#21697;&#31181;--&#25968;&#25454;&#24211;\&#25968;&#25454;&#24211;\4&#20135;&#19994;.xlsx!&#20132;&#26131;&#25152;&#24211;&#23384;!%5b4&#20135;&#19994;.xlsx%5d&#20132;&#26131;&#25152;&#24211;&#23384;%20&#22270;&#34920;%201" TargetMode="External"/><Relationship Id="rId15" Type="http://schemas.openxmlformats.org/officeDocument/2006/relationships/image" Target="media/image9.e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3810</Words>
  <Characters>4815</Characters>
  <Lines>0</Lines>
  <Paragraphs>0</Paragraphs>
  <TotalTime>0</TotalTime>
  <ScaleCrop>false</ScaleCrop>
  <LinksUpToDate>false</LinksUpToDate>
  <CharactersWithSpaces>4915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2024-04-01T00:03:00Z</dcterms:created>
  <dc:creator>WPS_1180513195</dc:creator>
  <cp:lastModifiedBy>WPS_1180513195</cp:lastModifiedBy>
  <dcterms:modified xsi:type="dcterms:W3CDTF">2024-04-08T01:57:55Z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224574E9CA40411CA586FC1D69C05E8B_11</vt:lpwstr>
  </property>
</Properties>
</file>