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56" w:lineRule="auto"/>
      </w:pPr>
      <w: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upright="0"/>
                    </wps:wsp>
                  </a:graphicData>
                </a:graphic>
              </wp:anchor>
            </w:drawing>
          </mc:Choice>
          <mc:Fallback>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x&#10;SUMJ2AAAAAsBAAAPAAAAAAAAAAEAIAAAACIAAABkcnMvZG93bnJldi54bWxQSwECFAAUAAAACACH&#10;TuJAiyX8T7IBAABgAwAADgAAAAAAAAABACAAAAAnAQAAZHJzL2Uyb0RvYy54bWxQSwUGAAAAAAYA&#10;BgBZAQAASwUAAAAA&#10;">
                <v:fill on="t" focussize="0,0"/>
                <v:stroke on="f"/>
                <v:imagedata o:title=""/>
                <o:lock v:ext="edit" aspectratio="f"/>
              </v:rect>
            </w:pict>
          </mc:Fallback>
        </mc:AlternateContent>
      </w: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spacing w:line="240" w:lineRule="auto"/>
        <w:ind w:firstLine="1421"/>
        <w:rPr>
          <w:rFonts w:hint="eastAsia" w:eastAsia="宋体"/>
          <w:lang w:eastAsia="zh-CN"/>
        </w:rPr>
      </w:pPr>
      <w:r>
        <w:rPr>
          <w:rFonts w:hint="eastAsia" w:eastAsia="宋体"/>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pPr>
        <w:spacing w:line="240" w:lineRule="auto"/>
        <w:ind w:firstLine="1421"/>
        <w:rPr>
          <w:rFonts w:ascii="微软雅黑" w:hAnsi="微软雅黑" w:eastAsia="微软雅黑" w:cs="微软雅黑"/>
          <w:sz w:val="96"/>
          <w:szCs w:val="96"/>
        </w:rPr>
      </w:pPr>
      <w:r>
        <w:rPr>
          <w:rFonts w:hint="eastAsia" w:ascii="微软雅黑" w:hAnsi="微软雅黑" w:eastAsia="微软雅黑" w:cs="微软雅黑"/>
          <w:b/>
          <w:bCs/>
          <w:color w:val="FFFFFF"/>
          <w:spacing w:val="6"/>
          <w:sz w:val="96"/>
          <w:szCs w:val="96"/>
          <w:lang w:val="en-US" w:eastAsia="zh-CN"/>
        </w:rPr>
        <w:t>每日</w:t>
      </w:r>
      <w:r>
        <w:rPr>
          <w:rFonts w:ascii="微软雅黑" w:hAnsi="微软雅黑" w:eastAsia="微软雅黑" w:cs="微软雅黑"/>
          <w:b/>
          <w:bCs/>
          <w:color w:val="FFFFFF"/>
          <w:spacing w:val="6"/>
          <w:sz w:val="96"/>
          <w:szCs w:val="96"/>
        </w:rPr>
        <w:t>市场报告</w:t>
      </w: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spacing w:before="206" w:line="204" w:lineRule="auto"/>
        <w:ind w:left="7323"/>
        <w:rPr>
          <w:sz w:val="48"/>
          <w:szCs w:val="48"/>
        </w:rPr>
      </w:pPr>
      <w:r>
        <w:rPr>
          <w:rFonts w:ascii="微软雅黑" w:hAnsi="微软雅黑" w:eastAsia="微软雅黑" w:cs="微软雅黑"/>
          <w:b/>
          <w:bCs/>
          <w:color w:val="005D97"/>
          <w:spacing w:val="-22"/>
          <w:sz w:val="48"/>
          <w:szCs w:val="48"/>
        </w:rPr>
        <w:t>2024年</w:t>
      </w:r>
      <w:r>
        <w:rPr>
          <w:rFonts w:hint="eastAsia" w:ascii="微软雅黑" w:hAnsi="微软雅黑" w:eastAsia="微软雅黑" w:cs="微软雅黑"/>
          <w:b/>
          <w:bCs/>
          <w:color w:val="005D97"/>
          <w:spacing w:val="-22"/>
          <w:sz w:val="48"/>
          <w:szCs w:val="48"/>
          <w:lang w:val="en-US" w:eastAsia="zh-CN"/>
        </w:rPr>
        <w:t>4</w:t>
      </w:r>
      <w:r>
        <w:rPr>
          <w:rFonts w:ascii="微软雅黑" w:hAnsi="微软雅黑" w:eastAsia="微软雅黑" w:cs="微软雅黑"/>
          <w:b/>
          <w:bCs/>
          <w:color w:val="005D97"/>
          <w:spacing w:val="-22"/>
          <w:sz w:val="48"/>
          <w:szCs w:val="48"/>
        </w:rPr>
        <w:t>月</w:t>
      </w:r>
      <w:r>
        <w:rPr>
          <w:rFonts w:hint="eastAsia" w:ascii="微软雅黑" w:hAnsi="微软雅黑" w:eastAsia="微软雅黑" w:cs="微软雅黑"/>
          <w:b/>
          <w:bCs/>
          <w:color w:val="005D97"/>
          <w:spacing w:val="-22"/>
          <w:sz w:val="48"/>
          <w:szCs w:val="48"/>
          <w:lang w:val="en-US" w:eastAsia="zh-CN"/>
        </w:rPr>
        <w:t>9</w:t>
      </w:r>
      <w:r>
        <w:rPr>
          <w:rFonts w:ascii="微软雅黑" w:hAnsi="微软雅黑" w:eastAsia="微软雅黑" w:cs="微软雅黑"/>
          <w:b/>
          <w:bCs/>
          <w:color w:val="005D97"/>
          <w:spacing w:val="-22"/>
          <w:sz w:val="48"/>
          <w:szCs w:val="48"/>
        </w:rPr>
        <w:t>日</w:t>
      </w:r>
      <w:r>
        <w:rPr>
          <w:rFonts w:ascii="微软雅黑" w:hAnsi="微软雅黑" w:eastAsia="微软雅黑" w:cs="微软雅黑"/>
          <w:b/>
          <w:bCs/>
          <w:color w:val="005D97"/>
          <w:spacing w:val="38"/>
          <w:sz w:val="48"/>
          <w:szCs w:val="48"/>
        </w:rPr>
        <w:t xml:space="preserve"> </w:t>
      </w:r>
      <w:r>
        <w:rPr>
          <w:position w:val="-3"/>
          <w:sz w:val="48"/>
          <w:szCs w:val="48"/>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pPr>
        <w:spacing w:line="204" w:lineRule="auto"/>
        <w:rPr>
          <w:sz w:val="48"/>
          <w:szCs w:val="48"/>
        </w:rPr>
        <w:sectPr>
          <w:headerReference r:id="rId5" w:type="default"/>
          <w:pgSz w:w="11906" w:h="16838"/>
          <w:pgMar w:top="400" w:right="0" w:bottom="0" w:left="0" w:header="0" w:footer="340" w:gutter="0"/>
          <w:pgBorders>
            <w:top w:val="none" w:sz="0" w:space="0"/>
            <w:left w:val="none" w:sz="0" w:space="0"/>
            <w:bottom w:val="none" w:sz="0" w:space="0"/>
            <w:right w:val="none" w:sz="0" w:space="0"/>
          </w:pgBorders>
          <w:pgNumType w:fmt="decimal"/>
          <w:cols w:space="720" w:num="1"/>
        </w:sectPr>
      </w:pPr>
    </w:p>
    <w:p>
      <w:pPr>
        <w:pBdr>
          <w:top w:val="none" w:color="auto" w:sz="0" w:space="1"/>
          <w:left w:val="none" w:color="auto" w:sz="0" w:space="4"/>
          <w:bottom w:val="none" w:color="auto" w:sz="0" w:space="1"/>
          <w:right w:val="none" w:color="auto" w:sz="0" w:space="4"/>
          <w:between w:val="none" w:color="auto" w:sz="0" w:space="0"/>
        </w:pBdr>
        <w:kinsoku w:val="0"/>
        <w:autoSpaceDE w:val="0"/>
        <w:autoSpaceDN w:val="0"/>
        <w:adjustRightInd w:val="0"/>
        <w:snapToGrid w:val="0"/>
        <w:spacing w:line="240" w:lineRule="auto"/>
        <w:ind w:right="420" w:rightChars="200" w:firstLine="0" w:firstLineChars="0"/>
        <w:jc w:val="left"/>
        <w:textAlignment w:val="baseline"/>
        <w:rPr>
          <w:rFonts w:hint="eastAsia" w:eastAsia="宋体"/>
          <w:lang w:eastAsia="zh-CN"/>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市场综述</w:t>
      </w:r>
    </w:p>
    <w:p>
      <w:pPr>
        <w:keepNext w:val="0"/>
        <w:keepLines w:val="0"/>
        <w:pageBreakBefore w:val="0"/>
        <w:widowControl/>
        <w:kinsoku w:val="0"/>
        <w:wordWrap/>
        <w:overflowPunct/>
        <w:topLinePunct w:val="0"/>
        <w:autoSpaceDE w:val="0"/>
        <w:autoSpaceDN w:val="0"/>
        <w:bidi w:val="0"/>
        <w:adjustRightInd w:val="0"/>
        <w:snapToGrid w:val="0"/>
        <w:spacing w:before="103" w:line="257" w:lineRule="auto"/>
        <w:ind w:right="584"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val="en-US" w:eastAsia="zh-CN"/>
        </w:rPr>
        <w:t>美</w:t>
      </w:r>
      <w:r>
        <w:rPr>
          <w:rFonts w:hint="eastAsia" w:ascii="微软雅黑" w:hAnsi="微软雅黑" w:eastAsia="微软雅黑" w:cs="微软雅黑"/>
          <w:spacing w:val="4"/>
          <w:sz w:val="24"/>
          <w:szCs w:val="24"/>
          <w:lang w:eastAsia="zh-CN"/>
        </w:rPr>
        <w:t>国三大股指收盘涨跌不一，道指跌0.03%报38892.8点，标普500指数跌0.04%报5202.39点，纳指涨0.03%报16253.96点。美元指数跌0.14%报104.14，非美货币多数上涨，离岸人民币对美元涨50个基点报7.2422。国际油价全线下跌，美油5月合约跌0.39%，报86.57美元/桶；布油6月合约跌0.71%，报90.52美元/桶。国际贵金属期货普遍收涨，COMEX黄金期货涨0.55%报2358.4美元/盎司，再创历史新高，COMEX白银期货涨1.7%报27.97美元/盎司，沪银创十年新高。LME期铜涨1.22%报9443.5美元/吨。ICE 5月原糖</w:t>
      </w:r>
      <w:r>
        <w:rPr>
          <w:rFonts w:hint="eastAsia" w:ascii="微软雅黑" w:hAnsi="微软雅黑" w:eastAsia="微软雅黑" w:cs="微软雅黑"/>
          <w:spacing w:val="4"/>
          <w:sz w:val="24"/>
          <w:szCs w:val="24"/>
          <w:lang w:val="en-US" w:eastAsia="zh-CN"/>
        </w:rPr>
        <w:t>期货合约</w:t>
      </w:r>
      <w:r>
        <w:rPr>
          <w:rFonts w:hint="eastAsia" w:ascii="微软雅黑" w:hAnsi="微软雅黑" w:eastAsia="微软雅黑" w:cs="微软雅黑"/>
          <w:spacing w:val="4"/>
          <w:sz w:val="24"/>
          <w:szCs w:val="24"/>
          <w:lang w:eastAsia="zh-CN"/>
        </w:rPr>
        <w:t>收</w:t>
      </w:r>
      <w:r>
        <w:rPr>
          <w:rFonts w:hint="eastAsia" w:ascii="微软雅黑" w:hAnsi="微软雅黑" w:eastAsia="微软雅黑" w:cs="微软雅黑"/>
          <w:spacing w:val="4"/>
          <w:sz w:val="24"/>
          <w:szCs w:val="24"/>
          <w:lang w:val="en-US" w:eastAsia="zh-CN"/>
        </w:rPr>
        <w:t>跌1.8%</w:t>
      </w:r>
      <w:r>
        <w:rPr>
          <w:rFonts w:hint="eastAsia" w:ascii="微软雅黑" w:hAnsi="微软雅黑" w:eastAsia="微软雅黑" w:cs="微软雅黑"/>
          <w:spacing w:val="4"/>
          <w:sz w:val="24"/>
          <w:szCs w:val="24"/>
          <w:lang w:eastAsia="zh-CN"/>
        </w:rPr>
        <w:t>，结算价报2</w:t>
      </w:r>
      <w:r>
        <w:rPr>
          <w:rFonts w:hint="eastAsia" w:ascii="微软雅黑" w:hAnsi="微软雅黑" w:eastAsia="微软雅黑" w:cs="微软雅黑"/>
          <w:spacing w:val="4"/>
          <w:sz w:val="24"/>
          <w:szCs w:val="24"/>
          <w:lang w:val="en-US" w:eastAsia="zh-CN"/>
        </w:rPr>
        <w:t>1.59</w:t>
      </w:r>
      <w:r>
        <w:rPr>
          <w:rFonts w:hint="eastAsia" w:ascii="微软雅黑" w:hAnsi="微软雅黑" w:eastAsia="微软雅黑" w:cs="微软雅黑"/>
          <w:spacing w:val="4"/>
          <w:sz w:val="24"/>
          <w:szCs w:val="24"/>
          <w:lang w:eastAsia="zh-CN"/>
        </w:rPr>
        <w:t>美分/磅。ICE 5月期棉</w:t>
      </w:r>
      <w:r>
        <w:rPr>
          <w:rFonts w:hint="eastAsia" w:ascii="微软雅黑" w:hAnsi="微软雅黑" w:eastAsia="微软雅黑" w:cs="微软雅黑"/>
          <w:spacing w:val="4"/>
          <w:sz w:val="24"/>
          <w:szCs w:val="24"/>
          <w:lang w:val="en-US" w:eastAsia="zh-CN"/>
        </w:rPr>
        <w:t>期货合约</w:t>
      </w:r>
      <w:r>
        <w:rPr>
          <w:rFonts w:hint="eastAsia" w:ascii="微软雅黑" w:hAnsi="微软雅黑" w:eastAsia="微软雅黑" w:cs="微软雅黑"/>
          <w:spacing w:val="4"/>
          <w:sz w:val="24"/>
          <w:szCs w:val="24"/>
          <w:lang w:eastAsia="zh-CN"/>
        </w:rPr>
        <w:t>收涨0.50%，结算价报86.65</w:t>
      </w:r>
      <w:r>
        <w:rPr>
          <w:rFonts w:hint="eastAsia" w:ascii="微软雅黑" w:hAnsi="微软雅黑" w:eastAsia="微软雅黑" w:cs="微软雅黑"/>
          <w:spacing w:val="4"/>
          <w:sz w:val="24"/>
          <w:szCs w:val="24"/>
          <w:lang w:val="en-US" w:eastAsia="zh-CN"/>
        </w:rPr>
        <w:t>美</w:t>
      </w:r>
      <w:r>
        <w:rPr>
          <w:rFonts w:hint="eastAsia" w:ascii="微软雅黑" w:hAnsi="微软雅黑" w:eastAsia="微软雅黑" w:cs="微软雅黑"/>
          <w:spacing w:val="4"/>
          <w:sz w:val="24"/>
          <w:szCs w:val="24"/>
          <w:lang w:eastAsia="zh-CN"/>
        </w:rPr>
        <w:t>分/磅。</w:t>
      </w:r>
    </w:p>
    <w:p>
      <w:pPr>
        <w:spacing w:before="235" w:line="176" w:lineRule="auto"/>
        <w:jc w:val="both"/>
        <w:rPr>
          <w:rFonts w:ascii="微软雅黑" w:hAnsi="微软雅黑" w:eastAsia="微软雅黑" w:cs="微软雅黑"/>
          <w:spacing w:val="7"/>
          <w:sz w:val="21"/>
          <w:szCs w:val="21"/>
        </w:rPr>
      </w:pPr>
      <w:r>
        <w:rPr>
          <w:rFonts w:ascii="微软雅黑" w:hAnsi="微软雅黑" w:eastAsia="微软雅黑" w:cs="微软雅黑"/>
          <w:spacing w:val="7"/>
          <w:sz w:val="21"/>
          <w:szCs w:val="21"/>
        </w:rPr>
        <w:t>图表1</w:t>
      </w:r>
      <w:r>
        <w:rPr>
          <w:rFonts w:hint="eastAsia" w:ascii="微软雅黑" w:hAnsi="微软雅黑" w:eastAsia="微软雅黑" w:cs="微软雅黑"/>
          <w:spacing w:val="7"/>
          <w:sz w:val="21"/>
          <w:szCs w:val="21"/>
          <w:lang w:eastAsia="zh-CN"/>
        </w:rPr>
        <w:t>：</w:t>
      </w:r>
      <w:r>
        <w:rPr>
          <w:rFonts w:ascii="微软雅黑" w:hAnsi="微软雅黑" w:eastAsia="微软雅黑" w:cs="微软雅黑"/>
          <w:spacing w:val="7"/>
          <w:sz w:val="21"/>
          <w:szCs w:val="21"/>
        </w:rPr>
        <w:t>全球</w:t>
      </w:r>
      <w:r>
        <w:rPr>
          <w:rFonts w:hint="eastAsia" w:ascii="微软雅黑" w:hAnsi="微软雅黑" w:eastAsia="微软雅黑" w:cs="微软雅黑"/>
          <w:spacing w:val="7"/>
          <w:sz w:val="21"/>
          <w:szCs w:val="21"/>
          <w:lang w:val="en-US" w:eastAsia="zh-CN"/>
        </w:rPr>
        <w:t>主要股指</w:t>
      </w:r>
      <w:r>
        <w:rPr>
          <w:rFonts w:ascii="微软雅黑" w:hAnsi="微软雅黑" w:eastAsia="微软雅黑" w:cs="微软雅黑"/>
          <w:spacing w:val="7"/>
          <w:sz w:val="21"/>
          <w:szCs w:val="21"/>
        </w:rPr>
        <w:t>涨跌幅</w:t>
      </w:r>
    </w:p>
    <w:p>
      <w:pPr>
        <w:spacing w:before="235" w:line="176" w:lineRule="auto"/>
        <w:jc w:val="both"/>
        <w:rPr>
          <w:rFonts w:hint="eastAsia"/>
          <w:lang w:eastAsia="zh-CN"/>
        </w:rPr>
      </w:pPr>
      <w:r>
        <w:drawing>
          <wp:inline distT="0" distB="0" distL="114300" distR="114300">
            <wp:extent cx="6160770" cy="3843655"/>
            <wp:effectExtent l="0" t="0" r="11430" b="444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2"/>
                    <a:srcRect l="256" t="4590" r="5602" b="4524"/>
                    <a:stretch>
                      <a:fillRect/>
                    </a:stretch>
                  </pic:blipFill>
                  <pic:spPr>
                    <a:xfrm>
                      <a:off x="0" y="0"/>
                      <a:ext cx="6160770" cy="3843655"/>
                    </a:xfrm>
                    <a:prstGeom prst="rect">
                      <a:avLst/>
                    </a:prstGeom>
                    <a:noFill/>
                    <a:ln>
                      <a:noFill/>
                    </a:ln>
                  </pic:spPr>
                </pic:pic>
              </a:graphicData>
            </a:graphic>
          </wp:inline>
        </w:drawing>
      </w:r>
    </w:p>
    <w:p>
      <w:pPr>
        <w:spacing w:before="120" w:line="190" w:lineRule="auto"/>
        <w:jc w:val="both"/>
        <w:rPr>
          <w:rFonts w:ascii="微软雅黑" w:hAnsi="微软雅黑" w:eastAsia="微软雅黑" w:cs="微软雅黑"/>
          <w:spacing w:val="7"/>
          <w:sz w:val="21"/>
          <w:szCs w:val="21"/>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公开资料整理、瑞达国际</w:t>
      </w:r>
    </w:p>
    <w:p>
      <w:pPr>
        <w:spacing w:before="235" w:line="176" w:lineRule="auto"/>
        <w:jc w:val="both"/>
        <w:rPr>
          <w:rFonts w:ascii="微软雅黑" w:hAnsi="微软雅黑" w:eastAsia="微软雅黑" w:cs="微软雅黑"/>
          <w:spacing w:val="7"/>
          <w:sz w:val="21"/>
          <w:szCs w:val="21"/>
        </w:rPr>
      </w:pPr>
    </w:p>
    <w:p>
      <w:pPr>
        <w:pStyle w:val="2"/>
        <w:spacing w:line="282" w:lineRule="auto"/>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消息回顾</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【上海黄金交易所宣布，对白银延期合约交易保证金比例和涨跌停板进行调整。自4月9日收盘清算时起，Ag（T+D）合约保证金比例从10%调整为12%，下一交易日起涨跌幅度限制从9%调整为11%。】</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w:t>
      </w:r>
      <w:r>
        <w:rPr>
          <w:rFonts w:hint="eastAsia" w:ascii="微软雅黑" w:hAnsi="微软雅黑" w:eastAsia="微软雅黑" w:cs="微软雅黑"/>
          <w:spacing w:val="4"/>
          <w:sz w:val="24"/>
          <w:szCs w:val="24"/>
          <w:lang w:val="en-US" w:eastAsia="zh-CN"/>
        </w:rPr>
        <w:t>铝价突破2万大关，创年内新高。</w:t>
      </w:r>
      <w:r>
        <w:rPr>
          <w:rFonts w:hint="eastAsia" w:ascii="微软雅黑" w:hAnsi="微软雅黑" w:eastAsia="微软雅黑" w:cs="微软雅黑"/>
          <w:spacing w:val="4"/>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【美国财长耶伦再次表示：不寻求与中国脱钩，中美两国经济联系密切，脱钩会带来灾难性后果。】</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ascii="微软雅黑" w:hAnsi="微软雅黑" w:eastAsia="微软雅黑" w:cs="微软雅黑"/>
          <w:spacing w:val="4"/>
          <w:sz w:val="24"/>
          <w:szCs w:val="24"/>
        </w:rPr>
      </w:pPr>
      <w:r>
        <w:rPr>
          <w:rFonts w:hint="eastAsia" w:ascii="微软雅黑" w:hAnsi="微软雅黑" w:eastAsia="微软雅黑" w:cs="微软雅黑"/>
          <w:spacing w:val="4"/>
          <w:sz w:val="24"/>
          <w:szCs w:val="24"/>
          <w:lang w:eastAsia="zh-CN"/>
        </w:rPr>
        <w:t>【法国3月储备资产合计2389.02亿欧元，前值2256.01亿欧元。】</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【德国2月季调后贸易帐顺差214亿欧元，预期顺差260亿欧元，前值从顺差275亿欧元修正为顺差276亿欧元。出口环比降2.0%，前值6.3%；进口环比升3.2%，前值从升3.6%修正为升3.7%。】</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【德国2月季调后工业产出环比升2.1%，预期升0.5%，前值升1.0%；工作日调整后工业产出同比降4.76%，前值降5.5%。】</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【瑞士3月季调后失业率2.3%，预期2.2%，前值2.2%；未季调失业率2.4%，预期2.3%，前值2.4%。】</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【花旗中国：将今年中国GDP预测从4.6%上调至5%，房地产初现企稳迹象。】</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【日本2月贸易帐逆差2809亿日元，预期逆差1927亿日元，前值逆差14427亿日元；未季调经常帐盈余26442亿日元，预期盈余31125亿日元；季调后经常账盈余13686亿日元，预期盈余19950亿日元。】</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【日本3月经济观察家前景指数51.2，前值53.0；现况指数49.8，前值51.3。】</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【欧元区4月Sentix投资者信心指数为-5.9，预期-8.5，前值-10.5。】</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【周一波罗的海干散货指数报1594点，较前一交易日下跌2.09%，连跌13日并创2月15日以来新低。】</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【越南欧洲商会公布数据显示，2024年第一季度商业信心指数达到52.8点，为2022年以来最高水平。一季度越南吸引外国直接投资（FDI）注册资金近61.7亿美元，同比增长13.4%。】</w:t>
      </w:r>
    </w:p>
    <w:p>
      <w:pPr>
        <w:spacing w:before="120" w:line="190" w:lineRule="auto"/>
        <w:rPr>
          <w:rFonts w:ascii="微软雅黑" w:hAnsi="微软雅黑" w:eastAsia="微软雅黑" w:cs="微软雅黑"/>
          <w:color w:val="036EB8"/>
          <w:position w:val="-4"/>
          <w:sz w:val="28"/>
          <w:szCs w:val="28"/>
        </w:rPr>
      </w:pPr>
    </w:p>
    <w:p>
      <w:pPr>
        <w:spacing w:before="120" w:line="190" w:lineRule="auto"/>
        <w:ind w:left="6"/>
        <w:rPr>
          <w:rFonts w:hint="default" w:ascii="微软雅黑" w:hAnsi="微软雅黑" w:eastAsia="微软雅黑" w:cs="微软雅黑"/>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9"/>
          <w:sz w:val="28"/>
          <w:szCs w:val="28"/>
          <w:lang w:val="en-US" w:eastAsia="zh-CN"/>
        </w:rPr>
        <w:t>今日关注</w:t>
      </w:r>
    </w:p>
    <w:p>
      <w:pPr>
        <w:spacing w:before="84"/>
      </w:pPr>
    </w:p>
    <w:tbl>
      <w:tblPr>
        <w:tblStyle w:val="11"/>
        <w:tblW w:w="9389" w:type="dxa"/>
        <w:tblInd w:w="25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567"/>
        <w:gridCol w:w="1143"/>
        <w:gridCol w:w="667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2710" w:type="dxa"/>
            <w:gridSpan w:val="2"/>
            <w:shd w:val="clear" w:color="auto" w:fill="3D85C1"/>
            <w:vAlign w:val="top"/>
          </w:tcPr>
          <w:p>
            <w:pPr>
              <w:pStyle w:val="10"/>
              <w:spacing w:before="221" w:line="182" w:lineRule="auto"/>
              <w:ind w:left="1142"/>
              <w:rPr>
                <w:sz w:val="19"/>
                <w:szCs w:val="19"/>
              </w:rPr>
            </w:pPr>
            <w:r>
              <w:rPr>
                <w:b/>
                <w:bCs/>
                <w:color w:val="FFFFFF"/>
                <w:spacing w:val="4"/>
                <w:sz w:val="19"/>
                <w:szCs w:val="19"/>
              </w:rPr>
              <w:t>时间</w:t>
            </w:r>
          </w:p>
        </w:tc>
        <w:tc>
          <w:tcPr>
            <w:tcW w:w="6679" w:type="dxa"/>
            <w:shd w:val="clear" w:color="auto" w:fill="3D85C1"/>
            <w:vAlign w:val="top"/>
          </w:tcPr>
          <w:p>
            <w:pPr>
              <w:pStyle w:val="10"/>
              <w:spacing w:before="221" w:line="195" w:lineRule="auto"/>
              <w:ind w:left="2866"/>
              <w:rPr>
                <w:sz w:val="19"/>
                <w:szCs w:val="19"/>
              </w:rPr>
            </w:pPr>
            <w:r>
              <w:rPr>
                <w:b/>
                <w:bCs/>
                <w:color w:val="FFFFFF"/>
                <w:spacing w:val="16"/>
                <w:sz w:val="19"/>
                <w:szCs w:val="19"/>
              </w:rPr>
              <w:t>数据/事件</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0"/>
              <w:spacing w:before="228" w:line="191" w:lineRule="auto"/>
              <w:ind w:left="449"/>
              <w:rPr>
                <w:rFonts w:hint="eastAsia"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9</w:t>
            </w:r>
          </w:p>
        </w:tc>
        <w:tc>
          <w:tcPr>
            <w:tcW w:w="1143" w:type="dxa"/>
            <w:vAlign w:val="top"/>
          </w:tcPr>
          <w:p>
            <w:pPr>
              <w:pStyle w:val="10"/>
              <w:spacing w:before="243" w:line="172" w:lineRule="auto"/>
              <w:ind w:left="94"/>
              <w:jc w:val="left"/>
              <w:rPr>
                <w:rFonts w:hint="default"/>
                <w:sz w:val="19"/>
                <w:szCs w:val="19"/>
                <w:lang w:val="en-US"/>
              </w:rPr>
            </w:pPr>
            <w:r>
              <w:rPr>
                <w:rFonts w:hint="eastAsia"/>
                <w:b/>
                <w:bCs/>
                <w:spacing w:val="6"/>
                <w:sz w:val="19"/>
                <w:szCs w:val="19"/>
                <w:lang w:val="en-US" w:eastAsia="zh-CN"/>
              </w:rPr>
              <w:t>03：30</w:t>
            </w:r>
          </w:p>
        </w:tc>
        <w:tc>
          <w:tcPr>
            <w:tcW w:w="6679" w:type="dxa"/>
            <w:vAlign w:val="top"/>
          </w:tcPr>
          <w:p>
            <w:pPr>
              <w:pStyle w:val="10"/>
              <w:spacing w:before="221" w:line="180" w:lineRule="auto"/>
              <w:jc w:val="center"/>
              <w:rPr>
                <w:rFonts w:hint="default" w:eastAsia="微软雅黑"/>
                <w:sz w:val="19"/>
                <w:szCs w:val="19"/>
                <w:lang w:val="en-US" w:eastAsia="zh-CN"/>
              </w:rPr>
            </w:pPr>
            <w:r>
              <w:rPr>
                <w:rFonts w:hint="eastAsia"/>
                <w:sz w:val="19"/>
                <w:szCs w:val="19"/>
                <w:lang w:val="en-US" w:eastAsia="zh-CN"/>
              </w:rPr>
              <w:t xml:space="preserve"> 美国准备金余额利率</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0" w:line="191" w:lineRule="auto"/>
              <w:ind w:left="449"/>
              <w:rPr>
                <w:rFonts w:hint="eastAsia"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9</w:t>
            </w:r>
          </w:p>
        </w:tc>
        <w:tc>
          <w:tcPr>
            <w:tcW w:w="1143" w:type="dxa"/>
            <w:shd w:val="clear" w:color="auto" w:fill="D3EAFF"/>
            <w:vAlign w:val="top"/>
          </w:tcPr>
          <w:p>
            <w:pPr>
              <w:pStyle w:val="10"/>
              <w:spacing w:before="245" w:line="172" w:lineRule="auto"/>
              <w:ind w:left="101"/>
              <w:jc w:val="left"/>
              <w:rPr>
                <w:rFonts w:hint="default"/>
                <w:sz w:val="19"/>
                <w:szCs w:val="19"/>
                <w:lang w:val="en-US"/>
              </w:rPr>
            </w:pPr>
            <w:r>
              <w:rPr>
                <w:rFonts w:hint="eastAsia"/>
                <w:b/>
                <w:bCs/>
                <w:spacing w:val="5"/>
                <w:sz w:val="19"/>
                <w:szCs w:val="19"/>
                <w:lang w:val="en-US" w:eastAsia="zh-CN"/>
              </w:rPr>
              <w:t>13：00</w:t>
            </w:r>
          </w:p>
        </w:tc>
        <w:tc>
          <w:tcPr>
            <w:tcW w:w="6679" w:type="dxa"/>
            <w:shd w:val="clear" w:color="auto" w:fill="D3EAFF"/>
            <w:vAlign w:val="top"/>
          </w:tcPr>
          <w:p>
            <w:pPr>
              <w:pStyle w:val="10"/>
              <w:spacing w:before="224" w:line="179" w:lineRule="auto"/>
              <w:jc w:val="center"/>
              <w:rPr>
                <w:rFonts w:hint="default" w:eastAsia="微软雅黑"/>
                <w:sz w:val="19"/>
                <w:szCs w:val="19"/>
                <w:lang w:val="en-US" w:eastAsia="zh-CN"/>
              </w:rPr>
            </w:pPr>
            <w:r>
              <w:rPr>
                <w:rFonts w:hint="eastAsia"/>
                <w:sz w:val="19"/>
                <w:szCs w:val="19"/>
                <w:lang w:val="en-US" w:eastAsia="zh-CN"/>
              </w:rPr>
              <w:t>日本3月消费者信心指数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vAlign w:val="top"/>
          </w:tcPr>
          <w:p>
            <w:pPr>
              <w:pStyle w:val="10"/>
              <w:spacing w:before="231" w:line="191" w:lineRule="auto"/>
              <w:ind w:left="449"/>
              <w:rPr>
                <w:rFonts w:hint="eastAsia"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9</w:t>
            </w:r>
          </w:p>
        </w:tc>
        <w:tc>
          <w:tcPr>
            <w:tcW w:w="1143" w:type="dxa"/>
            <w:vAlign w:val="top"/>
          </w:tcPr>
          <w:p>
            <w:pPr>
              <w:pStyle w:val="10"/>
              <w:spacing w:before="245" w:line="172" w:lineRule="auto"/>
              <w:ind w:left="101"/>
              <w:jc w:val="left"/>
              <w:rPr>
                <w:rFonts w:hint="default" w:eastAsia="微软雅黑"/>
                <w:sz w:val="19"/>
                <w:szCs w:val="19"/>
                <w:lang w:val="en-US" w:eastAsia="zh-CN"/>
              </w:rPr>
            </w:pPr>
            <w:r>
              <w:rPr>
                <w:rFonts w:hint="eastAsia"/>
                <w:b/>
                <w:bCs/>
                <w:spacing w:val="5"/>
                <w:sz w:val="19"/>
                <w:szCs w:val="19"/>
                <w:lang w:val="en-US" w:eastAsia="zh-CN"/>
              </w:rPr>
              <w:t>14：45</w:t>
            </w:r>
          </w:p>
        </w:tc>
        <w:tc>
          <w:tcPr>
            <w:tcW w:w="6679" w:type="dxa"/>
            <w:vAlign w:val="top"/>
          </w:tcPr>
          <w:p>
            <w:pPr>
              <w:pStyle w:val="10"/>
              <w:spacing w:before="224" w:line="180" w:lineRule="auto"/>
              <w:jc w:val="center"/>
              <w:rPr>
                <w:rFonts w:hint="default" w:eastAsia="微软雅黑"/>
                <w:sz w:val="19"/>
                <w:szCs w:val="19"/>
                <w:lang w:val="en-US" w:eastAsia="zh-CN"/>
              </w:rPr>
            </w:pPr>
            <w:r>
              <w:rPr>
                <w:rFonts w:hint="eastAsia"/>
                <w:sz w:val="19"/>
                <w:szCs w:val="19"/>
                <w:lang w:val="en-US" w:eastAsia="zh-CN"/>
              </w:rPr>
              <w:t>法国2月进出口额</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1" w:line="191" w:lineRule="auto"/>
              <w:ind w:left="449" w:leftChars="0"/>
              <w:rPr>
                <w:rFonts w:hint="eastAsia"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9</w:t>
            </w:r>
          </w:p>
        </w:tc>
        <w:tc>
          <w:tcPr>
            <w:tcW w:w="1143" w:type="dxa"/>
            <w:shd w:val="clear" w:color="auto" w:fill="D3EAFF"/>
            <w:vAlign w:val="top"/>
          </w:tcPr>
          <w:p>
            <w:pPr>
              <w:pStyle w:val="10"/>
              <w:spacing w:before="245" w:line="172" w:lineRule="auto"/>
              <w:ind w:left="101" w:leftChars="0"/>
              <w:jc w:val="left"/>
              <w:rPr>
                <w:rFonts w:hint="default" w:eastAsia="微软雅黑"/>
                <w:sz w:val="19"/>
                <w:szCs w:val="19"/>
                <w:lang w:val="en-US" w:eastAsia="zh-CN"/>
              </w:rPr>
            </w:pPr>
            <w:r>
              <w:rPr>
                <w:rFonts w:hint="eastAsia"/>
                <w:b/>
                <w:bCs/>
                <w:spacing w:val="5"/>
                <w:sz w:val="19"/>
                <w:szCs w:val="19"/>
                <w:lang w:val="en-US" w:eastAsia="zh-CN"/>
              </w:rPr>
              <w:t>18：00</w:t>
            </w:r>
          </w:p>
        </w:tc>
        <w:tc>
          <w:tcPr>
            <w:tcW w:w="6679" w:type="dxa"/>
            <w:shd w:val="clear" w:color="auto" w:fill="D3EAFF"/>
            <w:vAlign w:val="top"/>
          </w:tcPr>
          <w:p>
            <w:pPr>
              <w:pStyle w:val="10"/>
              <w:spacing w:before="224" w:line="180" w:lineRule="auto"/>
              <w:jc w:val="center"/>
              <w:rPr>
                <w:rFonts w:hint="eastAsia" w:eastAsia="微软雅黑"/>
                <w:sz w:val="19"/>
                <w:szCs w:val="19"/>
                <w:lang w:val="en-US" w:eastAsia="zh-CN"/>
              </w:rPr>
            </w:pPr>
            <w:r>
              <w:rPr>
                <w:rFonts w:hint="eastAsia" w:eastAsia="微软雅黑"/>
                <w:sz w:val="19"/>
                <w:szCs w:val="19"/>
                <w:lang w:val="en-US" w:eastAsia="zh-CN"/>
              </w:rPr>
              <w:t>美国3月NFIB中小企业乐观程度指数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0"/>
              <w:spacing w:before="232" w:line="191" w:lineRule="auto"/>
              <w:ind w:left="449"/>
              <w:rPr>
                <w:rFonts w:hint="eastAsia"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9</w:t>
            </w:r>
          </w:p>
        </w:tc>
        <w:tc>
          <w:tcPr>
            <w:tcW w:w="1143" w:type="dxa"/>
            <w:vAlign w:val="top"/>
          </w:tcPr>
          <w:p>
            <w:pPr>
              <w:pStyle w:val="10"/>
              <w:spacing w:before="246" w:line="172" w:lineRule="auto"/>
              <w:ind w:left="94"/>
              <w:jc w:val="left"/>
              <w:rPr>
                <w:rFonts w:hint="default" w:eastAsia="微软雅黑"/>
                <w:sz w:val="19"/>
                <w:szCs w:val="19"/>
                <w:lang w:val="en-US" w:eastAsia="zh-CN"/>
              </w:rPr>
            </w:pPr>
            <w:r>
              <w:rPr>
                <w:rFonts w:hint="eastAsia"/>
                <w:b/>
                <w:bCs/>
                <w:spacing w:val="5"/>
                <w:sz w:val="19"/>
                <w:szCs w:val="19"/>
                <w:lang w:val="en-US" w:eastAsia="zh-CN"/>
              </w:rPr>
              <w:t>20：55</w:t>
            </w:r>
          </w:p>
        </w:tc>
        <w:tc>
          <w:tcPr>
            <w:tcW w:w="6679" w:type="dxa"/>
            <w:vAlign w:val="top"/>
          </w:tcPr>
          <w:p>
            <w:pPr>
              <w:pStyle w:val="10"/>
              <w:spacing w:before="225" w:line="179" w:lineRule="auto"/>
              <w:jc w:val="center"/>
              <w:rPr>
                <w:rFonts w:hint="default" w:eastAsia="微软雅黑"/>
                <w:sz w:val="19"/>
                <w:szCs w:val="19"/>
                <w:lang w:val="en-US" w:eastAsia="zh-CN"/>
              </w:rPr>
            </w:pPr>
            <w:r>
              <w:rPr>
                <w:rFonts w:hint="default" w:eastAsia="微软雅黑"/>
                <w:sz w:val="19"/>
                <w:szCs w:val="19"/>
                <w:lang w:val="en-US" w:eastAsia="zh-CN"/>
              </w:rPr>
              <w:t>美国</w:t>
            </w:r>
            <w:r>
              <w:rPr>
                <w:rFonts w:hint="eastAsia"/>
                <w:sz w:val="19"/>
                <w:szCs w:val="19"/>
                <w:lang w:val="en-US" w:eastAsia="zh-CN"/>
              </w:rPr>
              <w:t>4月6日上周红皮书商业零售销售年率</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1" w:line="191" w:lineRule="auto"/>
              <w:ind w:left="449" w:leftChars="0"/>
              <w:rPr>
                <w:rFonts w:hint="default" w:eastAsia="微软雅黑"/>
                <w:sz w:val="19"/>
                <w:szCs w:val="19"/>
                <w:lang w:val="en-US" w:eastAsia="zh-CN"/>
              </w:rPr>
            </w:pPr>
            <w:r>
              <w:rPr>
                <w:rFonts w:hint="eastAsia"/>
                <w:b/>
                <w:bCs/>
                <w:spacing w:val="3"/>
                <w:sz w:val="19"/>
                <w:szCs w:val="19"/>
                <w:lang w:val="en-US" w:eastAsia="zh-CN"/>
              </w:rPr>
              <w:t>次日</w:t>
            </w:r>
          </w:p>
        </w:tc>
        <w:tc>
          <w:tcPr>
            <w:tcW w:w="1143" w:type="dxa"/>
            <w:shd w:val="clear" w:color="auto" w:fill="D3EAFF"/>
            <w:vAlign w:val="top"/>
          </w:tcPr>
          <w:p>
            <w:pPr>
              <w:pStyle w:val="10"/>
              <w:spacing w:before="245" w:line="172" w:lineRule="auto"/>
              <w:ind w:left="101" w:leftChars="0"/>
              <w:jc w:val="left"/>
              <w:rPr>
                <w:rFonts w:hint="default" w:eastAsia="微软雅黑"/>
                <w:sz w:val="19"/>
                <w:szCs w:val="19"/>
                <w:lang w:val="en-US" w:eastAsia="zh-CN"/>
              </w:rPr>
            </w:pPr>
            <w:r>
              <w:rPr>
                <w:rFonts w:hint="eastAsia"/>
                <w:b/>
                <w:bCs/>
                <w:spacing w:val="5"/>
                <w:sz w:val="19"/>
                <w:szCs w:val="19"/>
                <w:lang w:val="en-US" w:eastAsia="zh-CN"/>
              </w:rPr>
              <w:t>00：00</w:t>
            </w:r>
          </w:p>
        </w:tc>
        <w:tc>
          <w:tcPr>
            <w:tcW w:w="6679" w:type="dxa"/>
            <w:shd w:val="clear" w:color="auto" w:fill="D3EAFF"/>
            <w:vAlign w:val="top"/>
          </w:tcPr>
          <w:p>
            <w:pPr>
              <w:pStyle w:val="10"/>
              <w:spacing w:before="224" w:line="180" w:lineRule="auto"/>
              <w:jc w:val="center"/>
              <w:rPr>
                <w:rFonts w:hint="default" w:eastAsia="微软雅黑"/>
                <w:sz w:val="19"/>
                <w:szCs w:val="19"/>
                <w:lang w:val="en-US" w:eastAsia="zh-CN"/>
              </w:rPr>
            </w:pPr>
            <w:r>
              <w:rPr>
                <w:rFonts w:hint="eastAsia"/>
                <w:sz w:val="19"/>
                <w:szCs w:val="19"/>
                <w:lang w:val="en-US" w:eastAsia="zh-CN"/>
              </w:rPr>
              <w:t>EIA月度短期能源展望报告</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0"/>
              <w:spacing w:before="232" w:line="191" w:lineRule="auto"/>
              <w:ind w:left="449"/>
              <w:rPr>
                <w:rFonts w:hint="eastAsia" w:eastAsia="微软雅黑"/>
                <w:b/>
                <w:bCs/>
                <w:spacing w:val="3"/>
                <w:sz w:val="19"/>
                <w:szCs w:val="19"/>
                <w:lang w:val="en-US" w:eastAsia="zh-CN"/>
              </w:rPr>
            </w:pPr>
            <w:r>
              <w:rPr>
                <w:rFonts w:hint="eastAsia"/>
                <w:b/>
                <w:bCs/>
                <w:spacing w:val="3"/>
                <w:sz w:val="19"/>
                <w:szCs w:val="19"/>
                <w:lang w:val="en-US" w:eastAsia="zh-CN"/>
              </w:rPr>
              <w:t>次日</w:t>
            </w:r>
          </w:p>
        </w:tc>
        <w:tc>
          <w:tcPr>
            <w:tcW w:w="1143" w:type="dxa"/>
            <w:vAlign w:val="top"/>
          </w:tcPr>
          <w:p>
            <w:pPr>
              <w:pStyle w:val="10"/>
              <w:spacing w:before="246" w:line="172" w:lineRule="auto"/>
              <w:ind w:left="94"/>
              <w:jc w:val="left"/>
              <w:rPr>
                <w:rFonts w:hint="default"/>
                <w:b/>
                <w:bCs/>
                <w:spacing w:val="5"/>
                <w:sz w:val="19"/>
                <w:szCs w:val="19"/>
                <w:lang w:val="en-US" w:eastAsia="zh-CN"/>
              </w:rPr>
            </w:pPr>
            <w:r>
              <w:rPr>
                <w:rFonts w:hint="eastAsia"/>
                <w:b/>
                <w:bCs/>
                <w:spacing w:val="5"/>
                <w:sz w:val="19"/>
                <w:szCs w:val="19"/>
                <w:lang w:val="en-US" w:eastAsia="zh-CN"/>
              </w:rPr>
              <w:t>01：00</w:t>
            </w:r>
          </w:p>
        </w:tc>
        <w:tc>
          <w:tcPr>
            <w:tcW w:w="6679" w:type="dxa"/>
            <w:vAlign w:val="top"/>
          </w:tcPr>
          <w:p>
            <w:pPr>
              <w:pStyle w:val="10"/>
              <w:spacing w:before="225" w:line="179" w:lineRule="auto"/>
              <w:jc w:val="center"/>
              <w:rPr>
                <w:rFonts w:hint="default" w:eastAsia="微软雅黑"/>
                <w:sz w:val="19"/>
                <w:szCs w:val="19"/>
                <w:lang w:val="en-US" w:eastAsia="zh-CN"/>
              </w:rPr>
            </w:pPr>
            <w:r>
              <w:rPr>
                <w:rFonts w:hint="eastAsia"/>
                <w:sz w:val="19"/>
                <w:szCs w:val="19"/>
                <w:lang w:val="en-US" w:eastAsia="zh-CN"/>
              </w:rPr>
              <w:t>美国国债竞拍</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1" w:line="191" w:lineRule="auto"/>
              <w:ind w:left="449" w:leftChars="0"/>
              <w:rPr>
                <w:rFonts w:hint="default" w:eastAsia="微软雅黑"/>
                <w:sz w:val="19"/>
                <w:szCs w:val="19"/>
                <w:lang w:val="en-US" w:eastAsia="zh-CN"/>
              </w:rPr>
            </w:pPr>
            <w:r>
              <w:rPr>
                <w:rFonts w:hint="eastAsia"/>
                <w:b/>
                <w:bCs/>
                <w:spacing w:val="3"/>
                <w:sz w:val="19"/>
                <w:szCs w:val="19"/>
                <w:lang w:val="en-US" w:eastAsia="zh-CN"/>
              </w:rPr>
              <w:t>次日</w:t>
            </w:r>
          </w:p>
        </w:tc>
        <w:tc>
          <w:tcPr>
            <w:tcW w:w="1143" w:type="dxa"/>
            <w:shd w:val="clear" w:color="auto" w:fill="D3EAFF"/>
            <w:vAlign w:val="top"/>
          </w:tcPr>
          <w:p>
            <w:pPr>
              <w:pStyle w:val="10"/>
              <w:spacing w:before="245" w:line="172" w:lineRule="auto"/>
              <w:ind w:left="101" w:leftChars="0"/>
              <w:jc w:val="left"/>
              <w:rPr>
                <w:rFonts w:hint="default" w:eastAsia="微软雅黑"/>
                <w:sz w:val="19"/>
                <w:szCs w:val="19"/>
                <w:lang w:val="en-US" w:eastAsia="zh-CN"/>
              </w:rPr>
            </w:pPr>
            <w:r>
              <w:rPr>
                <w:rFonts w:hint="eastAsia"/>
                <w:b/>
                <w:bCs/>
                <w:spacing w:val="5"/>
                <w:sz w:val="19"/>
                <w:szCs w:val="19"/>
                <w:lang w:val="en-US" w:eastAsia="zh-CN"/>
              </w:rPr>
              <w:t>04：30</w:t>
            </w:r>
          </w:p>
        </w:tc>
        <w:tc>
          <w:tcPr>
            <w:tcW w:w="6679" w:type="dxa"/>
            <w:shd w:val="clear" w:color="auto" w:fill="D3EAFF"/>
            <w:vAlign w:val="top"/>
          </w:tcPr>
          <w:p>
            <w:pPr>
              <w:pStyle w:val="10"/>
              <w:spacing w:before="224" w:line="180" w:lineRule="auto"/>
              <w:jc w:val="center"/>
              <w:rPr>
                <w:rFonts w:hint="default" w:eastAsia="微软雅黑"/>
                <w:sz w:val="19"/>
                <w:szCs w:val="19"/>
                <w:lang w:val="en-US" w:eastAsia="zh-CN"/>
              </w:rPr>
            </w:pPr>
            <w:r>
              <w:rPr>
                <w:rFonts w:hint="eastAsia"/>
                <w:sz w:val="19"/>
                <w:szCs w:val="19"/>
                <w:lang w:val="en-US" w:eastAsia="zh-CN"/>
              </w:rPr>
              <w:t>美国上周API原油库存、进口</w:t>
            </w:r>
          </w:p>
        </w:tc>
      </w:tr>
    </w:tbl>
    <w:p>
      <w:pPr>
        <w:spacing w:before="120" w:line="190" w:lineRule="auto"/>
        <w:rPr>
          <w:rFonts w:ascii="微软雅黑" w:hAnsi="微软雅黑" w:eastAsia="微软雅黑" w:cs="微软雅黑"/>
          <w:color w:val="036EB8"/>
          <w:position w:val="-4"/>
          <w:sz w:val="28"/>
          <w:szCs w:val="28"/>
        </w:rPr>
      </w:pPr>
    </w:p>
    <w:p>
      <w:pPr>
        <w:spacing w:before="120" w:line="190" w:lineRule="auto"/>
        <w:rPr>
          <w:rFonts w:ascii="微软雅黑" w:hAnsi="微软雅黑" w:eastAsia="微软雅黑" w:cs="微软雅黑"/>
          <w:color w:val="036EB8"/>
          <w:position w:val="-4"/>
          <w:sz w:val="28"/>
          <w:szCs w:val="28"/>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8" name="IM 14"/>
            <wp:cNvGraphicFramePr/>
            <a:graphic xmlns:a="http://schemas.openxmlformats.org/drawingml/2006/main">
              <a:graphicData uri="http://schemas.openxmlformats.org/drawingml/2006/picture">
                <pic:pic xmlns:pic="http://schemas.openxmlformats.org/drawingml/2006/picture">
                  <pic:nvPicPr>
                    <pic:cNvPr id="8"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观点汇总</w:t>
      </w: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美元指数</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截至周二美元指数跌0.14%报104.14，非美货币多数上涨，欧元兑美元涨0.21%报1.0859，英镑兑美元涨0.15%报1.2655，澳元兑美元涨0.38%报0.6604，美元兑日元涨0.15%报151.85。昨日美联储古尔斯比于公开演讲中表示，2023年经济走在“黄金之路”上，就业数据证实经济依然强劲，美联储必须确定货币政策限制性要保持多长时间，整体发言基调相对偏鹰，或提高整体利率预期。在前期非农就业数据大超预期后，市场再次下调了年内5月降息的概率以及整体降息空间的预期，美债价格受利率预期影响持续承压，收益率上涨来到短期新高。往后看，短期内在美国利率预期走高外加与非美国家利差扩大的影响下美元指数或持续得到一定支撑。</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图2</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rPr>
        <w:t>欧元兑美元主力合约走势图</w:t>
      </w:r>
    </w:p>
    <w:p>
      <w:pPr>
        <w:spacing w:before="103" w:line="256" w:lineRule="auto"/>
        <w:ind w:right="743"/>
        <w:jc w:val="both"/>
      </w:pPr>
      <w:r>
        <w:drawing>
          <wp:inline distT="0" distB="0" distL="114300" distR="114300">
            <wp:extent cx="6004560" cy="2199005"/>
            <wp:effectExtent l="0" t="0" r="15240" b="1079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3"/>
                    <a:stretch>
                      <a:fillRect/>
                    </a:stretch>
                  </pic:blipFill>
                  <pic:spPr>
                    <a:xfrm>
                      <a:off x="0" y="0"/>
                      <a:ext cx="6004560" cy="2199005"/>
                    </a:xfrm>
                    <a:prstGeom prst="rect">
                      <a:avLst/>
                    </a:prstGeom>
                    <a:noFill/>
                    <a:ln>
                      <a:noFill/>
                    </a:ln>
                  </pic:spPr>
                </pic:pic>
              </a:graphicData>
            </a:graphic>
          </wp:inline>
        </w:drawing>
      </w:r>
    </w:p>
    <w:p>
      <w:pPr>
        <w:spacing w:before="120" w:line="190" w:lineRule="auto"/>
        <w:jc w:val="both"/>
        <w:rPr>
          <w:rFonts w:ascii="微软雅黑" w:hAnsi="微软雅黑" w:eastAsia="微软雅黑" w:cs="微软雅黑"/>
          <w:spacing w:val="7"/>
          <w:sz w:val="21"/>
          <w:szCs w:val="21"/>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wind、瑞达国际</w:t>
      </w:r>
    </w:p>
    <w:p>
      <w:pPr>
        <w:spacing w:before="103" w:line="256" w:lineRule="auto"/>
        <w:ind w:right="743"/>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S&amp;P500</w:t>
      </w:r>
    </w:p>
    <w:p>
      <w:pPr>
        <w:spacing w:before="103" w:line="256" w:lineRule="auto"/>
        <w:ind w:left="3" w:right="743" w:firstLine="535"/>
        <w:jc w:val="both"/>
        <w:rPr>
          <w:rFonts w:hint="eastAsia" w:ascii="微软雅黑" w:hAnsi="微软雅黑" w:eastAsia="微软雅黑" w:cs="微软雅黑"/>
          <w:spacing w:val="7"/>
          <w:sz w:val="21"/>
          <w:szCs w:val="21"/>
        </w:rPr>
      </w:pPr>
      <w:r>
        <w:rPr>
          <w:rFonts w:hint="eastAsia" w:ascii="微软雅黑" w:hAnsi="微软雅黑" w:eastAsia="微软雅黑" w:cs="微软雅黑"/>
          <w:spacing w:val="12"/>
          <w:sz w:val="24"/>
          <w:szCs w:val="24"/>
        </w:rPr>
        <w:t>截至4月9日，标普500指数收跌0.04%至5202.39点；迷你标普500主力合约收涨0.02%至5257点。美股周一收盘涨跌不一。特斯拉将推出无人自动驾驶出租车的消息推动其股价大涨。在3月CPI和PPI通胀数据以及摩根大通等大型银行的财报公布前，市场情绪谨慎。美国国债收益率延续了最近几日的上涨趋势，10年期美债收益率逼近4.5%关口。策略上，逢低试多。详细支撑阻力位请见图表</w:t>
      </w:r>
      <w:r>
        <w:rPr>
          <w:rFonts w:hint="eastAsia" w:ascii="微软雅黑" w:hAnsi="微软雅黑" w:eastAsia="微软雅黑" w:cs="微软雅黑"/>
          <w:spacing w:val="12"/>
          <w:sz w:val="24"/>
          <w:szCs w:val="24"/>
          <w:lang w:val="en-US" w:eastAsia="zh-CN"/>
        </w:rPr>
        <w:t>3。</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3</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S&amp;P500走势图</w:t>
      </w:r>
    </w:p>
    <w:p>
      <w:pPr>
        <w:spacing w:before="120" w:line="190" w:lineRule="auto"/>
        <w:jc w:val="both"/>
        <w:rPr>
          <w:rFonts w:ascii="新宋体" w:hAnsi="新宋体" w:eastAsia="新宋体"/>
          <w:b/>
        </w:rPr>
      </w:pPr>
      <w:bookmarkStart w:id="2" w:name="_GoBack"/>
      <w:r>
        <w:drawing>
          <wp:inline distT="0" distB="0" distL="0" distR="0">
            <wp:extent cx="6169025" cy="1720850"/>
            <wp:effectExtent l="0" t="0" r="3175" b="1270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tretch>
                      <a:fillRect/>
                    </a:stretch>
                  </pic:blipFill>
                  <pic:spPr>
                    <a:xfrm>
                      <a:off x="0" y="0"/>
                      <a:ext cx="6169025" cy="1720850"/>
                    </a:xfrm>
                    <a:prstGeom prst="rect">
                      <a:avLst/>
                    </a:prstGeom>
                  </pic:spPr>
                </pic:pic>
              </a:graphicData>
            </a:graphic>
          </wp:inline>
        </w:drawing>
      </w:r>
      <w:bookmarkEnd w:id="2"/>
    </w:p>
    <w:p>
      <w:pPr>
        <w:spacing w:before="120" w:line="190" w:lineRule="auto"/>
        <w:jc w:val="both"/>
        <w:rPr>
          <w:rFonts w:hint="default"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235" w:line="176"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富时中国A50</w:t>
      </w:r>
    </w:p>
    <w:p>
      <w:pPr>
        <w:spacing w:before="103" w:line="256" w:lineRule="auto"/>
        <w:ind w:left="3" w:right="743" w:firstLine="535"/>
        <w:jc w:val="both"/>
        <w:rPr>
          <w:rFonts w:hint="eastAsia" w:ascii="微软雅黑" w:hAnsi="微软雅黑" w:eastAsia="微软雅黑" w:cs="微软雅黑"/>
          <w:spacing w:val="12"/>
          <w:sz w:val="24"/>
          <w:szCs w:val="24"/>
          <w:lang w:eastAsia="zh-CN"/>
        </w:rPr>
      </w:pPr>
      <w:r>
        <w:rPr>
          <w:rFonts w:hint="eastAsia" w:ascii="微软雅黑" w:hAnsi="微软雅黑" w:eastAsia="微软雅黑" w:cs="微软雅黑"/>
          <w:spacing w:val="12"/>
          <w:sz w:val="24"/>
          <w:szCs w:val="24"/>
        </w:rPr>
        <w:t>截至4月8日，富时中国A50指数收跌0.78%至12137.03点；新交所富时A50期指主力合约收跌0.72%至12140点。当前市场处于国内经济预期和全球流动性预期的修正期，市场正从增量资金推动转变为存量资金博弈。美债收益率上行，美元指数波动放大，美联储降息预期降温，时点上分歧较大，考虑到当前通胀水平与经济韧性，预计三季度后降息概率更高。整体来看，国内基本面乐观预期存在，市场仍有上行空间。而反弹行情的延续取决于宏微观基本面数据验证情况。策略上，短线逢低做多为主。详细支撑阻力位请见图表4。</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4</w:t>
      </w:r>
      <w:r>
        <w:rPr>
          <w:rFonts w:hint="eastAsia" w:ascii="微软雅黑" w:hAnsi="微软雅黑" w:eastAsia="微软雅黑" w:cs="微软雅黑"/>
          <w:spacing w:val="7"/>
          <w:sz w:val="21"/>
          <w:szCs w:val="21"/>
          <w:lang w:eastAsia="zh-CN"/>
        </w:rPr>
        <w:t>：富时中国A50指数</w:t>
      </w:r>
      <w:r>
        <w:rPr>
          <w:rFonts w:hint="eastAsia" w:ascii="微软雅黑" w:hAnsi="微软雅黑" w:eastAsia="微软雅黑" w:cs="微软雅黑"/>
          <w:spacing w:val="7"/>
          <w:sz w:val="21"/>
          <w:szCs w:val="21"/>
          <w:lang w:val="en-US" w:eastAsia="zh-CN"/>
        </w:rPr>
        <w:t>走势图</w:t>
      </w:r>
    </w:p>
    <w:p>
      <w:pPr>
        <w:spacing w:before="103" w:line="256" w:lineRule="auto"/>
        <w:ind w:right="743"/>
        <w:jc w:val="both"/>
        <w:rPr>
          <w:rFonts w:ascii="新宋体" w:hAnsi="新宋体" w:eastAsia="新宋体"/>
        </w:rPr>
      </w:pPr>
      <w:r>
        <w:drawing>
          <wp:inline distT="0" distB="0" distL="0" distR="0">
            <wp:extent cx="6122035" cy="1755140"/>
            <wp:effectExtent l="0" t="0" r="12065" b="165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a:stretch>
                      <a:fillRect/>
                    </a:stretch>
                  </pic:blipFill>
                  <pic:spPr>
                    <a:xfrm>
                      <a:off x="0" y="0"/>
                      <a:ext cx="6122035" cy="1755140"/>
                    </a:xfrm>
                    <a:prstGeom prst="rect">
                      <a:avLst/>
                    </a:prstGeom>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03" w:line="256" w:lineRule="auto"/>
        <w:ind w:right="743"/>
        <w:jc w:val="both"/>
        <w:rPr>
          <w:rFonts w:hint="eastAsia" w:ascii="新宋体" w:hAnsi="新宋体" w:eastAsia="新宋体"/>
        </w:rPr>
      </w:pPr>
      <w:r>
        <w:rPr>
          <w:rFonts w:hint="eastAsia" w:ascii="微软雅黑" w:hAnsi="微软雅黑" w:eastAsia="微软雅黑" w:cs="微软雅黑"/>
          <w:b/>
          <w:bCs/>
          <w:spacing w:val="12"/>
          <w:sz w:val="24"/>
          <w:szCs w:val="24"/>
          <w:lang w:val="en-US" w:eastAsia="zh-CN"/>
        </w:rPr>
        <w:t>铜</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国际方面，市场焦点将放在于周三公布的3月消费者物价通胀数据。调查显示，经济学家预计总体消费者价格指数(CPI)将环比上升0.3%，2月为上升0.4%。预计3月核心CPI也将环比上涨0.3%。国内方面，李强主持召开经济形势专家和企业家座谈会：增强宏观政策取向一致性，提升宏观政策向微观传导落地实效。基本面上，供应方面TC费用走低局面短期内似乎并未有太大改善，矿端供应偏紧现象仍较严峻。国内铜企联合减产（CSPT），减产幅度预计5%-10%左右。综合来看，目前处于供应趋紧，需求预期向好的背景下，铜价将受到成本及预期的支撑偏强运行。操作建议，轻仓震荡偏多交易，注意控制节奏及交易风险。</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5：</w:t>
      </w:r>
      <w:r>
        <w:rPr>
          <w:rFonts w:hint="eastAsia" w:ascii="微软雅黑" w:hAnsi="微软雅黑" w:eastAsia="微软雅黑" w:cs="微软雅黑"/>
          <w:spacing w:val="7"/>
          <w:sz w:val="21"/>
          <w:szCs w:val="21"/>
        </w:rPr>
        <w:t>COMEX铜日线走势图</w:t>
      </w:r>
    </w:p>
    <w:p>
      <w:pPr>
        <w:spacing w:before="103" w:line="256" w:lineRule="auto"/>
        <w:ind w:right="743"/>
        <w:jc w:val="both"/>
      </w:pPr>
      <w:r>
        <w:drawing>
          <wp:inline distT="0" distB="0" distL="0" distR="0">
            <wp:extent cx="6130925" cy="2280920"/>
            <wp:effectExtent l="0" t="0" r="3175"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6130925" cy="2280920"/>
                    </a:xfrm>
                    <a:prstGeom prst="rect">
                      <a:avLst/>
                    </a:prstGeom>
                  </pic:spPr>
                </pic:pic>
              </a:graphicData>
            </a:graphic>
          </wp:inline>
        </w:drawing>
      </w:r>
    </w:p>
    <w:p>
      <w:pPr>
        <w:spacing w:before="120" w:line="190" w:lineRule="auto"/>
        <w:jc w:val="both"/>
        <w:rPr>
          <w:rFonts w:hint="default"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03" w:line="256" w:lineRule="auto"/>
        <w:ind w:right="743"/>
        <w:jc w:val="both"/>
      </w:pPr>
    </w:p>
    <w:p>
      <w:pPr>
        <w:spacing w:before="103" w:line="256" w:lineRule="auto"/>
        <w:ind w:right="743"/>
        <w:jc w:val="both"/>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黄金</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消息面：夜盘沪市贵金属普遍收涨，沪银涨幅较大。昨日美联储古尔斯比于公开演讲中表示，2023年经济走在“黄金之路”上，就业数据证实经济依然强劲，美联储必须确定货币政策限制性要保持多长时间，整体发言基调相对偏鹰，或提高整体利率预期。在前期非农就业数据大超预期后，市场再次下调了年内5月降息的概率以及整体降息空间的预期，长端美债价格受利率预期影响持续承压，收益率上涨来到短期新高。地缘冲突方面，在国际多方势力施压下，巴以停火谈判进展较好，以军撤兵有助降低市场避险情绪。</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外盘持仓方面：截至4月8日，SPDR Gold Trust黄金ETF持仓量为827.85吨，较上一交易日增加1.44吨。</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往后看，短期内市场避险情绪回落，叠加美债收益率持续上升，贵金属价格上涨动力或相对受阻。操作上建议，日内观望为主，请投资者注意风险控制。</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图6</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rPr>
        <w:t>COMEX黄金日线走势图</w:t>
      </w:r>
      <w:r>
        <w:rPr>
          <w:rFonts w:hint="eastAsia" w:ascii="微软雅黑" w:hAnsi="微软雅黑" w:eastAsia="微软雅黑" w:cs="微软雅黑"/>
          <w:spacing w:val="7"/>
          <w:sz w:val="21"/>
          <w:szCs w:val="21"/>
          <w:lang w:val="en-US" w:eastAsia="zh-CN"/>
        </w:rPr>
        <w:t xml:space="preserve">  </w:t>
      </w:r>
    </w:p>
    <w:p>
      <w:pPr>
        <w:spacing w:before="103" w:line="256" w:lineRule="auto"/>
        <w:ind w:right="743"/>
        <w:jc w:val="both"/>
      </w:pPr>
      <w:r>
        <w:drawing>
          <wp:inline distT="0" distB="0" distL="114300" distR="114300">
            <wp:extent cx="6035675" cy="1854835"/>
            <wp:effectExtent l="0" t="0" r="3175" b="1206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7"/>
                    <a:stretch>
                      <a:fillRect/>
                    </a:stretch>
                  </pic:blipFill>
                  <pic:spPr>
                    <a:xfrm>
                      <a:off x="0" y="0"/>
                      <a:ext cx="6035675" cy="1854835"/>
                    </a:xfrm>
                    <a:prstGeom prst="rect">
                      <a:avLst/>
                    </a:prstGeom>
                    <a:noFill/>
                    <a:ln>
                      <a:noFill/>
                    </a:ln>
                  </pic:spPr>
                </pic:pic>
              </a:graphicData>
            </a:graphic>
          </wp:inline>
        </w:drawing>
      </w:r>
    </w:p>
    <w:p>
      <w:pPr>
        <w:spacing w:before="120" w:line="190" w:lineRule="auto"/>
        <w:jc w:val="both"/>
        <w:rPr>
          <w:rFonts w:hint="default"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left="528" w:right="743" w:hanging="528" w:hangingChars="200"/>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原油</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周日以色列和哈马斯开启新一轮加沙停火谈判，这一消息导致原油盘中跌幅达到2美元左右。不过哈马斯官员否认媒体有关谈判取得进展的报道，称谈判仍陷入僵局。</w:t>
      </w:r>
      <w:r>
        <w:rPr>
          <w:rFonts w:hint="eastAsia" w:ascii="微软雅黑" w:hAnsi="微软雅黑" w:eastAsia="微软雅黑" w:cs="微软雅黑"/>
          <w:spacing w:val="12"/>
          <w:sz w:val="24"/>
          <w:szCs w:val="24"/>
          <w:lang w:val="en-US" w:eastAsia="zh-CN"/>
        </w:rPr>
        <w:br w:type="textWrapping"/>
      </w:r>
      <w:r>
        <w:rPr>
          <w:rFonts w:hint="eastAsia" w:ascii="微软雅黑" w:hAnsi="微软雅黑" w:eastAsia="微软雅黑" w:cs="微软雅黑"/>
          <w:spacing w:val="12"/>
          <w:sz w:val="24"/>
          <w:szCs w:val="24"/>
          <w:lang w:val="en-US" w:eastAsia="zh-CN"/>
        </w:rPr>
        <w:t>　　投资者关注以色列从加沙南部撤出更多士兵的决定。瑞银（UBS)分析师吉奥范尼斯塔乌诺沃表示，以色列的决定“在一定程度上降低了地缘政治风险溢价“。</w:t>
      </w:r>
      <w:r>
        <w:rPr>
          <w:rFonts w:hint="eastAsia" w:ascii="微软雅黑" w:hAnsi="微软雅黑" w:eastAsia="微软雅黑" w:cs="微软雅黑"/>
          <w:spacing w:val="12"/>
          <w:sz w:val="24"/>
          <w:szCs w:val="24"/>
          <w:lang w:val="en-US" w:eastAsia="zh-CN"/>
        </w:rPr>
        <w:br w:type="textWrapping"/>
      </w:r>
      <w:r>
        <w:rPr>
          <w:rFonts w:hint="eastAsia" w:ascii="微软雅黑" w:hAnsi="微软雅黑" w:eastAsia="微软雅黑" w:cs="微软雅黑"/>
          <w:spacing w:val="12"/>
          <w:sz w:val="24"/>
          <w:szCs w:val="24"/>
          <w:lang w:val="en-US" w:eastAsia="zh-CN"/>
        </w:rPr>
        <w:t>　　但是周一以色列总理本杰明内塔尼亚胡表示，入侵拉法的日期已经确定，意味着中东明冲突远未解决。之后原油基准价格从盘中低点反弹。</w:t>
      </w:r>
      <w:r>
        <w:rPr>
          <w:rFonts w:hint="eastAsia" w:ascii="微软雅黑" w:hAnsi="微软雅黑" w:eastAsia="微软雅黑" w:cs="微软雅黑"/>
          <w:spacing w:val="12"/>
          <w:sz w:val="24"/>
          <w:szCs w:val="24"/>
          <w:lang w:val="en-US" w:eastAsia="zh-CN"/>
        </w:rPr>
        <w:br w:type="textWrapping"/>
      </w:r>
      <w:r>
        <w:rPr>
          <w:rFonts w:hint="eastAsia" w:ascii="微软雅黑" w:hAnsi="微软雅黑" w:eastAsia="微软雅黑" w:cs="微软雅黑"/>
          <w:spacing w:val="12"/>
          <w:sz w:val="24"/>
          <w:szCs w:val="24"/>
          <w:lang w:val="en-US" w:eastAsia="zh-CN"/>
        </w:rPr>
        <w:t>　　瑞穗银行驻新加坡的亚洲经济与战略主管维什努瓦拉坦表示，以色列从加沙部分撤军，并不足以淡化涉及伊朗的更直接冲突的持续威胁。</w:t>
      </w:r>
      <w:r>
        <w:rPr>
          <w:rFonts w:hint="eastAsia" w:ascii="微软雅黑" w:hAnsi="微软雅黑" w:eastAsia="微软雅黑" w:cs="微软雅黑"/>
          <w:spacing w:val="12"/>
          <w:sz w:val="24"/>
          <w:szCs w:val="24"/>
          <w:lang w:val="en-US" w:eastAsia="zh-CN"/>
        </w:rPr>
        <w:br w:type="textWrapping"/>
      </w:r>
      <w:r>
        <w:rPr>
          <w:rFonts w:hint="eastAsia" w:ascii="微软雅黑" w:hAnsi="微软雅黑" w:eastAsia="微软雅黑" w:cs="微软雅黑"/>
          <w:spacing w:val="12"/>
          <w:sz w:val="24"/>
          <w:szCs w:val="24"/>
          <w:lang w:val="en-US" w:eastAsia="zh-CN"/>
        </w:rPr>
        <w:t>　　伊朗誓言报复以色列上周初空袭对其驻叙利亚领事馆。</w:t>
      </w:r>
      <w:r>
        <w:rPr>
          <w:rFonts w:hint="eastAsia" w:ascii="微软雅黑" w:hAnsi="微软雅黑" w:eastAsia="微软雅黑" w:cs="微软雅黑"/>
          <w:spacing w:val="12"/>
          <w:sz w:val="24"/>
          <w:szCs w:val="24"/>
          <w:lang w:val="en-US" w:eastAsia="zh-CN"/>
        </w:rPr>
        <w:br w:type="textWrapping"/>
      </w:r>
      <w:r>
        <w:rPr>
          <w:rFonts w:hint="eastAsia" w:ascii="微软雅黑" w:hAnsi="微软雅黑" w:eastAsia="微软雅黑" w:cs="微软雅黑"/>
          <w:spacing w:val="12"/>
          <w:sz w:val="24"/>
          <w:szCs w:val="24"/>
          <w:lang w:val="en-US" w:eastAsia="zh-CN"/>
        </w:rPr>
        <w:t>　　由于担心以色列袭击伊朗使馆导致中东冲突扩大，上周国际原油期货上涨近5%，也是连续第四周上涨，创下去年8月以来最长涨幅。</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市场预期上周美国原油库存可能增加，对油价构成压力。美国石油学会（API）将在周二盘后发布周度库存数据。</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本周二，美国能源信息署将发布短期能源展望。欧佩克和国际能源机构将于本周晚些时候发布月度报告。市场将关注这些报告所揭示的全球原油供需前景。</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纽约商品期货交易所（NYMEX）的西德克萨斯中质原油（WTI）5月合约较上一交易日下跌0.48美元或0.55%，报收86.43美元/桶，短期呈现强势震荡走势。支撑位：84.5；压力位：88。</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lang w:val="en-US" w:eastAsia="zh-CN"/>
        </w:rPr>
        <w:t>图7：原油（WTI）</w:t>
      </w:r>
    </w:p>
    <w:p>
      <w:pPr>
        <w:spacing w:before="103" w:line="256" w:lineRule="auto"/>
        <w:ind w:right="743"/>
        <w:jc w:val="both"/>
        <w:rPr>
          <w:rFonts w:hint="eastAsia" w:ascii="微软雅黑" w:hAnsi="微软雅黑" w:eastAsia="微软雅黑" w:cs="微软雅黑"/>
          <w:spacing w:val="12"/>
          <w:sz w:val="24"/>
          <w:szCs w:val="24"/>
        </w:rPr>
      </w:pPr>
      <w:r>
        <w:drawing>
          <wp:inline distT="0" distB="0" distL="0" distR="0">
            <wp:extent cx="6244590" cy="2574290"/>
            <wp:effectExtent l="0" t="0" r="3810" b="165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8"/>
                    <a:stretch>
                      <a:fillRect/>
                    </a:stretch>
                  </pic:blipFill>
                  <pic:spPr>
                    <a:xfrm>
                      <a:off x="0" y="0"/>
                      <a:ext cx="6244590" cy="2574290"/>
                    </a:xfrm>
                    <a:prstGeom prst="rect">
                      <a:avLst/>
                    </a:prstGeom>
                  </pic:spPr>
                </pic:pic>
              </a:graphicData>
            </a:graphic>
          </wp:inline>
        </w:drawing>
      </w:r>
    </w:p>
    <w:p>
      <w:pPr>
        <w:spacing w:before="120" w:line="190" w:lineRule="auto"/>
        <w:jc w:val="both"/>
        <w:rPr>
          <w:rFonts w:hint="default"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default"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ICE</w:t>
      </w:r>
      <w:bookmarkStart w:id="0" w:name="OLE_LINK3"/>
      <w:bookmarkStart w:id="1" w:name="OLE_LINK4"/>
      <w:r>
        <w:rPr>
          <w:rFonts w:hint="eastAsia" w:ascii="微软雅黑" w:hAnsi="微软雅黑" w:eastAsia="微软雅黑" w:cs="微软雅黑"/>
          <w:b/>
          <w:bCs/>
          <w:spacing w:val="12"/>
          <w:sz w:val="24"/>
          <w:szCs w:val="24"/>
          <w:lang w:val="en-US" w:eastAsia="zh-CN"/>
        </w:rPr>
        <w:t>棉花</w:t>
      </w:r>
    </w:p>
    <w:bookmarkEnd w:id="0"/>
    <w:bookmarkEnd w:id="1"/>
    <w:p>
      <w:pPr>
        <w:spacing w:before="103" w:line="256" w:lineRule="auto"/>
        <w:ind w:right="743" w:firstLine="528" w:firstLineChars="200"/>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洲际交易所</w:t>
      </w:r>
      <w:r>
        <w:rPr>
          <w:rFonts w:hint="eastAsia" w:ascii="微软雅黑" w:hAnsi="微软雅黑" w:eastAsia="微软雅黑" w:cs="微软雅黑"/>
          <w:spacing w:val="12"/>
          <w:sz w:val="24"/>
          <w:szCs w:val="24"/>
          <w:lang w:eastAsia="zh-CN"/>
        </w:rPr>
        <w:t>（</w:t>
      </w:r>
      <w:r>
        <w:rPr>
          <w:rFonts w:hint="eastAsia" w:ascii="微软雅黑" w:hAnsi="微软雅黑" w:eastAsia="微软雅黑" w:cs="微软雅黑"/>
          <w:spacing w:val="12"/>
          <w:sz w:val="24"/>
          <w:szCs w:val="24"/>
        </w:rPr>
        <w:t>ICE</w:t>
      </w:r>
      <w:r>
        <w:rPr>
          <w:rFonts w:hint="eastAsia" w:ascii="微软雅黑" w:hAnsi="微软雅黑" w:eastAsia="微软雅黑" w:cs="微软雅黑"/>
          <w:spacing w:val="12"/>
          <w:sz w:val="24"/>
          <w:szCs w:val="24"/>
          <w:lang w:eastAsia="zh-CN"/>
        </w:rPr>
        <w:t>）</w:t>
      </w:r>
      <w:r>
        <w:rPr>
          <w:rFonts w:hint="eastAsia" w:ascii="微软雅黑" w:hAnsi="微软雅黑" w:eastAsia="微软雅黑" w:cs="微软雅黑"/>
          <w:spacing w:val="12"/>
          <w:sz w:val="24"/>
          <w:szCs w:val="24"/>
        </w:rPr>
        <w:t>棉花期货周一收涨，受美元走软支撑。交投最活跃的ICE 5月期棉收涨0.4美分或0.50%，结算价报86.65分/磅。操作上，建议5月ICE期棉短期暂且观望为宜。</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8：ICE棉花</w:t>
      </w:r>
      <w:r>
        <w:rPr>
          <w:rFonts w:hint="eastAsia" w:ascii="微软雅黑" w:hAnsi="微软雅黑" w:eastAsia="微软雅黑" w:cs="微软雅黑"/>
          <w:spacing w:val="7"/>
          <w:sz w:val="21"/>
          <w:szCs w:val="21"/>
          <w:lang w:val="zh-CN" w:eastAsia="zh-CN"/>
        </w:rPr>
        <w:t>期货主力合约日走势图及支撑位、阻力位</w:t>
      </w:r>
    </w:p>
    <w:p>
      <w:pPr>
        <w:spacing w:before="103" w:line="256" w:lineRule="auto"/>
        <w:ind w:right="743"/>
        <w:jc w:val="both"/>
        <w:rPr>
          <w:rFonts w:hint="eastAsia" w:ascii="微软雅黑" w:hAnsi="微软雅黑" w:eastAsia="微软雅黑" w:cs="微软雅黑"/>
          <w:spacing w:val="7"/>
          <w:sz w:val="21"/>
          <w:szCs w:val="21"/>
          <w:lang w:val="zh-CN" w:eastAsia="zh-CN"/>
        </w:rPr>
      </w:pPr>
      <w:r>
        <w:rPr>
          <w:rFonts w:hint="eastAsia" w:ascii="微软雅黑" w:hAnsi="微软雅黑" w:eastAsia="微软雅黑" w:cs="微软雅黑"/>
          <w:spacing w:val="7"/>
          <w:sz w:val="21"/>
          <w:szCs w:val="21"/>
          <w:lang w:val="zh-CN" w:eastAsia="zh-CN"/>
        </w:rPr>
        <w:drawing>
          <wp:inline distT="0" distB="0" distL="114300" distR="114300">
            <wp:extent cx="6153785" cy="2089150"/>
            <wp:effectExtent l="0" t="0" r="18415" b="6350"/>
            <wp:docPr id="18" name="图片 18" descr="b327017a0bc5f8f33218d70fea4e6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b327017a0bc5f8f33218d70fea4e6d8"/>
                    <pic:cNvPicPr>
                      <a:picLocks noChangeAspect="1"/>
                    </pic:cNvPicPr>
                  </pic:nvPicPr>
                  <pic:blipFill>
                    <a:blip r:embed="rId19"/>
                    <a:stretch>
                      <a:fillRect/>
                    </a:stretch>
                  </pic:blipFill>
                  <pic:spPr>
                    <a:xfrm>
                      <a:off x="0" y="0"/>
                      <a:ext cx="6153785" cy="2089150"/>
                    </a:xfrm>
                    <a:prstGeom prst="rect">
                      <a:avLst/>
                    </a:prstGeom>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default"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ICE原糖</w:t>
      </w:r>
    </w:p>
    <w:p>
      <w:pPr>
        <w:spacing w:before="103" w:line="256" w:lineRule="auto"/>
        <w:ind w:left="3" w:right="743" w:firstLine="535"/>
        <w:jc w:val="both"/>
        <w:rPr>
          <w:rFonts w:hint="eastAsia" w:ascii="微软雅黑" w:hAnsi="微软雅黑" w:eastAsia="微软雅黑" w:cs="微软雅黑"/>
          <w:spacing w:val="7"/>
          <w:sz w:val="21"/>
          <w:szCs w:val="21"/>
          <w:lang w:val="zh-CN" w:eastAsia="zh-CN"/>
        </w:rPr>
      </w:pPr>
      <w:r>
        <w:rPr>
          <w:rFonts w:hint="eastAsia" w:ascii="微软雅黑" w:hAnsi="微软雅黑" w:eastAsia="微软雅黑" w:cs="微软雅黑"/>
          <w:spacing w:val="12"/>
          <w:sz w:val="24"/>
          <w:szCs w:val="24"/>
          <w:lang w:val="en-US" w:eastAsia="zh-CN"/>
        </w:rPr>
        <w:t>洲际期货交易所（ICE）原糖期货周一收低，受供应可能增加打压。交投最活跃的ICE 5月原糖期货合约收盘收跌0.40美分或1.8%，结算价每磅21.59美分。操作上，建议5月 ICE 原糖短期暂且观望。</w:t>
      </w:r>
    </w:p>
    <w:p>
      <w:pPr>
        <w:spacing w:before="103" w:line="256" w:lineRule="auto"/>
        <w:ind w:right="743"/>
        <w:jc w:val="both"/>
        <w:rPr>
          <w:rFonts w:ascii="微软雅黑" w:hAnsi="微软雅黑" w:eastAsia="微软雅黑" w:cs="微软雅黑"/>
          <w:color w:val="CE393F"/>
          <w:spacing w:val="8"/>
          <w:position w:val="2"/>
          <w:sz w:val="40"/>
          <w:szCs w:val="40"/>
        </w:rPr>
      </w:pP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9：ICE原糖</w:t>
      </w:r>
      <w:r>
        <w:rPr>
          <w:rFonts w:hint="eastAsia" w:ascii="微软雅黑" w:hAnsi="微软雅黑" w:eastAsia="微软雅黑" w:cs="微软雅黑"/>
          <w:spacing w:val="7"/>
          <w:sz w:val="21"/>
          <w:szCs w:val="21"/>
          <w:lang w:val="zh-CN" w:eastAsia="zh-CN"/>
        </w:rPr>
        <w:t>期货主力合约日走势图及支撑位、阻力位</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drawing>
          <wp:inline distT="0" distB="0" distL="114300" distR="114300">
            <wp:extent cx="6257925" cy="2212975"/>
            <wp:effectExtent l="0" t="0" r="9525" b="15875"/>
            <wp:docPr id="19" name="图片 19" descr="eea5fd3c95e819768f0ae4951a61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ea5fd3c95e819768f0ae4951a61e74"/>
                    <pic:cNvPicPr>
                      <a:picLocks noChangeAspect="1"/>
                    </pic:cNvPicPr>
                  </pic:nvPicPr>
                  <pic:blipFill>
                    <a:blip r:embed="rId20"/>
                    <a:stretch>
                      <a:fillRect/>
                    </a:stretch>
                  </pic:blipFill>
                  <pic:spPr>
                    <a:xfrm>
                      <a:off x="0" y="0"/>
                      <a:ext cx="6257925" cy="2212975"/>
                    </a:xfrm>
                    <a:prstGeom prst="rect">
                      <a:avLst/>
                    </a:prstGeom>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72" w:line="417" w:lineRule="exact"/>
        <w:rPr>
          <w:rFonts w:hint="eastAsia" w:ascii="微软雅黑" w:hAnsi="微软雅黑" w:eastAsia="微软雅黑" w:cs="微软雅黑"/>
          <w:color w:val="036EB8"/>
          <w:position w:val="-4"/>
          <w:sz w:val="28"/>
          <w:szCs w:val="28"/>
          <w:lang w:eastAsia="zh-CN"/>
        </w:rPr>
      </w:pPr>
    </w:p>
    <w:p>
      <w:pPr>
        <w:spacing w:before="172" w:line="417" w:lineRule="exact"/>
        <w:rPr>
          <w:rFonts w:hint="eastAsia" w:ascii="微软雅黑" w:hAnsi="微软雅黑" w:eastAsia="微软雅黑" w:cs="微软雅黑"/>
          <w:color w:val="036EB8"/>
          <w:position w:val="-4"/>
          <w:sz w:val="28"/>
          <w:szCs w:val="28"/>
          <w:lang w:eastAsia="zh-CN"/>
        </w:rPr>
      </w:pPr>
    </w:p>
    <w:p>
      <w:pPr>
        <w:spacing w:before="172" w:line="417" w:lineRule="exact"/>
        <w:rPr>
          <w:rFonts w:hint="eastAsia" w:ascii="微软雅黑" w:hAnsi="微软雅黑" w:eastAsia="微软雅黑" w:cs="微软雅黑"/>
          <w:color w:val="036EB8"/>
          <w:position w:val="-4"/>
          <w:sz w:val="28"/>
          <w:szCs w:val="28"/>
          <w:lang w:eastAsia="zh-CN"/>
        </w:rPr>
      </w:pPr>
    </w:p>
    <w:p>
      <w:pPr>
        <w:spacing w:before="172" w:line="417" w:lineRule="exact"/>
        <w:rPr>
          <w:rFonts w:hint="eastAsia" w:ascii="微软雅黑" w:hAnsi="微软雅黑" w:eastAsia="微软雅黑" w:cs="微软雅黑"/>
          <w:color w:val="036EB8"/>
          <w:position w:val="-4"/>
          <w:sz w:val="28"/>
          <w:szCs w:val="28"/>
          <w:lang w:eastAsia="zh-CN"/>
        </w:rPr>
      </w:pPr>
    </w:p>
    <w:p>
      <w:pPr>
        <w:spacing w:before="172" w:line="417" w:lineRule="exact"/>
        <w:rPr>
          <w:rFonts w:ascii="微软雅黑" w:hAnsi="微软雅黑" w:eastAsia="微软雅黑" w:cs="微软雅黑"/>
          <w:sz w:val="20"/>
          <w:szCs w:val="20"/>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9"/>
          <w:sz w:val="28"/>
          <w:szCs w:val="28"/>
        </w:rPr>
        <w:t xml:space="preserve"> </w:t>
      </w:r>
      <w:r>
        <w:rPr>
          <w:rFonts w:ascii="微软雅黑" w:hAnsi="微软雅黑" w:eastAsia="微软雅黑" w:cs="微软雅黑"/>
          <w:color w:val="CE393F"/>
          <w:spacing w:val="8"/>
          <w:position w:val="2"/>
          <w:sz w:val="40"/>
          <w:szCs w:val="40"/>
        </w:rPr>
        <w:t>△</w:t>
      </w:r>
      <w:r>
        <w:rPr>
          <w:rFonts w:ascii="微软雅黑" w:hAnsi="微软雅黑" w:eastAsia="微软雅黑" w:cs="微软雅黑"/>
          <w:color w:val="CE393F"/>
          <w:spacing w:val="-38"/>
          <w:position w:val="2"/>
          <w:sz w:val="40"/>
          <w:szCs w:val="40"/>
        </w:rPr>
        <w:t xml:space="preserve"> </w:t>
      </w:r>
      <w:r>
        <w:rPr>
          <w:rFonts w:ascii="微软雅黑" w:hAnsi="微软雅黑" w:eastAsia="微软雅黑" w:cs="微软雅黑"/>
          <w:spacing w:val="8"/>
          <w:position w:val="2"/>
          <w:sz w:val="20"/>
          <w:szCs w:val="20"/>
        </w:rPr>
        <w:t>免责声明</w:t>
      </w:r>
    </w:p>
    <w:p>
      <w:pPr>
        <w:spacing w:before="63" w:line="193" w:lineRule="auto"/>
        <w:ind w:left="340" w:right="706" w:firstLine="379"/>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此报告由瑞达国际所编制。本报告采用之资料及意见均相信可靠及准确</w:t>
      </w:r>
      <w:r>
        <w:rPr>
          <w:rFonts w:ascii="微软雅黑" w:hAnsi="微软雅黑" w:eastAsia="微软雅黑" w:cs="微软雅黑"/>
          <w:color w:val="898989"/>
          <w:spacing w:val="2"/>
          <w:sz w:val="18"/>
          <w:szCs w:val="18"/>
        </w:rPr>
        <w:t>，但本公司并不对各分析或有关资料之可</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3"/>
          <w:sz w:val="18"/>
          <w:szCs w:val="18"/>
        </w:rPr>
        <w:t>靠性及准确性作出全面性保证。本报告只供客户或读者作参考之用，客户或读者不应完全依靠本报告内容作为投</w:t>
      </w:r>
      <w:r>
        <w:rPr>
          <w:rFonts w:ascii="微软雅黑" w:hAnsi="微软雅黑" w:eastAsia="微软雅黑" w:cs="微软雅黑"/>
          <w:color w:val="898989"/>
          <w:spacing w:val="2"/>
          <w:sz w:val="18"/>
          <w:szCs w:val="18"/>
        </w:rPr>
        <w:t>资准</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8"/>
          <w:sz w:val="18"/>
          <w:szCs w:val="18"/>
        </w:rPr>
        <w:t>则。</w:t>
      </w:r>
    </w:p>
    <w:p>
      <w:pPr>
        <w:spacing w:before="34" w:line="189" w:lineRule="auto"/>
        <w:ind w:left="337" w:right="707" w:firstLine="381"/>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本报告之资料及意见如有任何更改，恕不另行通知。本报告并非及并无意图</w:t>
      </w:r>
      <w:r>
        <w:rPr>
          <w:rFonts w:ascii="微软雅黑" w:hAnsi="微软雅黑" w:eastAsia="微软雅黑" w:cs="微软雅黑"/>
          <w:color w:val="898989"/>
          <w:spacing w:val="2"/>
          <w:sz w:val="18"/>
          <w:szCs w:val="18"/>
        </w:rPr>
        <w:t>构成任何作价或招揽进行买卖本报告</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2"/>
          <w:sz w:val="18"/>
          <w:szCs w:val="18"/>
        </w:rPr>
        <w:t>提及的商品。本公司不会对任何因依靠本报告作出任何买卖而引致之任何损失承担任</w:t>
      </w:r>
      <w:r>
        <w:rPr>
          <w:rFonts w:ascii="微软雅黑" w:hAnsi="微软雅黑" w:eastAsia="微软雅黑" w:cs="微软雅黑"/>
          <w:color w:val="898989"/>
          <w:spacing w:val="1"/>
          <w:sz w:val="18"/>
          <w:szCs w:val="18"/>
        </w:rPr>
        <w:t>何责任。</w:t>
      </w:r>
    </w:p>
    <w:p>
      <w:pPr>
        <w:spacing w:line="189" w:lineRule="auto"/>
        <w:rPr>
          <w:rFonts w:ascii="微软雅黑" w:hAnsi="微软雅黑" w:eastAsia="微软雅黑" w:cs="微软雅黑"/>
          <w:sz w:val="18"/>
          <w:szCs w:val="18"/>
        </w:rPr>
        <w:sectPr>
          <w:headerReference r:id="rId6" w:type="default"/>
          <w:footerReference r:id="rId7" w:type="default"/>
          <w:pgSz w:w="11915" w:h="16837"/>
          <w:pgMar w:top="400" w:right="382" w:bottom="0" w:left="1153" w:header="340" w:footer="340" w:gutter="0"/>
          <w:pgBorders>
            <w:top w:val="none" w:sz="0" w:space="0"/>
            <w:left w:val="none" w:sz="0" w:space="0"/>
            <w:bottom w:val="none" w:sz="0" w:space="0"/>
            <w:right w:val="none" w:sz="0" w:space="0"/>
          </w:pgBorders>
          <w:pgNumType w:fmt="decimal"/>
          <w:cols w:space="720" w:num="1"/>
        </w:sectPr>
      </w:pPr>
    </w:p>
    <w:p>
      <w:pPr>
        <w:spacing w:before="34" w:line="569" w:lineRule="exact"/>
        <w:ind w:firstLine="6421"/>
      </w:pPr>
    </w:p>
    <w:p>
      <w:pPr>
        <w:spacing w:before="34" w:line="569" w:lineRule="exact"/>
        <w:ind w:firstLine="6421"/>
      </w:pPr>
    </w:p>
    <w:p>
      <w:pPr>
        <w:spacing w:before="34" w:line="569" w:lineRule="exact"/>
        <w:ind w:firstLine="6421"/>
      </w:pPr>
    </w:p>
    <w:p>
      <w:pPr>
        <w:spacing w:line="3052" w:lineRule="exact"/>
        <w:jc w:val="center"/>
      </w:pPr>
      <w:r>
        <w:rPr>
          <w:position w:val="-61"/>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pPr>
        <w:pStyle w:val="2"/>
        <w:spacing w:line="371" w:lineRule="auto"/>
        <w:jc w:val="center"/>
      </w:pPr>
    </w:p>
    <w:p>
      <w:pPr>
        <w:spacing w:before="103" w:line="191" w:lineRule="auto"/>
        <w:jc w:val="center"/>
        <w:rPr>
          <w:rFonts w:ascii="微软雅黑" w:hAnsi="微软雅黑" w:eastAsia="微软雅黑" w:cs="微软雅黑"/>
          <w:sz w:val="24"/>
          <w:szCs w:val="24"/>
        </w:rPr>
      </w:pPr>
      <w:r>
        <w:rPr>
          <w:rFonts w:ascii="微软雅黑" w:hAnsi="微软雅黑" w:eastAsia="微软雅黑" w:cs="微软雅黑"/>
          <w:spacing w:val="7"/>
          <w:sz w:val="24"/>
          <w:szCs w:val="24"/>
        </w:rPr>
        <w:t>24小时客服电话： 00852</w:t>
      </w:r>
      <w:r>
        <w:rPr>
          <w:rFonts w:ascii="微软雅黑" w:hAnsi="微软雅黑" w:eastAsia="微软雅黑" w:cs="微软雅黑"/>
          <w:spacing w:val="-33"/>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37"/>
          <w:sz w:val="24"/>
          <w:szCs w:val="24"/>
        </w:rPr>
        <w:t xml:space="preserve"> </w:t>
      </w:r>
      <w:r>
        <w:rPr>
          <w:rFonts w:ascii="微软雅黑" w:hAnsi="微软雅黑" w:eastAsia="微软雅黑" w:cs="微软雅黑"/>
          <w:spacing w:val="7"/>
          <w:sz w:val="24"/>
          <w:szCs w:val="24"/>
        </w:rPr>
        <w:t>25342000/86</w:t>
      </w:r>
      <w:r>
        <w:rPr>
          <w:rFonts w:ascii="微软雅黑" w:hAnsi="微软雅黑" w:eastAsia="微软雅黑" w:cs="微软雅黑"/>
          <w:spacing w:val="-36"/>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26"/>
          <w:sz w:val="24"/>
          <w:szCs w:val="24"/>
        </w:rPr>
        <w:t xml:space="preserve"> </w:t>
      </w:r>
      <w:r>
        <w:rPr>
          <w:rFonts w:ascii="微软雅黑" w:hAnsi="微软雅黑" w:eastAsia="微软雅黑" w:cs="微软雅黑"/>
          <w:spacing w:val="7"/>
          <w:sz w:val="24"/>
          <w:szCs w:val="24"/>
        </w:rPr>
        <w:t>13603059885</w:t>
      </w:r>
    </w:p>
    <w:p>
      <w:pPr>
        <w:spacing w:before="233" w:line="175" w:lineRule="auto"/>
        <w:jc w:val="center"/>
        <w:rPr>
          <w:rFonts w:ascii="微软雅黑" w:hAnsi="微软雅黑" w:eastAsia="微软雅黑" w:cs="微软雅黑"/>
          <w:sz w:val="24"/>
          <w:szCs w:val="24"/>
        </w:rPr>
      </w:pPr>
      <w:r>
        <w:rPr>
          <w:rFonts w:ascii="微软雅黑" w:hAnsi="微软雅黑" w:eastAsia="微软雅黑" w:cs="微软雅黑"/>
          <w:spacing w:val="5"/>
          <w:sz w:val="24"/>
          <w:szCs w:val="24"/>
        </w:rPr>
        <w:t>24小时传真电话： 00852</w:t>
      </w:r>
      <w:r>
        <w:rPr>
          <w:rFonts w:ascii="微软雅黑" w:hAnsi="微软雅黑" w:eastAsia="微软雅黑" w:cs="微软雅黑"/>
          <w:spacing w:val="-32"/>
          <w:sz w:val="24"/>
          <w:szCs w:val="24"/>
        </w:rPr>
        <w:t xml:space="preserve"> </w:t>
      </w:r>
      <w:r>
        <w:rPr>
          <w:rFonts w:ascii="微软雅黑" w:hAnsi="微软雅黑" w:eastAsia="微软雅黑" w:cs="微软雅黑"/>
          <w:spacing w:val="5"/>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pacing w:val="5"/>
          <w:sz w:val="24"/>
          <w:szCs w:val="24"/>
        </w:rPr>
        <w:t>25632368</w:t>
      </w:r>
    </w:p>
    <w:p>
      <w:pPr>
        <w:spacing w:before="258" w:line="190" w:lineRule="auto"/>
        <w:jc w:val="center"/>
        <w:rPr>
          <w:rFonts w:ascii="微软雅黑" w:hAnsi="微软雅黑" w:eastAsia="微软雅黑" w:cs="微软雅黑"/>
          <w:sz w:val="24"/>
          <w:szCs w:val="24"/>
        </w:rPr>
      </w:pPr>
      <w:r>
        <w:rPr>
          <w:rFonts w:ascii="微软雅黑" w:hAnsi="微软雅黑" w:eastAsia="微软雅黑" w:cs="微软雅黑"/>
          <w:spacing w:val="13"/>
          <w:sz w:val="24"/>
          <w:szCs w:val="24"/>
        </w:rPr>
        <w:t xml:space="preserve">客服邮箱： </w:t>
      </w:r>
      <w:r>
        <w:rPr>
          <w:rFonts w:ascii="微软雅黑" w:hAnsi="微软雅黑" w:eastAsia="微软雅黑" w:cs="微软雅黑"/>
          <w:sz w:val="24"/>
          <w:szCs w:val="24"/>
        </w:rPr>
        <w:t>cs</w:t>
      </w:r>
      <w:r>
        <w:rPr>
          <w:rFonts w:ascii="微软雅黑" w:hAnsi="微软雅黑" w:eastAsia="微软雅黑" w:cs="微软雅黑"/>
          <w:spacing w:val="13"/>
          <w:sz w:val="24"/>
          <w:szCs w:val="24"/>
        </w:rPr>
        <w:t>@</w:t>
      </w:r>
      <w:r>
        <w:rPr>
          <w:rFonts w:ascii="微软雅黑" w:hAnsi="微软雅黑" w:eastAsia="微软雅黑" w:cs="微软雅黑"/>
          <w:sz w:val="24"/>
          <w:szCs w:val="24"/>
        </w:rPr>
        <w:t>ruida</w:t>
      </w:r>
      <w:r>
        <w:rPr>
          <w:rFonts w:ascii="微软雅黑" w:hAnsi="微软雅黑" w:eastAsia="微软雅黑" w:cs="微软雅黑"/>
          <w:spacing w:val="13"/>
          <w:sz w:val="24"/>
          <w:szCs w:val="24"/>
        </w:rPr>
        <w:t>-</w:t>
      </w:r>
      <w:r>
        <w:rPr>
          <w:rFonts w:ascii="微软雅黑" w:hAnsi="微软雅黑" w:eastAsia="微软雅黑" w:cs="微软雅黑"/>
          <w:spacing w:val="-29"/>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13"/>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34" w:line="192" w:lineRule="auto"/>
        <w:jc w:val="center"/>
        <w:rPr>
          <w:rFonts w:ascii="微软雅黑" w:hAnsi="微软雅黑" w:eastAsia="微软雅黑" w:cs="微软雅黑"/>
          <w:sz w:val="24"/>
          <w:szCs w:val="24"/>
        </w:rPr>
      </w:pPr>
      <w:r>
        <w:rPr>
          <w:rFonts w:ascii="微软雅黑" w:hAnsi="微软雅黑" w:eastAsia="微软雅黑" w:cs="微软雅黑"/>
          <w:spacing w:val="8"/>
          <w:sz w:val="24"/>
          <w:szCs w:val="24"/>
        </w:rPr>
        <w:t>客服</w:t>
      </w:r>
      <w:r>
        <w:rPr>
          <w:rFonts w:ascii="微软雅黑" w:hAnsi="微软雅黑" w:eastAsia="微软雅黑" w:cs="微软雅黑"/>
          <w:sz w:val="24"/>
          <w:szCs w:val="24"/>
        </w:rPr>
        <w:t>QQ</w:t>
      </w:r>
      <w:r>
        <w:rPr>
          <w:rFonts w:ascii="微软雅黑" w:hAnsi="微软雅黑" w:eastAsia="微软雅黑" w:cs="微软雅黑"/>
          <w:spacing w:val="8"/>
          <w:sz w:val="24"/>
          <w:szCs w:val="24"/>
        </w:rPr>
        <w:t>： 203195058/29384</w:t>
      </w:r>
      <w:r>
        <w:rPr>
          <w:rFonts w:ascii="微软雅黑" w:hAnsi="微软雅黑" w:eastAsia="微软雅黑" w:cs="微软雅黑"/>
          <w:spacing w:val="7"/>
          <w:sz w:val="24"/>
          <w:szCs w:val="24"/>
        </w:rPr>
        <w:t>72186</w:t>
      </w:r>
    </w:p>
    <w:p>
      <w:pPr>
        <w:spacing w:before="234" w:line="176" w:lineRule="auto"/>
        <w:jc w:val="center"/>
        <w:rPr>
          <w:rFonts w:ascii="微软雅黑" w:hAnsi="微软雅黑" w:eastAsia="微软雅黑" w:cs="微软雅黑"/>
          <w:sz w:val="24"/>
          <w:szCs w:val="24"/>
        </w:rPr>
      </w:pPr>
      <w:r>
        <w:rPr>
          <w:rFonts w:ascii="微软雅黑" w:hAnsi="微软雅黑" w:eastAsia="微软雅黑" w:cs="微软雅黑"/>
          <w:spacing w:val="21"/>
          <w:sz w:val="24"/>
          <w:szCs w:val="24"/>
        </w:rPr>
        <w:t>网址：</w:t>
      </w:r>
      <w:r>
        <w:rPr>
          <w:rFonts w:ascii="微软雅黑" w:hAnsi="微软雅黑" w:eastAsia="微软雅黑" w:cs="微软雅黑"/>
          <w:sz w:val="24"/>
          <w:szCs w:val="24"/>
        </w:rPr>
        <w:t>www</w:t>
      </w:r>
      <w:r>
        <w:rPr>
          <w:rFonts w:ascii="微软雅黑" w:hAnsi="微软雅黑" w:eastAsia="微软雅黑" w:cs="微软雅黑"/>
          <w:spacing w:val="21"/>
          <w:sz w:val="24"/>
          <w:szCs w:val="24"/>
        </w:rPr>
        <w:t>.</w:t>
      </w:r>
      <w:r>
        <w:rPr>
          <w:rFonts w:ascii="微软雅黑" w:hAnsi="微软雅黑" w:eastAsia="微软雅黑" w:cs="微软雅黑"/>
          <w:spacing w:val="-22"/>
          <w:sz w:val="24"/>
          <w:szCs w:val="24"/>
        </w:rPr>
        <w:t xml:space="preserve"> </w:t>
      </w:r>
      <w:r>
        <w:rPr>
          <w:rFonts w:ascii="微软雅黑" w:hAnsi="微软雅黑" w:eastAsia="微软雅黑" w:cs="微软雅黑"/>
          <w:sz w:val="24"/>
          <w:szCs w:val="24"/>
        </w:rPr>
        <w:t>ruida</w:t>
      </w:r>
      <w:r>
        <w:rPr>
          <w:rFonts w:ascii="微软雅黑" w:hAnsi="微软雅黑" w:eastAsia="微软雅黑" w:cs="微软雅黑"/>
          <w:spacing w:val="21"/>
          <w:sz w:val="24"/>
          <w:szCs w:val="24"/>
        </w:rPr>
        <w:t>-</w:t>
      </w:r>
      <w:r>
        <w:rPr>
          <w:rFonts w:ascii="微软雅黑" w:hAnsi="微软雅黑" w:eastAsia="微软雅黑" w:cs="微软雅黑"/>
          <w:spacing w:val="-28"/>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21"/>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53" w:line="177" w:lineRule="auto"/>
        <w:jc w:val="center"/>
        <w:rPr>
          <w:rFonts w:ascii="微软雅黑" w:hAnsi="微软雅黑" w:eastAsia="微软雅黑" w:cs="微软雅黑"/>
          <w:sz w:val="24"/>
          <w:szCs w:val="24"/>
        </w:rPr>
      </w:pPr>
      <w:r>
        <w:rPr>
          <w:rFonts w:ascii="微软雅黑" w:hAnsi="微软雅黑" w:eastAsia="微软雅黑" w:cs="微软雅黑"/>
          <w:spacing w:val="16"/>
          <w:sz w:val="24"/>
          <w:szCs w:val="24"/>
        </w:rPr>
        <w:t>地址:</w:t>
      </w:r>
      <w:r>
        <w:rPr>
          <w:rFonts w:ascii="微软雅黑" w:hAnsi="微软雅黑" w:eastAsia="微软雅黑" w:cs="微软雅黑"/>
          <w:spacing w:val="45"/>
          <w:w w:val="101"/>
          <w:sz w:val="24"/>
          <w:szCs w:val="24"/>
        </w:rPr>
        <w:t xml:space="preserve"> </w:t>
      </w:r>
      <w:r>
        <w:rPr>
          <w:rFonts w:ascii="微软雅黑" w:hAnsi="微软雅黑" w:eastAsia="微软雅黑" w:cs="微软雅黑"/>
          <w:spacing w:val="16"/>
          <w:sz w:val="24"/>
          <w:szCs w:val="24"/>
        </w:rPr>
        <w:t>香港湾仔菲林明道8号大同大厦17楼05</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06室</w:t>
      </w:r>
    </w:p>
    <w:p/>
    <w:sectPr>
      <w:pgSz w:w="11923" w:h="16837"/>
      <w:pgMar w:top="400" w:right="556" w:bottom="0" w:left="1015" w:header="340" w:footer="340"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3"/>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double" w:color="0766D4" w:sz="8" w:space="0"/>
      </w:pBdr>
      <w:spacing w:line="14" w:lineRule="auto"/>
      <w:rPr>
        <w:sz w:val="2"/>
      </w:rPr>
    </w:pPr>
    <w: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top w:val="none" w:color="auto" w:sz="0" w:space="1"/>
        <w:left w:val="none" w:color="auto" w:sz="0" w:space="4"/>
        <w:bottom w:val="thinThickSmallGap" w:color="3669AB" w:sz="24" w:space="0"/>
        <w:right w:val="none" w:color="auto" w:sz="0" w:space="4"/>
        <w:between w:val="none" w:color="auto" w:sz="0" w:space="0"/>
      </w:pBdr>
      <w:kinsoku w:val="0"/>
      <w:autoSpaceDE w:val="0"/>
      <w:autoSpaceDN w:val="0"/>
      <w:adjustRightInd w:val="0"/>
      <w:snapToGrid w:val="0"/>
      <w:spacing w:line="240" w:lineRule="auto"/>
      <w:ind w:right="420" w:rightChars="200"/>
      <w:jc w:val="right"/>
      <w:textAlignment w:val="baseline"/>
      <w:rPr>
        <w:rFonts w:hint="eastAsia" w:eastAsia="宋体"/>
        <w:sz w:val="2"/>
        <w:lang w:eastAsia="zh-CN"/>
      </w:rPr>
    </w:pPr>
    <w:r>
      <w:rPr>
        <w:sz w:val="2"/>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4"/>
                    </w:pPr>
                  </w:p>
                </w:txbxContent>
              </v:textbox>
            </v:shape>
          </w:pict>
        </mc:Fallback>
      </mc:AlternateContent>
    </w:r>
    <w:r>
      <w:rPr>
        <w:rFonts w:hint="eastAsia" w:eastAsia="宋体"/>
        <w:sz w:val="2"/>
        <w:lang w:eastAsia="zh-CN"/>
      </w:rPr>
      <w:drawing>
        <wp:inline distT="0" distB="0" distL="114300" distR="114300">
          <wp:extent cx="2263140" cy="810895"/>
          <wp:effectExtent l="0" t="0" r="3810" b="0"/>
          <wp:docPr id="3" name="图片 3"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pPr>
      <w:pStyle w:val="2"/>
      <w:pBdr>
        <w:bottom w:val="single" w:color="3669AB" w:sz="4" w:space="0"/>
      </w:pBdr>
      <w:spacing w:line="240" w:lineRule="auto"/>
      <w:ind w:right="420" w:rightChars="200"/>
      <w:jc w:val="both"/>
      <w:rPr>
        <w:rFonts w:hint="eastAsia" w:eastAsia="宋体"/>
        <w:color w:val="FFFFFF" w:themeColor="background1"/>
        <w:sz w:val="2"/>
        <w:lang w:eastAsia="zh-CN"/>
        <w14:textFill>
          <w14:solidFill>
            <w14:schemeClr w14:val="bg1"/>
          </w14:solidFill>
        </w14:textFil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s>
  <w:rsids>
    <w:rsidRoot w:val="59DE62A0"/>
    <w:rsid w:val="000A785F"/>
    <w:rsid w:val="00181D4B"/>
    <w:rsid w:val="00593490"/>
    <w:rsid w:val="005F4A09"/>
    <w:rsid w:val="008D4A14"/>
    <w:rsid w:val="00920750"/>
    <w:rsid w:val="00A42231"/>
    <w:rsid w:val="00CA7EEA"/>
    <w:rsid w:val="00CE6532"/>
    <w:rsid w:val="00D348C5"/>
    <w:rsid w:val="00DC19CB"/>
    <w:rsid w:val="00E16FE2"/>
    <w:rsid w:val="011E3D92"/>
    <w:rsid w:val="01486DF0"/>
    <w:rsid w:val="01761E20"/>
    <w:rsid w:val="018F67B1"/>
    <w:rsid w:val="019734A3"/>
    <w:rsid w:val="01B6046E"/>
    <w:rsid w:val="01C257A0"/>
    <w:rsid w:val="01FA65AD"/>
    <w:rsid w:val="021052EA"/>
    <w:rsid w:val="02151639"/>
    <w:rsid w:val="021D5BFB"/>
    <w:rsid w:val="02296E92"/>
    <w:rsid w:val="024953BD"/>
    <w:rsid w:val="028D7421"/>
    <w:rsid w:val="02A97FD3"/>
    <w:rsid w:val="02B7624C"/>
    <w:rsid w:val="02BC7D06"/>
    <w:rsid w:val="02DC4B76"/>
    <w:rsid w:val="030659D3"/>
    <w:rsid w:val="033C0E47"/>
    <w:rsid w:val="03661A20"/>
    <w:rsid w:val="03705048"/>
    <w:rsid w:val="038E44A6"/>
    <w:rsid w:val="03AA4003"/>
    <w:rsid w:val="03C54999"/>
    <w:rsid w:val="03CF5817"/>
    <w:rsid w:val="03D44348"/>
    <w:rsid w:val="03D64DF8"/>
    <w:rsid w:val="03F31506"/>
    <w:rsid w:val="03FE7EAB"/>
    <w:rsid w:val="0402799B"/>
    <w:rsid w:val="04253689"/>
    <w:rsid w:val="04405814"/>
    <w:rsid w:val="044F0706"/>
    <w:rsid w:val="045A6DD9"/>
    <w:rsid w:val="04620439"/>
    <w:rsid w:val="04695C6C"/>
    <w:rsid w:val="04725735"/>
    <w:rsid w:val="0495080F"/>
    <w:rsid w:val="049D5915"/>
    <w:rsid w:val="04CD0E7B"/>
    <w:rsid w:val="04CD5176"/>
    <w:rsid w:val="04E43544"/>
    <w:rsid w:val="04E55250"/>
    <w:rsid w:val="04FB69FF"/>
    <w:rsid w:val="05173E06"/>
    <w:rsid w:val="053D4696"/>
    <w:rsid w:val="054933A7"/>
    <w:rsid w:val="055F4D69"/>
    <w:rsid w:val="056D52E8"/>
    <w:rsid w:val="058F34B0"/>
    <w:rsid w:val="059D2DAA"/>
    <w:rsid w:val="05C869C2"/>
    <w:rsid w:val="06874187"/>
    <w:rsid w:val="06920D0C"/>
    <w:rsid w:val="06AC1E40"/>
    <w:rsid w:val="06D40C03"/>
    <w:rsid w:val="06D860E7"/>
    <w:rsid w:val="06E91363"/>
    <w:rsid w:val="072919FB"/>
    <w:rsid w:val="07375BAD"/>
    <w:rsid w:val="073D6F5B"/>
    <w:rsid w:val="07634D60"/>
    <w:rsid w:val="07652B87"/>
    <w:rsid w:val="077A4193"/>
    <w:rsid w:val="07950B26"/>
    <w:rsid w:val="07D9719C"/>
    <w:rsid w:val="07EB25E1"/>
    <w:rsid w:val="07F5280A"/>
    <w:rsid w:val="07F67816"/>
    <w:rsid w:val="080F6B2A"/>
    <w:rsid w:val="082F186D"/>
    <w:rsid w:val="085B34CE"/>
    <w:rsid w:val="089E2E0C"/>
    <w:rsid w:val="08AF5C17"/>
    <w:rsid w:val="08B5322E"/>
    <w:rsid w:val="08DD2784"/>
    <w:rsid w:val="08E949DF"/>
    <w:rsid w:val="08F817D8"/>
    <w:rsid w:val="090E293E"/>
    <w:rsid w:val="09174F67"/>
    <w:rsid w:val="09252A9B"/>
    <w:rsid w:val="093E76C7"/>
    <w:rsid w:val="09491BC8"/>
    <w:rsid w:val="09840E52"/>
    <w:rsid w:val="098E4672"/>
    <w:rsid w:val="09903C9B"/>
    <w:rsid w:val="099A2423"/>
    <w:rsid w:val="09AC6674"/>
    <w:rsid w:val="09D26E62"/>
    <w:rsid w:val="09DA6CC4"/>
    <w:rsid w:val="09F02DF6"/>
    <w:rsid w:val="09F31EAA"/>
    <w:rsid w:val="0A1470E4"/>
    <w:rsid w:val="0A2A37A7"/>
    <w:rsid w:val="0A2C17A5"/>
    <w:rsid w:val="0A3E54A5"/>
    <w:rsid w:val="0A434869"/>
    <w:rsid w:val="0A533A62"/>
    <w:rsid w:val="0A544CC8"/>
    <w:rsid w:val="0A7D5FCD"/>
    <w:rsid w:val="0A823CEB"/>
    <w:rsid w:val="0A8F399C"/>
    <w:rsid w:val="0A943317"/>
    <w:rsid w:val="0A9A6B7F"/>
    <w:rsid w:val="0A9B3267"/>
    <w:rsid w:val="0AA82AC5"/>
    <w:rsid w:val="0ABF0394"/>
    <w:rsid w:val="0AC0235E"/>
    <w:rsid w:val="0AC75B18"/>
    <w:rsid w:val="0AFD2C6A"/>
    <w:rsid w:val="0B02681E"/>
    <w:rsid w:val="0B0B2B07"/>
    <w:rsid w:val="0B0C10FF"/>
    <w:rsid w:val="0B116814"/>
    <w:rsid w:val="0B156206"/>
    <w:rsid w:val="0B3F14D4"/>
    <w:rsid w:val="0B3F6A8F"/>
    <w:rsid w:val="0B6149B5"/>
    <w:rsid w:val="0B696551"/>
    <w:rsid w:val="0B775713"/>
    <w:rsid w:val="0B7C44D7"/>
    <w:rsid w:val="0B837613"/>
    <w:rsid w:val="0BA87886"/>
    <w:rsid w:val="0BB06CD5"/>
    <w:rsid w:val="0C023101"/>
    <w:rsid w:val="0C1E10EA"/>
    <w:rsid w:val="0C6311F3"/>
    <w:rsid w:val="0C7358DA"/>
    <w:rsid w:val="0C7426EC"/>
    <w:rsid w:val="0C874AB1"/>
    <w:rsid w:val="0C8A677F"/>
    <w:rsid w:val="0CA53877"/>
    <w:rsid w:val="0CE00A95"/>
    <w:rsid w:val="0CE7389C"/>
    <w:rsid w:val="0D272220"/>
    <w:rsid w:val="0D3A56A0"/>
    <w:rsid w:val="0D6945E7"/>
    <w:rsid w:val="0D6E7E4F"/>
    <w:rsid w:val="0D766D04"/>
    <w:rsid w:val="0D815DD4"/>
    <w:rsid w:val="0D8E04F1"/>
    <w:rsid w:val="0DEB161A"/>
    <w:rsid w:val="0E211365"/>
    <w:rsid w:val="0E304A35"/>
    <w:rsid w:val="0E3A5F83"/>
    <w:rsid w:val="0E4F7C80"/>
    <w:rsid w:val="0E680D42"/>
    <w:rsid w:val="0E6A2D0C"/>
    <w:rsid w:val="0E7D63D0"/>
    <w:rsid w:val="0E8A6F0A"/>
    <w:rsid w:val="0E9D4E90"/>
    <w:rsid w:val="0EC40C69"/>
    <w:rsid w:val="0F0E09E8"/>
    <w:rsid w:val="0F425337"/>
    <w:rsid w:val="0F53554E"/>
    <w:rsid w:val="0F83743D"/>
    <w:rsid w:val="0F8B4EFC"/>
    <w:rsid w:val="0FB51D65"/>
    <w:rsid w:val="0FB7564B"/>
    <w:rsid w:val="0FCF7FFC"/>
    <w:rsid w:val="0FD85A54"/>
    <w:rsid w:val="0FDC5544"/>
    <w:rsid w:val="0FE10DAC"/>
    <w:rsid w:val="0FFA2AB6"/>
    <w:rsid w:val="100D7DF3"/>
    <w:rsid w:val="101E5B5C"/>
    <w:rsid w:val="10240C99"/>
    <w:rsid w:val="103B02B6"/>
    <w:rsid w:val="104135F9"/>
    <w:rsid w:val="105A46BB"/>
    <w:rsid w:val="10A51DDA"/>
    <w:rsid w:val="10F1501F"/>
    <w:rsid w:val="11005262"/>
    <w:rsid w:val="1126167A"/>
    <w:rsid w:val="112C1D96"/>
    <w:rsid w:val="112D2A00"/>
    <w:rsid w:val="115B7EC7"/>
    <w:rsid w:val="115D0CDB"/>
    <w:rsid w:val="115F642C"/>
    <w:rsid w:val="118367EC"/>
    <w:rsid w:val="119A2EC2"/>
    <w:rsid w:val="11DF575B"/>
    <w:rsid w:val="12064AFA"/>
    <w:rsid w:val="123A47A4"/>
    <w:rsid w:val="12837EF9"/>
    <w:rsid w:val="129245E0"/>
    <w:rsid w:val="12B72AC8"/>
    <w:rsid w:val="12C53BAB"/>
    <w:rsid w:val="12C56763"/>
    <w:rsid w:val="12D6271E"/>
    <w:rsid w:val="12DD56D0"/>
    <w:rsid w:val="12E453E1"/>
    <w:rsid w:val="130A686C"/>
    <w:rsid w:val="13392CAD"/>
    <w:rsid w:val="13581385"/>
    <w:rsid w:val="1360023A"/>
    <w:rsid w:val="136F66CF"/>
    <w:rsid w:val="137D0DEC"/>
    <w:rsid w:val="13914897"/>
    <w:rsid w:val="13AC16D1"/>
    <w:rsid w:val="13E83022"/>
    <w:rsid w:val="14027543"/>
    <w:rsid w:val="14055F2A"/>
    <w:rsid w:val="14073B5C"/>
    <w:rsid w:val="142D2812"/>
    <w:rsid w:val="144E4536"/>
    <w:rsid w:val="14587163"/>
    <w:rsid w:val="145B4DEA"/>
    <w:rsid w:val="146B1AFA"/>
    <w:rsid w:val="146B50E8"/>
    <w:rsid w:val="14795475"/>
    <w:rsid w:val="148B7538"/>
    <w:rsid w:val="14914C87"/>
    <w:rsid w:val="14B24AC5"/>
    <w:rsid w:val="14D35F6D"/>
    <w:rsid w:val="14E03753"/>
    <w:rsid w:val="14EF7AC7"/>
    <w:rsid w:val="15227E9D"/>
    <w:rsid w:val="153567EB"/>
    <w:rsid w:val="15357EA3"/>
    <w:rsid w:val="153F7762"/>
    <w:rsid w:val="1546345F"/>
    <w:rsid w:val="15595889"/>
    <w:rsid w:val="157A3DE6"/>
    <w:rsid w:val="15A20FDE"/>
    <w:rsid w:val="15AD4515"/>
    <w:rsid w:val="15BF56EC"/>
    <w:rsid w:val="15C23767"/>
    <w:rsid w:val="15FA0A52"/>
    <w:rsid w:val="160F471D"/>
    <w:rsid w:val="162163A6"/>
    <w:rsid w:val="162F6237"/>
    <w:rsid w:val="163007A4"/>
    <w:rsid w:val="16323E9D"/>
    <w:rsid w:val="16526560"/>
    <w:rsid w:val="16532BAF"/>
    <w:rsid w:val="16573B76"/>
    <w:rsid w:val="16640041"/>
    <w:rsid w:val="167A1613"/>
    <w:rsid w:val="167F4E7B"/>
    <w:rsid w:val="169F376F"/>
    <w:rsid w:val="16A86180"/>
    <w:rsid w:val="16AB5CAD"/>
    <w:rsid w:val="16B17A67"/>
    <w:rsid w:val="16C117E9"/>
    <w:rsid w:val="16C136E5"/>
    <w:rsid w:val="16C3745D"/>
    <w:rsid w:val="16CE195E"/>
    <w:rsid w:val="16E84EEA"/>
    <w:rsid w:val="16ED5F07"/>
    <w:rsid w:val="16FE3FF2"/>
    <w:rsid w:val="17231CAA"/>
    <w:rsid w:val="17343EB7"/>
    <w:rsid w:val="174F2A9F"/>
    <w:rsid w:val="1750680B"/>
    <w:rsid w:val="17602EFE"/>
    <w:rsid w:val="176B1094"/>
    <w:rsid w:val="179E5F3A"/>
    <w:rsid w:val="17A62F40"/>
    <w:rsid w:val="17C36FE9"/>
    <w:rsid w:val="17EF6030"/>
    <w:rsid w:val="181A30AD"/>
    <w:rsid w:val="183124A5"/>
    <w:rsid w:val="1835627A"/>
    <w:rsid w:val="188F46B1"/>
    <w:rsid w:val="188F6EFF"/>
    <w:rsid w:val="18AB1F57"/>
    <w:rsid w:val="18BF5A03"/>
    <w:rsid w:val="18DA6CE0"/>
    <w:rsid w:val="193957B5"/>
    <w:rsid w:val="197E141A"/>
    <w:rsid w:val="19891B44"/>
    <w:rsid w:val="19E37FA1"/>
    <w:rsid w:val="19F33BB6"/>
    <w:rsid w:val="1A004525"/>
    <w:rsid w:val="1A1A3838"/>
    <w:rsid w:val="1A2A15A2"/>
    <w:rsid w:val="1A3760C8"/>
    <w:rsid w:val="1A586B42"/>
    <w:rsid w:val="1A6F016E"/>
    <w:rsid w:val="1A7F5449"/>
    <w:rsid w:val="1A926B26"/>
    <w:rsid w:val="1AB33345"/>
    <w:rsid w:val="1ADA4D76"/>
    <w:rsid w:val="1AE300CE"/>
    <w:rsid w:val="1AEE342A"/>
    <w:rsid w:val="1AFE6CB6"/>
    <w:rsid w:val="1B0B3181"/>
    <w:rsid w:val="1B143435"/>
    <w:rsid w:val="1B430B6D"/>
    <w:rsid w:val="1B593EEC"/>
    <w:rsid w:val="1B5E1503"/>
    <w:rsid w:val="1B6F441F"/>
    <w:rsid w:val="1B6F54BE"/>
    <w:rsid w:val="1B8A054A"/>
    <w:rsid w:val="1BCC2910"/>
    <w:rsid w:val="1BE952E4"/>
    <w:rsid w:val="1BEC2FB3"/>
    <w:rsid w:val="1C220782"/>
    <w:rsid w:val="1C2A3ADB"/>
    <w:rsid w:val="1C2C7853"/>
    <w:rsid w:val="1C2F2E9F"/>
    <w:rsid w:val="1C3C502D"/>
    <w:rsid w:val="1C56667E"/>
    <w:rsid w:val="1C5C2AF3"/>
    <w:rsid w:val="1C6F246D"/>
    <w:rsid w:val="1C705992"/>
    <w:rsid w:val="1C840E30"/>
    <w:rsid w:val="1C847E13"/>
    <w:rsid w:val="1C876837"/>
    <w:rsid w:val="1C9871D4"/>
    <w:rsid w:val="1C9961A4"/>
    <w:rsid w:val="1C9B0EC5"/>
    <w:rsid w:val="1CA32066"/>
    <w:rsid w:val="1CB6536F"/>
    <w:rsid w:val="1CB6711D"/>
    <w:rsid w:val="1CDB7F58"/>
    <w:rsid w:val="1CE56411"/>
    <w:rsid w:val="1D063C00"/>
    <w:rsid w:val="1D077978"/>
    <w:rsid w:val="1D317F46"/>
    <w:rsid w:val="1D5038FF"/>
    <w:rsid w:val="1D8A2164"/>
    <w:rsid w:val="1D94745E"/>
    <w:rsid w:val="1DB70C3A"/>
    <w:rsid w:val="1DD62C34"/>
    <w:rsid w:val="1DE026A3"/>
    <w:rsid w:val="1E140822"/>
    <w:rsid w:val="1EDA46D4"/>
    <w:rsid w:val="1F047D4E"/>
    <w:rsid w:val="1F066139"/>
    <w:rsid w:val="1F2E743E"/>
    <w:rsid w:val="1F43738D"/>
    <w:rsid w:val="1F570A81"/>
    <w:rsid w:val="1F69491A"/>
    <w:rsid w:val="1FA34B99"/>
    <w:rsid w:val="1FAA1158"/>
    <w:rsid w:val="1FBB3CE7"/>
    <w:rsid w:val="1FCF6E73"/>
    <w:rsid w:val="1FD47FE6"/>
    <w:rsid w:val="1FD955FC"/>
    <w:rsid w:val="1FE346CD"/>
    <w:rsid w:val="1FE453E9"/>
    <w:rsid w:val="1FE50445"/>
    <w:rsid w:val="200B4005"/>
    <w:rsid w:val="201C373B"/>
    <w:rsid w:val="202111B2"/>
    <w:rsid w:val="203B1E13"/>
    <w:rsid w:val="2040567B"/>
    <w:rsid w:val="20C067BC"/>
    <w:rsid w:val="20DA5ACF"/>
    <w:rsid w:val="210A2CE1"/>
    <w:rsid w:val="210F504D"/>
    <w:rsid w:val="21194443"/>
    <w:rsid w:val="213571AA"/>
    <w:rsid w:val="213836B0"/>
    <w:rsid w:val="213B4094"/>
    <w:rsid w:val="21690C01"/>
    <w:rsid w:val="21893052"/>
    <w:rsid w:val="21934DFE"/>
    <w:rsid w:val="219E4C0D"/>
    <w:rsid w:val="21E0526C"/>
    <w:rsid w:val="21EE1107"/>
    <w:rsid w:val="22016465"/>
    <w:rsid w:val="22237002"/>
    <w:rsid w:val="224156DA"/>
    <w:rsid w:val="22456F79"/>
    <w:rsid w:val="224C47AB"/>
    <w:rsid w:val="224C6559"/>
    <w:rsid w:val="225243A2"/>
    <w:rsid w:val="22695B2D"/>
    <w:rsid w:val="226D64CF"/>
    <w:rsid w:val="227B0BEC"/>
    <w:rsid w:val="22B81E40"/>
    <w:rsid w:val="22CF093F"/>
    <w:rsid w:val="22D57132"/>
    <w:rsid w:val="22D64BAD"/>
    <w:rsid w:val="22F20137"/>
    <w:rsid w:val="23476D20"/>
    <w:rsid w:val="23503E27"/>
    <w:rsid w:val="23517B9F"/>
    <w:rsid w:val="235F71C6"/>
    <w:rsid w:val="23713D9D"/>
    <w:rsid w:val="237750EB"/>
    <w:rsid w:val="238179BB"/>
    <w:rsid w:val="23F01166"/>
    <w:rsid w:val="23F24EDE"/>
    <w:rsid w:val="23F82635"/>
    <w:rsid w:val="240B5FA0"/>
    <w:rsid w:val="24613C0B"/>
    <w:rsid w:val="24651B54"/>
    <w:rsid w:val="24711BFF"/>
    <w:rsid w:val="2490190B"/>
    <w:rsid w:val="24904744"/>
    <w:rsid w:val="2497134E"/>
    <w:rsid w:val="24B86FB5"/>
    <w:rsid w:val="24BB79C6"/>
    <w:rsid w:val="24E0742D"/>
    <w:rsid w:val="24F212CA"/>
    <w:rsid w:val="25096983"/>
    <w:rsid w:val="25205A7B"/>
    <w:rsid w:val="25283888"/>
    <w:rsid w:val="25323DC4"/>
    <w:rsid w:val="25324D05"/>
    <w:rsid w:val="253B28B5"/>
    <w:rsid w:val="25472113"/>
    <w:rsid w:val="254C6870"/>
    <w:rsid w:val="257D4C7B"/>
    <w:rsid w:val="25853B30"/>
    <w:rsid w:val="25873D4C"/>
    <w:rsid w:val="25A3141D"/>
    <w:rsid w:val="25B71060"/>
    <w:rsid w:val="25BF3AFF"/>
    <w:rsid w:val="25D8182D"/>
    <w:rsid w:val="25E42F4C"/>
    <w:rsid w:val="265754CC"/>
    <w:rsid w:val="26583EBF"/>
    <w:rsid w:val="26591245"/>
    <w:rsid w:val="266A530B"/>
    <w:rsid w:val="268F2EB8"/>
    <w:rsid w:val="268F3365"/>
    <w:rsid w:val="269C3827"/>
    <w:rsid w:val="269E134D"/>
    <w:rsid w:val="26AC3A6A"/>
    <w:rsid w:val="26C708A4"/>
    <w:rsid w:val="26E2748C"/>
    <w:rsid w:val="26EA6341"/>
    <w:rsid w:val="27104DCE"/>
    <w:rsid w:val="27196C26"/>
    <w:rsid w:val="274912B9"/>
    <w:rsid w:val="27541A0C"/>
    <w:rsid w:val="27547C5E"/>
    <w:rsid w:val="275639D6"/>
    <w:rsid w:val="276C31F9"/>
    <w:rsid w:val="276F4A98"/>
    <w:rsid w:val="279A1B15"/>
    <w:rsid w:val="27B84C56"/>
    <w:rsid w:val="27BA1634"/>
    <w:rsid w:val="27D03788"/>
    <w:rsid w:val="28575C58"/>
    <w:rsid w:val="287265EE"/>
    <w:rsid w:val="28D450EA"/>
    <w:rsid w:val="28D5055F"/>
    <w:rsid w:val="28FC39E6"/>
    <w:rsid w:val="291C5438"/>
    <w:rsid w:val="297457A6"/>
    <w:rsid w:val="29895F83"/>
    <w:rsid w:val="2A157B78"/>
    <w:rsid w:val="2A1831C5"/>
    <w:rsid w:val="2A581813"/>
    <w:rsid w:val="2A64640A"/>
    <w:rsid w:val="2A7D74CC"/>
    <w:rsid w:val="2A930039"/>
    <w:rsid w:val="2AA841F2"/>
    <w:rsid w:val="2AF43C32"/>
    <w:rsid w:val="2B0A5203"/>
    <w:rsid w:val="2B2E2991"/>
    <w:rsid w:val="2BA967CA"/>
    <w:rsid w:val="2BBF5FEE"/>
    <w:rsid w:val="2BCA04EF"/>
    <w:rsid w:val="2BCE6231"/>
    <w:rsid w:val="2BDD0222"/>
    <w:rsid w:val="2BFD08C4"/>
    <w:rsid w:val="2C0E487F"/>
    <w:rsid w:val="2C0F5A5F"/>
    <w:rsid w:val="2C5030EA"/>
    <w:rsid w:val="2C7C5C8D"/>
    <w:rsid w:val="2C934D84"/>
    <w:rsid w:val="2CB216AE"/>
    <w:rsid w:val="2CC413E2"/>
    <w:rsid w:val="2CCF6074"/>
    <w:rsid w:val="2CE028C6"/>
    <w:rsid w:val="2CEB2E12"/>
    <w:rsid w:val="2D012F66"/>
    <w:rsid w:val="2D2D342B"/>
    <w:rsid w:val="2D771923"/>
    <w:rsid w:val="2D776454"/>
    <w:rsid w:val="2D7B5F44"/>
    <w:rsid w:val="2D875411"/>
    <w:rsid w:val="2DA709E8"/>
    <w:rsid w:val="2DA84860"/>
    <w:rsid w:val="2DAF3E40"/>
    <w:rsid w:val="2DDD09AD"/>
    <w:rsid w:val="2DE81100"/>
    <w:rsid w:val="2DEC299E"/>
    <w:rsid w:val="2DFB5908"/>
    <w:rsid w:val="2E0065CE"/>
    <w:rsid w:val="2E0C1292"/>
    <w:rsid w:val="2E312AA7"/>
    <w:rsid w:val="2E426A62"/>
    <w:rsid w:val="2E4B1DBB"/>
    <w:rsid w:val="2E556795"/>
    <w:rsid w:val="2E746294"/>
    <w:rsid w:val="2EBF315F"/>
    <w:rsid w:val="2EC90F31"/>
    <w:rsid w:val="2EC93975"/>
    <w:rsid w:val="2ED0406E"/>
    <w:rsid w:val="2EF22236"/>
    <w:rsid w:val="2EF91480"/>
    <w:rsid w:val="2F176A2A"/>
    <w:rsid w:val="2F1F6DA3"/>
    <w:rsid w:val="2F261EE0"/>
    <w:rsid w:val="2F391C13"/>
    <w:rsid w:val="2F3D7961"/>
    <w:rsid w:val="2F45680A"/>
    <w:rsid w:val="2F4D3910"/>
    <w:rsid w:val="2F666780"/>
    <w:rsid w:val="2F7075FF"/>
    <w:rsid w:val="2F8C1E45"/>
    <w:rsid w:val="2FA63021"/>
    <w:rsid w:val="2FAA2B11"/>
    <w:rsid w:val="2FD7142C"/>
    <w:rsid w:val="2FF41FDE"/>
    <w:rsid w:val="2FFB511A"/>
    <w:rsid w:val="300F0BC6"/>
    <w:rsid w:val="30136908"/>
    <w:rsid w:val="30151978"/>
    <w:rsid w:val="30155912"/>
    <w:rsid w:val="30240B15"/>
    <w:rsid w:val="3070283C"/>
    <w:rsid w:val="307F5D4C"/>
    <w:rsid w:val="309A4933"/>
    <w:rsid w:val="30A12166"/>
    <w:rsid w:val="30C9346B"/>
    <w:rsid w:val="30F32296"/>
    <w:rsid w:val="30F84CE1"/>
    <w:rsid w:val="30FD0529"/>
    <w:rsid w:val="30FF50DE"/>
    <w:rsid w:val="31197F4E"/>
    <w:rsid w:val="311D7312"/>
    <w:rsid w:val="313E79B5"/>
    <w:rsid w:val="314D409C"/>
    <w:rsid w:val="3163417D"/>
    <w:rsid w:val="318A49A8"/>
    <w:rsid w:val="31C51E84"/>
    <w:rsid w:val="31D644AB"/>
    <w:rsid w:val="31E242A6"/>
    <w:rsid w:val="322A618B"/>
    <w:rsid w:val="323E5B9E"/>
    <w:rsid w:val="324E00CB"/>
    <w:rsid w:val="32554509"/>
    <w:rsid w:val="326951F3"/>
    <w:rsid w:val="32A24300"/>
    <w:rsid w:val="32A61AD2"/>
    <w:rsid w:val="32AE46C6"/>
    <w:rsid w:val="32CC0FF0"/>
    <w:rsid w:val="32E92FB9"/>
    <w:rsid w:val="33150101"/>
    <w:rsid w:val="331704BD"/>
    <w:rsid w:val="334E2397"/>
    <w:rsid w:val="33526CEF"/>
    <w:rsid w:val="338418CB"/>
    <w:rsid w:val="33AD30C5"/>
    <w:rsid w:val="33BC1065"/>
    <w:rsid w:val="33C64D45"/>
    <w:rsid w:val="33EC0EFE"/>
    <w:rsid w:val="33F64119"/>
    <w:rsid w:val="33F8661C"/>
    <w:rsid w:val="341F3A1B"/>
    <w:rsid w:val="342015F4"/>
    <w:rsid w:val="3454129D"/>
    <w:rsid w:val="345968B4"/>
    <w:rsid w:val="348025C6"/>
    <w:rsid w:val="3492069F"/>
    <w:rsid w:val="34945433"/>
    <w:rsid w:val="349F4C0E"/>
    <w:rsid w:val="34A2025B"/>
    <w:rsid w:val="350D601C"/>
    <w:rsid w:val="35204032"/>
    <w:rsid w:val="354B627A"/>
    <w:rsid w:val="356814A4"/>
    <w:rsid w:val="357C0AAC"/>
    <w:rsid w:val="35885E60"/>
    <w:rsid w:val="358E3D56"/>
    <w:rsid w:val="360311CD"/>
    <w:rsid w:val="36435665"/>
    <w:rsid w:val="3647730B"/>
    <w:rsid w:val="367C49A1"/>
    <w:rsid w:val="36C26992"/>
    <w:rsid w:val="36D52B69"/>
    <w:rsid w:val="36D55C7A"/>
    <w:rsid w:val="36E6103A"/>
    <w:rsid w:val="36EF34FF"/>
    <w:rsid w:val="3710594F"/>
    <w:rsid w:val="37364480"/>
    <w:rsid w:val="37545800"/>
    <w:rsid w:val="375D66BB"/>
    <w:rsid w:val="376B702A"/>
    <w:rsid w:val="37C26C87"/>
    <w:rsid w:val="37E1553E"/>
    <w:rsid w:val="380F3E59"/>
    <w:rsid w:val="381474C6"/>
    <w:rsid w:val="38183E1B"/>
    <w:rsid w:val="38295077"/>
    <w:rsid w:val="382B6D50"/>
    <w:rsid w:val="382F0057"/>
    <w:rsid w:val="384D08D4"/>
    <w:rsid w:val="38613F89"/>
    <w:rsid w:val="388D1222"/>
    <w:rsid w:val="3895243A"/>
    <w:rsid w:val="38A10829"/>
    <w:rsid w:val="38B00000"/>
    <w:rsid w:val="38BB18EB"/>
    <w:rsid w:val="38D37AC3"/>
    <w:rsid w:val="38E30E42"/>
    <w:rsid w:val="38F66DC7"/>
    <w:rsid w:val="392C04C3"/>
    <w:rsid w:val="39377035"/>
    <w:rsid w:val="39904B26"/>
    <w:rsid w:val="39AB195F"/>
    <w:rsid w:val="39D35282"/>
    <w:rsid w:val="3A1439A9"/>
    <w:rsid w:val="3A357A7E"/>
    <w:rsid w:val="3A5E4C24"/>
    <w:rsid w:val="3A6B10EF"/>
    <w:rsid w:val="3A8F494D"/>
    <w:rsid w:val="3AAA7E69"/>
    <w:rsid w:val="3AD06868"/>
    <w:rsid w:val="3AEB650A"/>
    <w:rsid w:val="3AF5356F"/>
    <w:rsid w:val="3AF61300"/>
    <w:rsid w:val="3B3460C0"/>
    <w:rsid w:val="3B6076B2"/>
    <w:rsid w:val="3B691AD2"/>
    <w:rsid w:val="3B6A75F8"/>
    <w:rsid w:val="3B755158"/>
    <w:rsid w:val="3B7A3CDF"/>
    <w:rsid w:val="3B837F8F"/>
    <w:rsid w:val="3B842468"/>
    <w:rsid w:val="3B862684"/>
    <w:rsid w:val="3B885799"/>
    <w:rsid w:val="3BA90120"/>
    <w:rsid w:val="3BD56240"/>
    <w:rsid w:val="3BE23632"/>
    <w:rsid w:val="3BEB0739"/>
    <w:rsid w:val="3BF5780A"/>
    <w:rsid w:val="3BFF2436"/>
    <w:rsid w:val="3C045336"/>
    <w:rsid w:val="3C241E9D"/>
    <w:rsid w:val="3C485465"/>
    <w:rsid w:val="3C4E5B21"/>
    <w:rsid w:val="3C540EF7"/>
    <w:rsid w:val="3C5462DE"/>
    <w:rsid w:val="3C7060DA"/>
    <w:rsid w:val="3C917BA0"/>
    <w:rsid w:val="3CBA010B"/>
    <w:rsid w:val="3CC11038"/>
    <w:rsid w:val="3CE32F55"/>
    <w:rsid w:val="3D001FC2"/>
    <w:rsid w:val="3D255ECD"/>
    <w:rsid w:val="3D3B2FFA"/>
    <w:rsid w:val="3D566086"/>
    <w:rsid w:val="3D695EAF"/>
    <w:rsid w:val="3D7824A0"/>
    <w:rsid w:val="3D785FFC"/>
    <w:rsid w:val="3D8F7BCA"/>
    <w:rsid w:val="3D932E36"/>
    <w:rsid w:val="3DA60DBB"/>
    <w:rsid w:val="3DAD20DD"/>
    <w:rsid w:val="3DB72FC9"/>
    <w:rsid w:val="3DB8289D"/>
    <w:rsid w:val="3DB86D41"/>
    <w:rsid w:val="3DC54FBA"/>
    <w:rsid w:val="3DD142BB"/>
    <w:rsid w:val="3DEB0EC4"/>
    <w:rsid w:val="3DF02037"/>
    <w:rsid w:val="3DF17B5D"/>
    <w:rsid w:val="3DF638A0"/>
    <w:rsid w:val="3DFC418E"/>
    <w:rsid w:val="3DFD6502"/>
    <w:rsid w:val="3E0C1200"/>
    <w:rsid w:val="3E167563"/>
    <w:rsid w:val="3E2D5039"/>
    <w:rsid w:val="3E4F69BB"/>
    <w:rsid w:val="3E5C76CC"/>
    <w:rsid w:val="3E647289"/>
    <w:rsid w:val="3E7964D0"/>
    <w:rsid w:val="3E810EE1"/>
    <w:rsid w:val="3E891DA4"/>
    <w:rsid w:val="3E933797"/>
    <w:rsid w:val="3E976956"/>
    <w:rsid w:val="3EA52668"/>
    <w:rsid w:val="3EBD0EE2"/>
    <w:rsid w:val="3EFE4C27"/>
    <w:rsid w:val="3F141D55"/>
    <w:rsid w:val="3F222FE0"/>
    <w:rsid w:val="3F3441A5"/>
    <w:rsid w:val="3F3D5750"/>
    <w:rsid w:val="3F4B6BF0"/>
    <w:rsid w:val="3F682C26"/>
    <w:rsid w:val="3F6D16D7"/>
    <w:rsid w:val="3F747261"/>
    <w:rsid w:val="3F8769CB"/>
    <w:rsid w:val="3F94000D"/>
    <w:rsid w:val="3FA330D9"/>
    <w:rsid w:val="3FAF7CCF"/>
    <w:rsid w:val="3FE32A90"/>
    <w:rsid w:val="3FE43E1D"/>
    <w:rsid w:val="3FE47979"/>
    <w:rsid w:val="3FE8319B"/>
    <w:rsid w:val="4004305D"/>
    <w:rsid w:val="400870B8"/>
    <w:rsid w:val="401D10DD"/>
    <w:rsid w:val="40442B0E"/>
    <w:rsid w:val="406D3E12"/>
    <w:rsid w:val="40890521"/>
    <w:rsid w:val="40C003E6"/>
    <w:rsid w:val="40CE2673"/>
    <w:rsid w:val="40DA6FCE"/>
    <w:rsid w:val="40EE65D6"/>
    <w:rsid w:val="410F2FC5"/>
    <w:rsid w:val="4134048C"/>
    <w:rsid w:val="4158794C"/>
    <w:rsid w:val="416F7716"/>
    <w:rsid w:val="419B49AF"/>
    <w:rsid w:val="41A73354"/>
    <w:rsid w:val="41C23CEA"/>
    <w:rsid w:val="41C31810"/>
    <w:rsid w:val="41C757A4"/>
    <w:rsid w:val="41CE376B"/>
    <w:rsid w:val="41D41C6F"/>
    <w:rsid w:val="41DD1214"/>
    <w:rsid w:val="42162288"/>
    <w:rsid w:val="42277FF1"/>
    <w:rsid w:val="422C3859"/>
    <w:rsid w:val="424C7A58"/>
    <w:rsid w:val="42755843"/>
    <w:rsid w:val="428B1AA5"/>
    <w:rsid w:val="429D02B3"/>
    <w:rsid w:val="429F1251"/>
    <w:rsid w:val="42F36125"/>
    <w:rsid w:val="42F62490"/>
    <w:rsid w:val="43000978"/>
    <w:rsid w:val="43004B7A"/>
    <w:rsid w:val="43094BE2"/>
    <w:rsid w:val="430F539D"/>
    <w:rsid w:val="43212C92"/>
    <w:rsid w:val="432D7889"/>
    <w:rsid w:val="43374264"/>
    <w:rsid w:val="433E2020"/>
    <w:rsid w:val="43501FEC"/>
    <w:rsid w:val="43574906"/>
    <w:rsid w:val="435E5C94"/>
    <w:rsid w:val="435E718F"/>
    <w:rsid w:val="43972F54"/>
    <w:rsid w:val="439F6C52"/>
    <w:rsid w:val="43BC14A4"/>
    <w:rsid w:val="43CC0E50"/>
    <w:rsid w:val="43D16466"/>
    <w:rsid w:val="43F108B7"/>
    <w:rsid w:val="441445A5"/>
    <w:rsid w:val="4416031D"/>
    <w:rsid w:val="443A0129"/>
    <w:rsid w:val="448C6831"/>
    <w:rsid w:val="449F47B6"/>
    <w:rsid w:val="44A0729C"/>
    <w:rsid w:val="44B24732"/>
    <w:rsid w:val="44CD4E80"/>
    <w:rsid w:val="44E81CBA"/>
    <w:rsid w:val="450308A1"/>
    <w:rsid w:val="45131232"/>
    <w:rsid w:val="452F12F5"/>
    <w:rsid w:val="453B44DF"/>
    <w:rsid w:val="45401AF6"/>
    <w:rsid w:val="455C6204"/>
    <w:rsid w:val="457804D5"/>
    <w:rsid w:val="45DA5C68"/>
    <w:rsid w:val="45EC3A2B"/>
    <w:rsid w:val="45EC7588"/>
    <w:rsid w:val="45F20916"/>
    <w:rsid w:val="45FD1795"/>
    <w:rsid w:val="460839C1"/>
    <w:rsid w:val="463236F2"/>
    <w:rsid w:val="463D7DE3"/>
    <w:rsid w:val="464B69A4"/>
    <w:rsid w:val="465A6BE7"/>
    <w:rsid w:val="4694464B"/>
    <w:rsid w:val="46954ED9"/>
    <w:rsid w:val="46A61E2C"/>
    <w:rsid w:val="46F22218"/>
    <w:rsid w:val="46F72688"/>
    <w:rsid w:val="46FB5788"/>
    <w:rsid w:val="47412EAE"/>
    <w:rsid w:val="474358CD"/>
    <w:rsid w:val="47487D3C"/>
    <w:rsid w:val="474A6C5C"/>
    <w:rsid w:val="475A2C17"/>
    <w:rsid w:val="47A02FEE"/>
    <w:rsid w:val="47A83982"/>
    <w:rsid w:val="47C66AE7"/>
    <w:rsid w:val="47D26C51"/>
    <w:rsid w:val="47DE55F6"/>
    <w:rsid w:val="47E04ECA"/>
    <w:rsid w:val="47E524E0"/>
    <w:rsid w:val="47EB3E1C"/>
    <w:rsid w:val="481E3AAF"/>
    <w:rsid w:val="483D056E"/>
    <w:rsid w:val="483D1893"/>
    <w:rsid w:val="485422E0"/>
    <w:rsid w:val="48547666"/>
    <w:rsid w:val="486C49B0"/>
    <w:rsid w:val="486F10A5"/>
    <w:rsid w:val="487565D5"/>
    <w:rsid w:val="48C26CC5"/>
    <w:rsid w:val="48C42A3E"/>
    <w:rsid w:val="48D03190"/>
    <w:rsid w:val="48D16F09"/>
    <w:rsid w:val="48E82D4D"/>
    <w:rsid w:val="48FD385A"/>
    <w:rsid w:val="49107A31"/>
    <w:rsid w:val="4921579A"/>
    <w:rsid w:val="493354CD"/>
    <w:rsid w:val="49341FF9"/>
    <w:rsid w:val="493556E9"/>
    <w:rsid w:val="493B1243"/>
    <w:rsid w:val="49725FF6"/>
    <w:rsid w:val="49A32653"/>
    <w:rsid w:val="49A5461D"/>
    <w:rsid w:val="49D71785"/>
    <w:rsid w:val="49DD71DE"/>
    <w:rsid w:val="49F04DE4"/>
    <w:rsid w:val="49F17862"/>
    <w:rsid w:val="4A0B01F8"/>
    <w:rsid w:val="4A175E73"/>
    <w:rsid w:val="4A1C545E"/>
    <w:rsid w:val="4A216F8B"/>
    <w:rsid w:val="4A560560"/>
    <w:rsid w:val="4A954A5F"/>
    <w:rsid w:val="4ADF3B5F"/>
    <w:rsid w:val="4ADF52C2"/>
    <w:rsid w:val="4AFB026D"/>
    <w:rsid w:val="4B1355B6"/>
    <w:rsid w:val="4B275B29"/>
    <w:rsid w:val="4B2E23F0"/>
    <w:rsid w:val="4B687A43"/>
    <w:rsid w:val="4B7676A2"/>
    <w:rsid w:val="4B7E2B72"/>
    <w:rsid w:val="4B8244EA"/>
    <w:rsid w:val="4B897627"/>
    <w:rsid w:val="4BA1327D"/>
    <w:rsid w:val="4BDE5BC4"/>
    <w:rsid w:val="4C225B2C"/>
    <w:rsid w:val="4C464A47"/>
    <w:rsid w:val="4C567E51"/>
    <w:rsid w:val="4C600CB1"/>
    <w:rsid w:val="4C667968"/>
    <w:rsid w:val="4C8C4B93"/>
    <w:rsid w:val="4CA010CC"/>
    <w:rsid w:val="4CE64A52"/>
    <w:rsid w:val="4CEC6287"/>
    <w:rsid w:val="4D241CFD"/>
    <w:rsid w:val="4D5325E2"/>
    <w:rsid w:val="4D7C761C"/>
    <w:rsid w:val="4D891B60"/>
    <w:rsid w:val="4DA33696"/>
    <w:rsid w:val="4DC5444C"/>
    <w:rsid w:val="4DD454D1"/>
    <w:rsid w:val="4DD73A22"/>
    <w:rsid w:val="4DDD3C5A"/>
    <w:rsid w:val="4DF0398D"/>
    <w:rsid w:val="4DF60C80"/>
    <w:rsid w:val="4DFE3442"/>
    <w:rsid w:val="4E125FF9"/>
    <w:rsid w:val="4E185B3D"/>
    <w:rsid w:val="4E775E5C"/>
    <w:rsid w:val="4E824F2D"/>
    <w:rsid w:val="4E9D50CF"/>
    <w:rsid w:val="4EA053B3"/>
    <w:rsid w:val="4EAB2916"/>
    <w:rsid w:val="4EC05A55"/>
    <w:rsid w:val="4ED908C5"/>
    <w:rsid w:val="4F053A58"/>
    <w:rsid w:val="4F1D4C56"/>
    <w:rsid w:val="4F2F6737"/>
    <w:rsid w:val="4F471CD3"/>
    <w:rsid w:val="4F590025"/>
    <w:rsid w:val="4F960564"/>
    <w:rsid w:val="4F9D5D96"/>
    <w:rsid w:val="4FFF2A2C"/>
    <w:rsid w:val="500951DA"/>
    <w:rsid w:val="50200DCA"/>
    <w:rsid w:val="503264DF"/>
    <w:rsid w:val="506D5769"/>
    <w:rsid w:val="50924895"/>
    <w:rsid w:val="512236AA"/>
    <w:rsid w:val="512E185C"/>
    <w:rsid w:val="512F2A1E"/>
    <w:rsid w:val="51375377"/>
    <w:rsid w:val="51475FBA"/>
    <w:rsid w:val="51552C9C"/>
    <w:rsid w:val="517A638F"/>
    <w:rsid w:val="51AC22C1"/>
    <w:rsid w:val="52025B23"/>
    <w:rsid w:val="520B6FE7"/>
    <w:rsid w:val="5224663F"/>
    <w:rsid w:val="52687391"/>
    <w:rsid w:val="52792ECE"/>
    <w:rsid w:val="527E5B61"/>
    <w:rsid w:val="528A2602"/>
    <w:rsid w:val="52976ACD"/>
    <w:rsid w:val="52EB11E0"/>
    <w:rsid w:val="53086608"/>
    <w:rsid w:val="53536310"/>
    <w:rsid w:val="536912CC"/>
    <w:rsid w:val="536C09D1"/>
    <w:rsid w:val="536F5815"/>
    <w:rsid w:val="53963CFA"/>
    <w:rsid w:val="53E1679D"/>
    <w:rsid w:val="540C0A08"/>
    <w:rsid w:val="54382383"/>
    <w:rsid w:val="543B5442"/>
    <w:rsid w:val="544D1B39"/>
    <w:rsid w:val="544F3B03"/>
    <w:rsid w:val="54684BC5"/>
    <w:rsid w:val="547A0454"/>
    <w:rsid w:val="54A93FE9"/>
    <w:rsid w:val="54DC69F7"/>
    <w:rsid w:val="54E12D87"/>
    <w:rsid w:val="54EB4C35"/>
    <w:rsid w:val="54F03763"/>
    <w:rsid w:val="55055F70"/>
    <w:rsid w:val="55124B31"/>
    <w:rsid w:val="555B2034"/>
    <w:rsid w:val="556829A3"/>
    <w:rsid w:val="557A3281"/>
    <w:rsid w:val="55CE0A58"/>
    <w:rsid w:val="55CE6156"/>
    <w:rsid w:val="55D50038"/>
    <w:rsid w:val="561603B2"/>
    <w:rsid w:val="561641AD"/>
    <w:rsid w:val="56464A92"/>
    <w:rsid w:val="564B20A8"/>
    <w:rsid w:val="567C24C2"/>
    <w:rsid w:val="56B0015D"/>
    <w:rsid w:val="56B57E6A"/>
    <w:rsid w:val="56C360E3"/>
    <w:rsid w:val="56C85EF8"/>
    <w:rsid w:val="56CD6F61"/>
    <w:rsid w:val="56E60023"/>
    <w:rsid w:val="570341F8"/>
    <w:rsid w:val="5705494D"/>
    <w:rsid w:val="570861EB"/>
    <w:rsid w:val="571D6A2B"/>
    <w:rsid w:val="57201A20"/>
    <w:rsid w:val="572D5C52"/>
    <w:rsid w:val="57345792"/>
    <w:rsid w:val="57346FE0"/>
    <w:rsid w:val="575B27BF"/>
    <w:rsid w:val="578C4726"/>
    <w:rsid w:val="57AC45D0"/>
    <w:rsid w:val="57AE1241"/>
    <w:rsid w:val="57B273E9"/>
    <w:rsid w:val="57B67C8D"/>
    <w:rsid w:val="57D40540"/>
    <w:rsid w:val="57EF4CB5"/>
    <w:rsid w:val="58346B6C"/>
    <w:rsid w:val="58372C70"/>
    <w:rsid w:val="583E1656"/>
    <w:rsid w:val="589D1393"/>
    <w:rsid w:val="58B55EFF"/>
    <w:rsid w:val="58C3061C"/>
    <w:rsid w:val="58E70221"/>
    <w:rsid w:val="58F22CAF"/>
    <w:rsid w:val="591B7FEB"/>
    <w:rsid w:val="59314975"/>
    <w:rsid w:val="59550740"/>
    <w:rsid w:val="5966544B"/>
    <w:rsid w:val="59C10AB4"/>
    <w:rsid w:val="59D56296"/>
    <w:rsid w:val="59D95C1D"/>
    <w:rsid w:val="59DE3233"/>
    <w:rsid w:val="59DE62A0"/>
    <w:rsid w:val="59EA1BD8"/>
    <w:rsid w:val="5A026F22"/>
    <w:rsid w:val="5A1D1FAE"/>
    <w:rsid w:val="5A57029D"/>
    <w:rsid w:val="5AA004E9"/>
    <w:rsid w:val="5AA955EF"/>
    <w:rsid w:val="5AE568F8"/>
    <w:rsid w:val="5AE605F2"/>
    <w:rsid w:val="5AF54CD9"/>
    <w:rsid w:val="5AFD593B"/>
    <w:rsid w:val="5B225A37"/>
    <w:rsid w:val="5B4F0440"/>
    <w:rsid w:val="5B5E287E"/>
    <w:rsid w:val="5B6A1223"/>
    <w:rsid w:val="5B7E6A7C"/>
    <w:rsid w:val="5B8A42EF"/>
    <w:rsid w:val="5B9A7FFC"/>
    <w:rsid w:val="5BA76E58"/>
    <w:rsid w:val="5BBC1352"/>
    <w:rsid w:val="5BFB631F"/>
    <w:rsid w:val="5C003935"/>
    <w:rsid w:val="5C0351D3"/>
    <w:rsid w:val="5C11169E"/>
    <w:rsid w:val="5C3E4412"/>
    <w:rsid w:val="5C3F3891"/>
    <w:rsid w:val="5C484871"/>
    <w:rsid w:val="5C602626"/>
    <w:rsid w:val="5C81323B"/>
    <w:rsid w:val="5C875E04"/>
    <w:rsid w:val="5C8D658A"/>
    <w:rsid w:val="5C967DF5"/>
    <w:rsid w:val="5CA83399"/>
    <w:rsid w:val="5CAF3A11"/>
    <w:rsid w:val="5CBF734C"/>
    <w:rsid w:val="5CC33E1F"/>
    <w:rsid w:val="5CDD5A24"/>
    <w:rsid w:val="5CFF1E3E"/>
    <w:rsid w:val="5D1134E3"/>
    <w:rsid w:val="5D3B5199"/>
    <w:rsid w:val="5D6F2B20"/>
    <w:rsid w:val="5D72616D"/>
    <w:rsid w:val="5D7A3273"/>
    <w:rsid w:val="5D9C0A90"/>
    <w:rsid w:val="5DA4235E"/>
    <w:rsid w:val="5DAA334D"/>
    <w:rsid w:val="5DB06C95"/>
    <w:rsid w:val="5DDC5CDC"/>
    <w:rsid w:val="5DDF5B1F"/>
    <w:rsid w:val="5DE352BC"/>
    <w:rsid w:val="5DFC53C5"/>
    <w:rsid w:val="5E196EBA"/>
    <w:rsid w:val="5E253BAB"/>
    <w:rsid w:val="5E4D4235"/>
    <w:rsid w:val="5E504395"/>
    <w:rsid w:val="5E5B4E53"/>
    <w:rsid w:val="5E602469"/>
    <w:rsid w:val="5E6F283B"/>
    <w:rsid w:val="5ED21F55"/>
    <w:rsid w:val="5ED22BFF"/>
    <w:rsid w:val="5EDA6D5D"/>
    <w:rsid w:val="5EE035AA"/>
    <w:rsid w:val="5EE412EC"/>
    <w:rsid w:val="5EF57055"/>
    <w:rsid w:val="5F0D76A3"/>
    <w:rsid w:val="5F117C07"/>
    <w:rsid w:val="5F230066"/>
    <w:rsid w:val="5F2931A3"/>
    <w:rsid w:val="5F334021"/>
    <w:rsid w:val="5F3538F6"/>
    <w:rsid w:val="5F381638"/>
    <w:rsid w:val="5F385194"/>
    <w:rsid w:val="5F3F6522"/>
    <w:rsid w:val="5F4104EC"/>
    <w:rsid w:val="5F4639E0"/>
    <w:rsid w:val="5F686E8E"/>
    <w:rsid w:val="5F73441E"/>
    <w:rsid w:val="5F8D1984"/>
    <w:rsid w:val="5FAB0CC9"/>
    <w:rsid w:val="5FAD7930"/>
    <w:rsid w:val="5FC829BC"/>
    <w:rsid w:val="5FCF3D4A"/>
    <w:rsid w:val="5FEA2B00"/>
    <w:rsid w:val="602D6CC3"/>
    <w:rsid w:val="607641C6"/>
    <w:rsid w:val="60883EF9"/>
    <w:rsid w:val="608A3882"/>
    <w:rsid w:val="608B2C81"/>
    <w:rsid w:val="608F34D9"/>
    <w:rsid w:val="60AF3879"/>
    <w:rsid w:val="60C56EFB"/>
    <w:rsid w:val="60EF149E"/>
    <w:rsid w:val="61693230"/>
    <w:rsid w:val="61972B6A"/>
    <w:rsid w:val="61B84E22"/>
    <w:rsid w:val="61F30033"/>
    <w:rsid w:val="61FD5295"/>
    <w:rsid w:val="628D3A49"/>
    <w:rsid w:val="62CF5E0F"/>
    <w:rsid w:val="62E83E16"/>
    <w:rsid w:val="62E95123"/>
    <w:rsid w:val="62F35FA1"/>
    <w:rsid w:val="630261E5"/>
    <w:rsid w:val="63067FD3"/>
    <w:rsid w:val="631F28F3"/>
    <w:rsid w:val="633839B4"/>
    <w:rsid w:val="636E387A"/>
    <w:rsid w:val="636E5E0F"/>
    <w:rsid w:val="637349EC"/>
    <w:rsid w:val="639C3F43"/>
    <w:rsid w:val="63A66B70"/>
    <w:rsid w:val="63C35974"/>
    <w:rsid w:val="63DF2082"/>
    <w:rsid w:val="63ED0C43"/>
    <w:rsid w:val="63ED479F"/>
    <w:rsid w:val="63F10999"/>
    <w:rsid w:val="641F4B74"/>
    <w:rsid w:val="64460353"/>
    <w:rsid w:val="645206D0"/>
    <w:rsid w:val="645E6CBF"/>
    <w:rsid w:val="64AA08E2"/>
    <w:rsid w:val="65002A2C"/>
    <w:rsid w:val="6502427A"/>
    <w:rsid w:val="6509385A"/>
    <w:rsid w:val="653D1756"/>
    <w:rsid w:val="653E102A"/>
    <w:rsid w:val="654B78CA"/>
    <w:rsid w:val="656C55D4"/>
    <w:rsid w:val="65AD4482"/>
    <w:rsid w:val="65B25CA0"/>
    <w:rsid w:val="65C07C91"/>
    <w:rsid w:val="65D8322D"/>
    <w:rsid w:val="65DC4ACB"/>
    <w:rsid w:val="66326DE1"/>
    <w:rsid w:val="66504D19"/>
    <w:rsid w:val="665243A2"/>
    <w:rsid w:val="66552ACF"/>
    <w:rsid w:val="665B6338"/>
    <w:rsid w:val="665E1984"/>
    <w:rsid w:val="66660838"/>
    <w:rsid w:val="667411A7"/>
    <w:rsid w:val="66742F55"/>
    <w:rsid w:val="6680605A"/>
    <w:rsid w:val="668C58AE"/>
    <w:rsid w:val="66A7157D"/>
    <w:rsid w:val="66B5531C"/>
    <w:rsid w:val="66BC37E2"/>
    <w:rsid w:val="66DB2FD4"/>
    <w:rsid w:val="66F44096"/>
    <w:rsid w:val="670B7AEA"/>
    <w:rsid w:val="671E1113"/>
    <w:rsid w:val="672A3F5C"/>
    <w:rsid w:val="6756421A"/>
    <w:rsid w:val="67630CEF"/>
    <w:rsid w:val="67780EDA"/>
    <w:rsid w:val="679C7611"/>
    <w:rsid w:val="67A4786A"/>
    <w:rsid w:val="67A81366"/>
    <w:rsid w:val="67D46CDE"/>
    <w:rsid w:val="67D87514"/>
    <w:rsid w:val="67FA392E"/>
    <w:rsid w:val="6819475B"/>
    <w:rsid w:val="681A3DE2"/>
    <w:rsid w:val="683F7593"/>
    <w:rsid w:val="688A7DAC"/>
    <w:rsid w:val="68A5389A"/>
    <w:rsid w:val="68AF1D6D"/>
    <w:rsid w:val="68B161D3"/>
    <w:rsid w:val="68CF43EA"/>
    <w:rsid w:val="68D93544"/>
    <w:rsid w:val="68E1070E"/>
    <w:rsid w:val="690B56C7"/>
    <w:rsid w:val="690C3CE7"/>
    <w:rsid w:val="691B3B5C"/>
    <w:rsid w:val="69416EAD"/>
    <w:rsid w:val="694C3FC0"/>
    <w:rsid w:val="69765D89"/>
    <w:rsid w:val="698C6808"/>
    <w:rsid w:val="699163F6"/>
    <w:rsid w:val="69CD7914"/>
    <w:rsid w:val="69D47128"/>
    <w:rsid w:val="69DA5DFE"/>
    <w:rsid w:val="69EC374B"/>
    <w:rsid w:val="69F25583"/>
    <w:rsid w:val="69F66377"/>
    <w:rsid w:val="6A2627B9"/>
    <w:rsid w:val="6A462E5B"/>
    <w:rsid w:val="6A49294B"/>
    <w:rsid w:val="6A503CD9"/>
    <w:rsid w:val="6A692CB7"/>
    <w:rsid w:val="6A696B49"/>
    <w:rsid w:val="6A8952C2"/>
    <w:rsid w:val="6AC65D4A"/>
    <w:rsid w:val="6AD46A66"/>
    <w:rsid w:val="6AED37F2"/>
    <w:rsid w:val="6AEF7DCE"/>
    <w:rsid w:val="6B3C7DBA"/>
    <w:rsid w:val="6B621F16"/>
    <w:rsid w:val="6B6F4633"/>
    <w:rsid w:val="6B7D161D"/>
    <w:rsid w:val="6B9023FF"/>
    <w:rsid w:val="6B9F5BAD"/>
    <w:rsid w:val="6BA442DD"/>
    <w:rsid w:val="6BA46BE1"/>
    <w:rsid w:val="6BC04E8F"/>
    <w:rsid w:val="6BC06C3D"/>
    <w:rsid w:val="6BC404DB"/>
    <w:rsid w:val="6BC95AF1"/>
    <w:rsid w:val="6BCA6224"/>
    <w:rsid w:val="6BD41C61"/>
    <w:rsid w:val="6BE91CF0"/>
    <w:rsid w:val="6BF32B6E"/>
    <w:rsid w:val="6C0A614D"/>
    <w:rsid w:val="6C1D4188"/>
    <w:rsid w:val="6C8C114B"/>
    <w:rsid w:val="6CA672D2"/>
    <w:rsid w:val="6CF21078"/>
    <w:rsid w:val="6CF9407C"/>
    <w:rsid w:val="6D002DFC"/>
    <w:rsid w:val="6D194017"/>
    <w:rsid w:val="6D1B05CF"/>
    <w:rsid w:val="6D2A6A64"/>
    <w:rsid w:val="6D837F22"/>
    <w:rsid w:val="6D8E5551"/>
    <w:rsid w:val="6DBD6517"/>
    <w:rsid w:val="6DD10C8D"/>
    <w:rsid w:val="6DEF55B7"/>
    <w:rsid w:val="6DFA6436"/>
    <w:rsid w:val="6E22773B"/>
    <w:rsid w:val="6E5D0773"/>
    <w:rsid w:val="6E602011"/>
    <w:rsid w:val="6E751F61"/>
    <w:rsid w:val="6E761835"/>
    <w:rsid w:val="6E79211E"/>
    <w:rsid w:val="6E8126B3"/>
    <w:rsid w:val="6E82467D"/>
    <w:rsid w:val="6E8439ED"/>
    <w:rsid w:val="6E9C573F"/>
    <w:rsid w:val="6EA6211A"/>
    <w:rsid w:val="6EC23191"/>
    <w:rsid w:val="6EEC3440"/>
    <w:rsid w:val="6F3C65DA"/>
    <w:rsid w:val="6F5837CB"/>
    <w:rsid w:val="6F6D5423"/>
    <w:rsid w:val="6F7C0E3D"/>
    <w:rsid w:val="6F82185F"/>
    <w:rsid w:val="6F886353"/>
    <w:rsid w:val="6F887838"/>
    <w:rsid w:val="6F8E41A4"/>
    <w:rsid w:val="6FA32AFD"/>
    <w:rsid w:val="6FDD600F"/>
    <w:rsid w:val="6FE86762"/>
    <w:rsid w:val="6FEC0000"/>
    <w:rsid w:val="6FEE70E9"/>
    <w:rsid w:val="700C2451"/>
    <w:rsid w:val="703235D5"/>
    <w:rsid w:val="70380103"/>
    <w:rsid w:val="70705949"/>
    <w:rsid w:val="70744007"/>
    <w:rsid w:val="70BF6642"/>
    <w:rsid w:val="70FF075C"/>
    <w:rsid w:val="710650F2"/>
    <w:rsid w:val="71066EA0"/>
    <w:rsid w:val="71237A52"/>
    <w:rsid w:val="71431EA2"/>
    <w:rsid w:val="71525070"/>
    <w:rsid w:val="715C2F64"/>
    <w:rsid w:val="71804EA4"/>
    <w:rsid w:val="722F68CA"/>
    <w:rsid w:val="724D08F0"/>
    <w:rsid w:val="72534367"/>
    <w:rsid w:val="72A5093A"/>
    <w:rsid w:val="72BF2E76"/>
    <w:rsid w:val="73497518"/>
    <w:rsid w:val="734E4B2E"/>
    <w:rsid w:val="73634A7D"/>
    <w:rsid w:val="73682094"/>
    <w:rsid w:val="73740A39"/>
    <w:rsid w:val="737C169B"/>
    <w:rsid w:val="739C3AEB"/>
    <w:rsid w:val="73C343E4"/>
    <w:rsid w:val="73E56BC8"/>
    <w:rsid w:val="73E831D5"/>
    <w:rsid w:val="73F25E01"/>
    <w:rsid w:val="73F506D6"/>
    <w:rsid w:val="740B2A1F"/>
    <w:rsid w:val="74117C8D"/>
    <w:rsid w:val="74220923"/>
    <w:rsid w:val="74806F69"/>
    <w:rsid w:val="74852401"/>
    <w:rsid w:val="749F1AE5"/>
    <w:rsid w:val="74B471B3"/>
    <w:rsid w:val="74E03EAC"/>
    <w:rsid w:val="75022074"/>
    <w:rsid w:val="75221B04"/>
    <w:rsid w:val="75717E89"/>
    <w:rsid w:val="757A6A57"/>
    <w:rsid w:val="758331B5"/>
    <w:rsid w:val="75AB270C"/>
    <w:rsid w:val="75F419BD"/>
    <w:rsid w:val="762A27DA"/>
    <w:rsid w:val="763E0E8A"/>
    <w:rsid w:val="76430936"/>
    <w:rsid w:val="76524935"/>
    <w:rsid w:val="76740D50"/>
    <w:rsid w:val="76816FC9"/>
    <w:rsid w:val="76832D41"/>
    <w:rsid w:val="76A50965"/>
    <w:rsid w:val="76B80C3C"/>
    <w:rsid w:val="76C53359"/>
    <w:rsid w:val="76DE441B"/>
    <w:rsid w:val="76F679B7"/>
    <w:rsid w:val="77356731"/>
    <w:rsid w:val="773D1603"/>
    <w:rsid w:val="77400C32"/>
    <w:rsid w:val="774A6156"/>
    <w:rsid w:val="77D71596"/>
    <w:rsid w:val="77EB35FA"/>
    <w:rsid w:val="780D320A"/>
    <w:rsid w:val="78434E7D"/>
    <w:rsid w:val="786A41B8"/>
    <w:rsid w:val="7871660D"/>
    <w:rsid w:val="78C4148F"/>
    <w:rsid w:val="78E21FA1"/>
    <w:rsid w:val="790901FF"/>
    <w:rsid w:val="7924080B"/>
    <w:rsid w:val="792D540E"/>
    <w:rsid w:val="794F07DE"/>
    <w:rsid w:val="797F5A41"/>
    <w:rsid w:val="798F3644"/>
    <w:rsid w:val="799A287B"/>
    <w:rsid w:val="79C142AC"/>
    <w:rsid w:val="79D10450"/>
    <w:rsid w:val="79DC2E94"/>
    <w:rsid w:val="7A245426"/>
    <w:rsid w:val="7A286917"/>
    <w:rsid w:val="7A290118"/>
    <w:rsid w:val="7A5C2227"/>
    <w:rsid w:val="7A601D17"/>
    <w:rsid w:val="7A6376BF"/>
    <w:rsid w:val="7A97688D"/>
    <w:rsid w:val="7AB43E11"/>
    <w:rsid w:val="7AF256B6"/>
    <w:rsid w:val="7AF449C4"/>
    <w:rsid w:val="7B051225"/>
    <w:rsid w:val="7B0846E3"/>
    <w:rsid w:val="7B486307"/>
    <w:rsid w:val="7B4C229B"/>
    <w:rsid w:val="7B4C5DF7"/>
    <w:rsid w:val="7B7F7F7B"/>
    <w:rsid w:val="7B914268"/>
    <w:rsid w:val="7B965AB3"/>
    <w:rsid w:val="7BC2255D"/>
    <w:rsid w:val="7BEF7850"/>
    <w:rsid w:val="7C036DFE"/>
    <w:rsid w:val="7C280612"/>
    <w:rsid w:val="7C444D20"/>
    <w:rsid w:val="7C5C650E"/>
    <w:rsid w:val="7C7C0DEA"/>
    <w:rsid w:val="7CB00608"/>
    <w:rsid w:val="7CD442F6"/>
    <w:rsid w:val="7CF14EA8"/>
    <w:rsid w:val="7CF718EF"/>
    <w:rsid w:val="7D07647A"/>
    <w:rsid w:val="7D31799A"/>
    <w:rsid w:val="7D3935CB"/>
    <w:rsid w:val="7D5316BF"/>
    <w:rsid w:val="7D6513F2"/>
    <w:rsid w:val="7D72364A"/>
    <w:rsid w:val="7D7B0C16"/>
    <w:rsid w:val="7D7D6095"/>
    <w:rsid w:val="7D8E0CD4"/>
    <w:rsid w:val="7D9A4AFF"/>
    <w:rsid w:val="7DAC5273"/>
    <w:rsid w:val="7DAD28DC"/>
    <w:rsid w:val="7DB14637"/>
    <w:rsid w:val="7DBF464A"/>
    <w:rsid w:val="7DC15CCA"/>
    <w:rsid w:val="7DF84014"/>
    <w:rsid w:val="7E0105AB"/>
    <w:rsid w:val="7E074257"/>
    <w:rsid w:val="7E384472"/>
    <w:rsid w:val="7E795155"/>
    <w:rsid w:val="7E885398"/>
    <w:rsid w:val="7E9F4667"/>
    <w:rsid w:val="7EAD3051"/>
    <w:rsid w:val="7EB20667"/>
    <w:rsid w:val="7EF94618"/>
    <w:rsid w:val="7F076A8B"/>
    <w:rsid w:val="7F211349"/>
    <w:rsid w:val="7F2B19DA"/>
    <w:rsid w:val="7F2C21C7"/>
    <w:rsid w:val="7F405C73"/>
    <w:rsid w:val="7F460DAF"/>
    <w:rsid w:val="7F4736ED"/>
    <w:rsid w:val="7F4946CE"/>
    <w:rsid w:val="7F5D6825"/>
    <w:rsid w:val="7F631B2A"/>
    <w:rsid w:val="7F65392B"/>
    <w:rsid w:val="7F743B6E"/>
    <w:rsid w:val="7F98785D"/>
    <w:rsid w:val="7FA501CC"/>
    <w:rsid w:val="7FBB354B"/>
    <w:rsid w:val="7FC9626B"/>
    <w:rsid w:val="7FD0349B"/>
    <w:rsid w:val="7FE505C8"/>
    <w:rsid w:val="7FEC7B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8">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Arial" w:hAnsi="Arial" w:eastAsia="Arial" w:cs="Arial"/>
      <w:sz w:val="21"/>
      <w:szCs w:val="21"/>
      <w:lang w:val="en-US" w:eastAsia="en-US" w:bidi="ar-SA"/>
    </w:r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autoRedefine/>
    <w:qFormat/>
    <w:uiPriority w:val="0"/>
    <w:rPr>
      <w:sz w:val="24"/>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autoRedefine/>
    <w:qFormat/>
    <w:uiPriority w:val="0"/>
    <w:rPr>
      <w:color w:val="0000FF"/>
      <w:u w:val="single"/>
    </w:rPr>
  </w:style>
  <w:style w:type="paragraph" w:customStyle="1" w:styleId="10">
    <w:name w:val="Table Text"/>
    <w:basedOn w:val="1"/>
    <w:autoRedefine/>
    <w:semiHidden/>
    <w:qFormat/>
    <w:uiPriority w:val="0"/>
    <w:rPr>
      <w:rFonts w:ascii="微软雅黑" w:hAnsi="微软雅黑" w:eastAsia="微软雅黑" w:cs="微软雅黑"/>
      <w:sz w:val="17"/>
      <w:szCs w:val="17"/>
      <w:lang w:val="en-US" w:eastAsia="en-US" w:bidi="ar-SA"/>
    </w:rPr>
  </w:style>
  <w:style w:type="table" w:customStyle="1" w:styleId="11">
    <w:name w:val="Table Normal"/>
    <w:autoRedefine/>
    <w:semiHidden/>
    <w:unhideWhenUsed/>
    <w:qFormat/>
    <w:uiPriority w:val="0"/>
    <w:tblPr>
      <w:tblCellMar>
        <w:top w:w="0" w:type="dxa"/>
        <w:left w:w="0" w:type="dxa"/>
        <w:bottom w:w="0" w:type="dxa"/>
        <w:right w:w="0" w:type="dxa"/>
      </w:tblCellMar>
    </w:tblPr>
  </w:style>
  <w:style w:type="paragraph" w:customStyle="1" w:styleId="12">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3507</Words>
  <Characters>4281</Characters>
  <Lines>0</Lines>
  <Paragraphs>0</Paragraphs>
  <TotalTime>0</TotalTime>
  <ScaleCrop>false</ScaleCrop>
  <LinksUpToDate>false</LinksUpToDate>
  <CharactersWithSpaces>4340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2024-03-19T23:57:00Z</dcterms:created>
  <dc:creator>WPS_1180513195</dc:creator>
  <cp:lastModifiedBy>WPS_1180513195</cp:lastModifiedBy>
  <dcterms:modified xsi:type="dcterms:W3CDTF">2024-04-09T00:57:21Z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D23AE21371AD4B2A936F48373C5D0EDD_13</vt:lpwstr>
  </property>
</Properties>
</file>