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56" w:lineRule="auto"/>
      </w:pPr>
      <w: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upright="0"/>
                    </wps:wsp>
                  </a:graphicData>
                </a:graphic>
              </wp:anchor>
            </w:drawing>
          </mc:Choice>
          <mc:Fallba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SUMJ2AAAAAsBAAAPAAAAAAAAAAEAIAAAACIAAABkcnMvZG93bnJldi54bWxQSwECFAAUAAAACACH&#10;TuJAiyX8T7IBAABgAwAADgAAAAAAAAABACAAAAAnAQAAZHJzL2Uyb0RvYy54bWxQSwUGAAAAAAYA&#10;BgBZAQAASwUAAAAA&#10;">
                <v:fill on="t" focussize="0,0"/>
                <v:stroke on="f"/>
                <v:imagedata o:title=""/>
                <o:lock v:ext="edit" aspectratio="f"/>
              </v:rect>
            </w:pict>
          </mc:Fallback>
        </mc:AlternateContent>
      </w: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spacing w:line="240" w:lineRule="auto"/>
        <w:ind w:firstLine="1421"/>
        <w:rPr>
          <w:rFonts w:hint="eastAsia"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pPr>
        <w:spacing w:line="240" w:lineRule="auto"/>
        <w:ind w:firstLine="1421"/>
        <w:rPr>
          <w:rFonts w:ascii="微软雅黑" w:hAnsi="微软雅黑" w:eastAsia="微软雅黑" w:cs="微软雅黑"/>
          <w:sz w:val="96"/>
          <w:szCs w:val="96"/>
        </w:rPr>
      </w:pPr>
      <w:r>
        <w:rPr>
          <w:rFonts w:hint="eastAsia" w:ascii="微软雅黑" w:hAnsi="微软雅黑" w:eastAsia="微软雅黑" w:cs="微软雅黑"/>
          <w:b/>
          <w:bCs/>
          <w:color w:val="FFFFFF"/>
          <w:spacing w:val="6"/>
          <w:sz w:val="96"/>
          <w:szCs w:val="96"/>
          <w:lang w:val="en-US" w:eastAsia="zh-CN"/>
        </w:rPr>
        <w:t>每日</w:t>
      </w:r>
      <w:r>
        <w:rPr>
          <w:rFonts w:ascii="微软雅黑" w:hAnsi="微软雅黑" w:eastAsia="微软雅黑" w:cs="微软雅黑"/>
          <w:b/>
          <w:bCs/>
          <w:color w:val="FFFFFF"/>
          <w:spacing w:val="6"/>
          <w:sz w:val="96"/>
          <w:szCs w:val="96"/>
        </w:rPr>
        <w:t>市场报告</w:t>
      </w: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206" w:line="204" w:lineRule="auto"/>
        <w:ind w:left="7323"/>
        <w:rPr>
          <w:sz w:val="48"/>
          <w:szCs w:val="48"/>
        </w:rPr>
      </w:pPr>
      <w:r>
        <w:rPr>
          <w:rFonts w:ascii="微软雅黑" w:hAnsi="微软雅黑" w:eastAsia="微软雅黑" w:cs="微软雅黑"/>
          <w:b/>
          <w:bCs/>
          <w:color w:val="005D97"/>
          <w:spacing w:val="-22"/>
          <w:sz w:val="48"/>
          <w:szCs w:val="48"/>
        </w:rPr>
        <w:t>2024年</w:t>
      </w:r>
      <w:r>
        <w:rPr>
          <w:rFonts w:hint="eastAsia" w:ascii="微软雅黑" w:hAnsi="微软雅黑" w:eastAsia="微软雅黑" w:cs="微软雅黑"/>
          <w:b/>
          <w:bCs/>
          <w:color w:val="005D97"/>
          <w:spacing w:val="-22"/>
          <w:sz w:val="48"/>
          <w:szCs w:val="48"/>
          <w:lang w:val="en-US" w:eastAsia="zh-CN"/>
        </w:rPr>
        <w:t>4</w:t>
      </w:r>
      <w:r>
        <w:rPr>
          <w:rFonts w:ascii="微软雅黑" w:hAnsi="微软雅黑" w:eastAsia="微软雅黑" w:cs="微软雅黑"/>
          <w:b/>
          <w:bCs/>
          <w:color w:val="005D97"/>
          <w:spacing w:val="-22"/>
          <w:sz w:val="48"/>
          <w:szCs w:val="48"/>
        </w:rPr>
        <w:t>月</w:t>
      </w:r>
      <w:r>
        <w:rPr>
          <w:rFonts w:hint="eastAsia" w:ascii="微软雅黑" w:hAnsi="微软雅黑" w:eastAsia="微软雅黑" w:cs="微软雅黑"/>
          <w:b/>
          <w:bCs/>
          <w:color w:val="005D97"/>
          <w:spacing w:val="-22"/>
          <w:sz w:val="48"/>
          <w:szCs w:val="48"/>
          <w:lang w:val="en-US" w:eastAsia="zh-CN"/>
        </w:rPr>
        <w:t>23</w:t>
      </w:r>
      <w:r>
        <w:rPr>
          <w:rFonts w:ascii="微软雅黑" w:hAnsi="微软雅黑" w:eastAsia="微软雅黑" w:cs="微软雅黑"/>
          <w:b/>
          <w:bCs/>
          <w:color w:val="005D97"/>
          <w:spacing w:val="-22"/>
          <w:sz w:val="48"/>
          <w:szCs w:val="48"/>
        </w:rPr>
        <w:t>日</w:t>
      </w:r>
      <w:r>
        <w:rPr>
          <w:rFonts w:ascii="微软雅黑" w:hAnsi="微软雅黑" w:eastAsia="微软雅黑" w:cs="微软雅黑"/>
          <w:b/>
          <w:bCs/>
          <w:color w:val="005D97"/>
          <w:spacing w:val="38"/>
          <w:sz w:val="48"/>
          <w:szCs w:val="48"/>
        </w:rPr>
        <w:t xml:space="preserve"> </w:t>
      </w:r>
      <w:r>
        <w:rPr>
          <w:position w:val="-3"/>
          <w:sz w:val="48"/>
          <w:szCs w:val="48"/>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pPr>
        <w:spacing w:line="204" w:lineRule="auto"/>
        <w:rPr>
          <w:sz w:val="48"/>
          <w:szCs w:val="48"/>
        </w:rPr>
        <w:sectPr>
          <w:headerReference r:id="rId5" w:type="default"/>
          <w:pgSz w:w="11906" w:h="16838"/>
          <w:pgMar w:top="400" w:right="0" w:bottom="0" w:left="0" w:header="0" w:footer="340" w:gutter="0"/>
          <w:pgBorders>
            <w:top w:val="none" w:sz="0" w:space="0"/>
            <w:left w:val="none" w:sz="0" w:space="0"/>
            <w:bottom w:val="none" w:sz="0" w:space="0"/>
            <w:right w:val="none" w:sz="0" w:space="0"/>
          </w:pgBorders>
          <w:pgNumType w:fmt="decimal"/>
          <w:cols w:space="720" w:num="1"/>
        </w:sectPr>
      </w:pPr>
    </w:p>
    <w:p>
      <w:pPr>
        <w:pBdr>
          <w:top w:val="none" w:color="auto" w:sz="0" w:space="1"/>
          <w:left w:val="none" w:color="auto" w:sz="0" w:space="4"/>
          <w:bottom w:val="none" w:color="auto" w:sz="0" w:space="1"/>
          <w:right w:val="none" w:color="auto" w:sz="0" w:space="4"/>
          <w:between w:val="none" w:color="auto" w:sz="0" w:space="0"/>
        </w:pBdr>
        <w:kinsoku w:val="0"/>
        <w:autoSpaceDE w:val="0"/>
        <w:autoSpaceDN w:val="0"/>
        <w:adjustRightInd w:val="0"/>
        <w:snapToGrid w:val="0"/>
        <w:spacing w:line="240" w:lineRule="auto"/>
        <w:ind w:right="420" w:rightChars="200" w:firstLine="0" w:firstLineChars="0"/>
        <w:jc w:val="left"/>
        <w:textAlignment w:val="baseline"/>
        <w:rPr>
          <w:rFonts w:hint="eastAsia" w:eastAsia="宋体"/>
          <w:lang w:eastAsia="zh-CN"/>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市场综述</w:t>
      </w:r>
    </w:p>
    <w:p>
      <w:pPr>
        <w:keepNext w:val="0"/>
        <w:keepLines w:val="0"/>
        <w:pageBreakBefore w:val="0"/>
        <w:widowControl/>
        <w:kinsoku w:val="0"/>
        <w:wordWrap/>
        <w:overflowPunct/>
        <w:topLinePunct w:val="0"/>
        <w:autoSpaceDE w:val="0"/>
        <w:autoSpaceDN w:val="0"/>
        <w:bidi w:val="0"/>
        <w:adjustRightInd w:val="0"/>
        <w:snapToGrid w:val="0"/>
        <w:spacing w:before="103" w:line="257" w:lineRule="auto"/>
        <w:ind w:right="584"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val="en-US" w:eastAsia="zh-CN"/>
        </w:rPr>
        <w:t>隔夜</w:t>
      </w:r>
      <w:r>
        <w:rPr>
          <w:rFonts w:hint="eastAsia" w:ascii="微软雅黑" w:hAnsi="微软雅黑" w:eastAsia="微软雅黑" w:cs="微软雅黑"/>
          <w:spacing w:val="4"/>
          <w:sz w:val="24"/>
          <w:szCs w:val="24"/>
          <w:lang w:eastAsia="zh-CN"/>
        </w:rPr>
        <w:t>美</w:t>
      </w:r>
      <w:r>
        <w:rPr>
          <w:rFonts w:hint="eastAsia" w:ascii="微软雅黑" w:hAnsi="微软雅黑" w:eastAsia="微软雅黑" w:cs="微软雅黑"/>
          <w:spacing w:val="4"/>
          <w:sz w:val="24"/>
          <w:szCs w:val="24"/>
          <w:lang w:val="en-US" w:eastAsia="zh-CN"/>
        </w:rPr>
        <w:t>股</w:t>
      </w:r>
      <w:r>
        <w:rPr>
          <w:rFonts w:hint="eastAsia" w:ascii="微软雅黑" w:hAnsi="微软雅黑" w:eastAsia="微软雅黑" w:cs="微软雅黑"/>
          <w:spacing w:val="4"/>
          <w:sz w:val="24"/>
          <w:szCs w:val="24"/>
          <w:lang w:eastAsia="zh-CN"/>
        </w:rPr>
        <w:t>三大股指全线收涨，道指涨0.67%，标普500指数涨0.87%，纳指涨1.11%，</w:t>
      </w:r>
      <w:r>
        <w:rPr>
          <w:rFonts w:hint="eastAsia" w:ascii="微软雅黑" w:hAnsi="微软雅黑" w:eastAsia="微软雅黑" w:cs="微软雅黑"/>
          <w:spacing w:val="12"/>
          <w:sz w:val="24"/>
          <w:szCs w:val="24"/>
          <w:lang w:val="en-US" w:eastAsia="zh-CN"/>
        </w:rPr>
        <w:t>科技股领涨，纳指与标普500指数结束六连跌。</w:t>
      </w:r>
      <w:r>
        <w:rPr>
          <w:rFonts w:hint="eastAsia" w:ascii="微软雅黑" w:hAnsi="微软雅黑" w:eastAsia="微软雅黑" w:cs="微软雅黑"/>
          <w:spacing w:val="4"/>
          <w:sz w:val="24"/>
          <w:szCs w:val="24"/>
          <w:lang w:eastAsia="zh-CN"/>
        </w:rPr>
        <w:t>美元指数涨0.21%报106.17。美元指数涨0.02%报106.13，非美货币多数下跌，离岸人民币对美元跌3个基点报7.2512。国际油价小幅下跌，美油6月合约跌0.1%，报82.14美元/桶。布油6月合约跌0.13%，报87.18美元/桶。国际贵金属期货大幅收跌，COMEX黄金期货跌3.01%报2341.1美元/盎司，COMEX白银期货跌5.58%报27.235美元/盎司。LME期铜跌0.22%报9853美元/吨。ICE</w:t>
      </w:r>
      <w:r>
        <w:rPr>
          <w:rFonts w:hint="eastAsia" w:ascii="微软雅黑" w:hAnsi="微软雅黑" w:eastAsia="微软雅黑" w:cs="微软雅黑"/>
          <w:spacing w:val="4"/>
          <w:sz w:val="24"/>
          <w:szCs w:val="24"/>
          <w:lang w:val="en-US" w:eastAsia="zh-CN"/>
        </w:rPr>
        <w:t xml:space="preserve"> 7</w:t>
      </w:r>
      <w:r>
        <w:rPr>
          <w:rFonts w:hint="eastAsia" w:ascii="微软雅黑" w:hAnsi="微软雅黑" w:eastAsia="微软雅黑" w:cs="微软雅黑"/>
          <w:spacing w:val="4"/>
          <w:sz w:val="24"/>
          <w:szCs w:val="24"/>
          <w:lang w:eastAsia="zh-CN"/>
        </w:rPr>
        <w:t>月原糖</w:t>
      </w:r>
      <w:r>
        <w:rPr>
          <w:rFonts w:hint="eastAsia" w:ascii="微软雅黑" w:hAnsi="微软雅黑" w:eastAsia="微软雅黑" w:cs="微软雅黑"/>
          <w:spacing w:val="4"/>
          <w:sz w:val="24"/>
          <w:szCs w:val="24"/>
          <w:lang w:val="en-US" w:eastAsia="zh-CN"/>
        </w:rPr>
        <w:t>期货合约</w:t>
      </w:r>
      <w:r>
        <w:rPr>
          <w:rFonts w:hint="eastAsia" w:ascii="微软雅黑" w:hAnsi="微软雅黑" w:eastAsia="微软雅黑" w:cs="微软雅黑"/>
          <w:spacing w:val="4"/>
          <w:sz w:val="24"/>
          <w:szCs w:val="24"/>
          <w:lang w:eastAsia="zh-CN"/>
        </w:rPr>
        <w:t>收</w:t>
      </w:r>
      <w:r>
        <w:rPr>
          <w:rFonts w:hint="eastAsia" w:ascii="微软雅黑" w:hAnsi="微软雅黑" w:eastAsia="微软雅黑" w:cs="微软雅黑"/>
          <w:spacing w:val="4"/>
          <w:sz w:val="24"/>
          <w:szCs w:val="24"/>
          <w:lang w:val="en-US" w:eastAsia="zh-CN"/>
        </w:rPr>
        <w:t>涨0.4%</w:t>
      </w:r>
      <w:r>
        <w:rPr>
          <w:rFonts w:hint="eastAsia" w:ascii="微软雅黑" w:hAnsi="微软雅黑" w:eastAsia="微软雅黑" w:cs="微软雅黑"/>
          <w:spacing w:val="4"/>
          <w:sz w:val="24"/>
          <w:szCs w:val="24"/>
          <w:lang w:eastAsia="zh-CN"/>
        </w:rPr>
        <w:t>，结算价报</w:t>
      </w:r>
      <w:r>
        <w:rPr>
          <w:rFonts w:hint="eastAsia" w:ascii="微软雅黑" w:hAnsi="微软雅黑" w:eastAsia="微软雅黑" w:cs="微软雅黑"/>
          <w:spacing w:val="4"/>
          <w:sz w:val="24"/>
          <w:szCs w:val="24"/>
          <w:lang w:val="en-US" w:eastAsia="zh-CN"/>
        </w:rPr>
        <w:t>19.80</w:t>
      </w:r>
      <w:r>
        <w:rPr>
          <w:rFonts w:hint="eastAsia" w:ascii="微软雅黑" w:hAnsi="微软雅黑" w:eastAsia="微软雅黑" w:cs="微软雅黑"/>
          <w:spacing w:val="4"/>
          <w:sz w:val="24"/>
          <w:szCs w:val="24"/>
          <w:lang w:eastAsia="zh-CN"/>
        </w:rPr>
        <w:t xml:space="preserve">美分/磅。ICE </w:t>
      </w:r>
      <w:r>
        <w:rPr>
          <w:rFonts w:hint="eastAsia" w:ascii="微软雅黑" w:hAnsi="微软雅黑" w:eastAsia="微软雅黑" w:cs="微软雅黑"/>
          <w:spacing w:val="4"/>
          <w:sz w:val="24"/>
          <w:szCs w:val="24"/>
          <w:lang w:val="en-US" w:eastAsia="zh-CN"/>
        </w:rPr>
        <w:t>7</w:t>
      </w:r>
      <w:r>
        <w:rPr>
          <w:rFonts w:hint="eastAsia" w:ascii="微软雅黑" w:hAnsi="微软雅黑" w:eastAsia="微软雅黑" w:cs="微软雅黑"/>
          <w:spacing w:val="4"/>
          <w:sz w:val="24"/>
          <w:szCs w:val="24"/>
          <w:lang w:eastAsia="zh-CN"/>
        </w:rPr>
        <w:t>月期棉</w:t>
      </w:r>
      <w:r>
        <w:rPr>
          <w:rFonts w:hint="eastAsia" w:ascii="微软雅黑" w:hAnsi="微软雅黑" w:eastAsia="微软雅黑" w:cs="微软雅黑"/>
          <w:spacing w:val="4"/>
          <w:sz w:val="24"/>
          <w:szCs w:val="24"/>
          <w:lang w:val="en-US" w:eastAsia="zh-CN"/>
        </w:rPr>
        <w:t>期货合约</w:t>
      </w:r>
      <w:r>
        <w:rPr>
          <w:rFonts w:hint="eastAsia" w:ascii="微软雅黑" w:hAnsi="微软雅黑" w:eastAsia="微软雅黑" w:cs="微软雅黑"/>
          <w:spacing w:val="12"/>
          <w:sz w:val="24"/>
          <w:szCs w:val="24"/>
        </w:rPr>
        <w:t>收</w:t>
      </w:r>
      <w:r>
        <w:rPr>
          <w:rFonts w:hint="eastAsia" w:ascii="微软雅黑" w:hAnsi="微软雅黑" w:eastAsia="微软雅黑" w:cs="微软雅黑"/>
          <w:spacing w:val="12"/>
          <w:sz w:val="24"/>
          <w:szCs w:val="24"/>
          <w:lang w:val="en-US" w:eastAsia="zh-CN"/>
        </w:rPr>
        <w:t>涨1.7</w:t>
      </w:r>
      <w:r>
        <w:rPr>
          <w:rFonts w:hint="eastAsia" w:ascii="微软雅黑" w:hAnsi="微软雅黑" w:eastAsia="微软雅黑" w:cs="微软雅黑"/>
          <w:spacing w:val="12"/>
          <w:sz w:val="24"/>
          <w:szCs w:val="24"/>
        </w:rPr>
        <w:t>%</w:t>
      </w:r>
      <w:r>
        <w:rPr>
          <w:rFonts w:hint="eastAsia" w:ascii="微软雅黑" w:hAnsi="微软雅黑" w:eastAsia="微软雅黑" w:cs="微软雅黑"/>
          <w:spacing w:val="4"/>
          <w:sz w:val="24"/>
          <w:szCs w:val="24"/>
          <w:lang w:eastAsia="zh-CN"/>
        </w:rPr>
        <w:t>，结算价报</w:t>
      </w:r>
      <w:r>
        <w:rPr>
          <w:rFonts w:hint="eastAsia" w:ascii="微软雅黑" w:hAnsi="微软雅黑" w:eastAsia="微软雅黑" w:cs="微软雅黑"/>
          <w:spacing w:val="4"/>
          <w:sz w:val="24"/>
          <w:szCs w:val="24"/>
          <w:lang w:val="en-US" w:eastAsia="zh-CN"/>
        </w:rPr>
        <w:t>82.42美</w:t>
      </w:r>
      <w:r>
        <w:rPr>
          <w:rFonts w:hint="eastAsia" w:ascii="微软雅黑" w:hAnsi="微软雅黑" w:eastAsia="微软雅黑" w:cs="微软雅黑"/>
          <w:spacing w:val="4"/>
          <w:sz w:val="24"/>
          <w:szCs w:val="24"/>
          <w:lang w:eastAsia="zh-CN"/>
        </w:rPr>
        <w:t>分/磅。</w:t>
      </w:r>
    </w:p>
    <w:p>
      <w:pPr>
        <w:spacing w:before="235" w:line="176" w:lineRule="auto"/>
        <w:jc w:val="both"/>
        <w:rPr>
          <w:rFonts w:hint="default" w:ascii="微软雅黑" w:hAnsi="微软雅黑" w:eastAsia="微软雅黑" w:cs="微软雅黑"/>
          <w:spacing w:val="7"/>
          <w:sz w:val="21"/>
          <w:szCs w:val="21"/>
          <w:lang w:val="en-US" w:eastAsia="zh-CN"/>
        </w:rPr>
      </w:pPr>
      <w:r>
        <w:rPr>
          <w:rFonts w:ascii="微软雅黑" w:hAnsi="微软雅黑" w:eastAsia="微软雅黑" w:cs="微软雅黑"/>
          <w:spacing w:val="7"/>
          <w:sz w:val="21"/>
          <w:szCs w:val="21"/>
        </w:rPr>
        <w:t>图表1</w:t>
      </w:r>
      <w:r>
        <w:rPr>
          <w:rFonts w:hint="eastAsia" w:ascii="微软雅黑" w:hAnsi="微软雅黑" w:eastAsia="微软雅黑" w:cs="微软雅黑"/>
          <w:spacing w:val="7"/>
          <w:sz w:val="21"/>
          <w:szCs w:val="21"/>
          <w:lang w:eastAsia="zh-CN"/>
        </w:rPr>
        <w:t>：</w:t>
      </w:r>
      <w:r>
        <w:rPr>
          <w:rFonts w:ascii="微软雅黑" w:hAnsi="微软雅黑" w:eastAsia="微软雅黑" w:cs="微软雅黑"/>
          <w:spacing w:val="7"/>
          <w:sz w:val="21"/>
          <w:szCs w:val="21"/>
        </w:rPr>
        <w:t>全球</w:t>
      </w:r>
      <w:r>
        <w:rPr>
          <w:rFonts w:hint="eastAsia" w:ascii="微软雅黑" w:hAnsi="微软雅黑" w:eastAsia="微软雅黑" w:cs="微软雅黑"/>
          <w:spacing w:val="7"/>
          <w:sz w:val="21"/>
          <w:szCs w:val="21"/>
          <w:lang w:val="en-US" w:eastAsia="zh-CN"/>
        </w:rPr>
        <w:t>主要股指</w:t>
      </w:r>
      <w:r>
        <w:rPr>
          <w:rFonts w:ascii="微软雅黑" w:hAnsi="微软雅黑" w:eastAsia="微软雅黑" w:cs="微软雅黑"/>
          <w:spacing w:val="7"/>
          <w:sz w:val="21"/>
          <w:szCs w:val="21"/>
        </w:rPr>
        <w:t>涨跌幅</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t>
      </w:r>
    </w:p>
    <w:p>
      <w:pPr>
        <w:spacing w:before="235" w:line="176" w:lineRule="auto"/>
        <w:jc w:val="both"/>
        <w:rPr>
          <w:rFonts w:hint="eastAsia"/>
          <w:lang w:eastAsia="zh-CN"/>
        </w:rPr>
      </w:pPr>
      <w:r>
        <w:drawing>
          <wp:inline distT="0" distB="0" distL="114300" distR="114300">
            <wp:extent cx="6252845" cy="3704590"/>
            <wp:effectExtent l="0" t="0" r="14605" b="1016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2"/>
                    <a:stretch>
                      <a:fillRect/>
                    </a:stretch>
                  </pic:blipFill>
                  <pic:spPr>
                    <a:xfrm>
                      <a:off x="0" y="0"/>
                      <a:ext cx="6252845" cy="3704590"/>
                    </a:xfrm>
                    <a:prstGeom prst="rect">
                      <a:avLst/>
                    </a:prstGeom>
                    <a:noFill/>
                    <a:ln>
                      <a:noFill/>
                    </a:ln>
                  </pic:spPr>
                </pic:pic>
              </a:graphicData>
            </a:graphic>
          </wp:inline>
        </w:drawing>
      </w:r>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公开资料整理、瑞达国际</w:t>
      </w:r>
      <w:bookmarkStart w:id="2" w:name="_GoBack"/>
      <w:bookmarkEnd w:id="2"/>
    </w:p>
    <w:p>
      <w:pPr>
        <w:pStyle w:val="2"/>
        <w:spacing w:line="282" w:lineRule="auto"/>
      </w:pPr>
    </w:p>
    <w:p>
      <w:pPr>
        <w:pStyle w:val="2"/>
        <w:spacing w:line="282" w:lineRule="auto"/>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消息回顾</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【美国总统拜登发表致辞，宣布将斥资70亿美元投资屋顶太阳能。】</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【贝莱德首席投资官Rick Rieder表示，预计美国通胀数据将有所改善，已经“降低了利率敞口”。美联储今年仍可进行两次降息。】</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【3月芝加哥联储全国活动指数为0.15，预期0.09，前值0.05。】</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【欧洲央行管委森特诺表示，今年欧洲央行降息幅度可能超过100个基点，2%的利率目标是一个很好的基准，即使降息100个基点，仍将处于限制性区域。】</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瑞士央行正在提高国内银行最低准备金要求，并修订《国家银行条例》，自7月1日起生效。今后在计算最低准备金要求时，将与其他相关负债一样，全额计入可取消客户存款所产生的负债。瑞士央行还将最低准备金率从2.5%提高到4%。】</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val="en-US" w:eastAsia="zh-CN"/>
        </w:rPr>
      </w:pPr>
      <w:r>
        <w:rPr>
          <w:rFonts w:hint="eastAsia" w:ascii="微软雅黑" w:hAnsi="微软雅黑" w:eastAsia="微软雅黑" w:cs="微软雅黑"/>
          <w:spacing w:val="4"/>
          <w:sz w:val="24"/>
          <w:szCs w:val="24"/>
          <w:lang w:eastAsia="zh-CN"/>
        </w:rPr>
        <w:t>【日本财务省公布调查结果显示，2024年63.1%的全国中型及中小企业提高基本工资，同比提升8.8个百分点。从涨薪幅度来看，基本工资和定期加薪合计增长5%以上的大企业占53.8%。】</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【日本4月制造业PMI初值49.9，3月终值48.2；服务业PMI 54.6，3月终值54.1；综合PMI 52.6，3月终值51.7。】</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【马来西亚国家主权财富基金国库控股将投入10亿马币初始资金，用于投资创新高增长的马来西亚公司。】</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【瑞银将A股和港股评级上调至“超配”，将韩国股票评级下调至中性。】</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jc w:val="both"/>
        <w:textAlignment w:val="baseline"/>
        <w:rPr>
          <w:rFonts w:hint="eastAsia" w:ascii="微软雅黑" w:hAnsi="微软雅黑" w:eastAsia="微软雅黑" w:cs="微软雅黑"/>
          <w:spacing w:val="4"/>
          <w:sz w:val="24"/>
          <w:szCs w:val="24"/>
          <w:lang w:eastAsia="zh-CN"/>
        </w:rPr>
      </w:pPr>
    </w:p>
    <w:p>
      <w:pPr>
        <w:spacing w:before="120" w:line="190" w:lineRule="auto"/>
        <w:ind w:left="6"/>
        <w:rPr>
          <w:rFonts w:hint="default" w:ascii="微软雅黑" w:hAnsi="微软雅黑" w:eastAsia="微软雅黑" w:cs="微软雅黑"/>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9"/>
          <w:sz w:val="28"/>
          <w:szCs w:val="28"/>
          <w:lang w:val="en-US" w:eastAsia="zh-CN"/>
        </w:rPr>
        <w:t>今日关注</w:t>
      </w:r>
    </w:p>
    <w:p>
      <w:pPr>
        <w:spacing w:before="84"/>
      </w:pPr>
    </w:p>
    <w:tbl>
      <w:tblPr>
        <w:tblStyle w:val="12"/>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7"/>
        <w:gridCol w:w="1143"/>
        <w:gridCol w:w="667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2710" w:type="dxa"/>
            <w:gridSpan w:val="2"/>
            <w:shd w:val="clear" w:color="auto" w:fill="3D85C1"/>
            <w:vAlign w:val="top"/>
          </w:tcPr>
          <w:p>
            <w:pPr>
              <w:pStyle w:val="11"/>
              <w:spacing w:before="221" w:line="182" w:lineRule="auto"/>
              <w:ind w:left="1142"/>
              <w:rPr>
                <w:sz w:val="19"/>
                <w:szCs w:val="19"/>
              </w:rPr>
            </w:pPr>
            <w:r>
              <w:rPr>
                <w:b/>
                <w:bCs/>
                <w:color w:val="FFFFFF"/>
                <w:spacing w:val="4"/>
                <w:sz w:val="19"/>
                <w:szCs w:val="19"/>
              </w:rPr>
              <w:t>时间</w:t>
            </w:r>
          </w:p>
        </w:tc>
        <w:tc>
          <w:tcPr>
            <w:tcW w:w="6679" w:type="dxa"/>
            <w:shd w:val="clear" w:color="auto" w:fill="3D85C1"/>
            <w:vAlign w:val="top"/>
          </w:tcPr>
          <w:p>
            <w:pPr>
              <w:pStyle w:val="11"/>
              <w:spacing w:before="221" w:line="195" w:lineRule="auto"/>
              <w:ind w:left="2866"/>
              <w:rPr>
                <w:sz w:val="19"/>
                <w:szCs w:val="19"/>
              </w:rPr>
            </w:pPr>
            <w:r>
              <w:rPr>
                <w:b/>
                <w:bCs/>
                <w:color w:val="FFFFFF"/>
                <w:spacing w:val="16"/>
                <w:sz w:val="19"/>
                <w:szCs w:val="19"/>
              </w:rPr>
              <w:t>数据/事件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1"/>
              <w:spacing w:before="228"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23</w:t>
            </w:r>
          </w:p>
        </w:tc>
        <w:tc>
          <w:tcPr>
            <w:tcW w:w="1143" w:type="dxa"/>
            <w:vAlign w:val="top"/>
          </w:tcPr>
          <w:p>
            <w:pPr>
              <w:pStyle w:val="11"/>
              <w:spacing w:before="243" w:line="172" w:lineRule="auto"/>
              <w:ind w:left="94" w:leftChars="0"/>
              <w:jc w:val="left"/>
              <w:rPr>
                <w:rFonts w:hint="default"/>
                <w:sz w:val="19"/>
                <w:szCs w:val="19"/>
                <w:lang w:val="en-US"/>
              </w:rPr>
            </w:pPr>
            <w:r>
              <w:rPr>
                <w:rFonts w:hint="eastAsia"/>
                <w:b/>
                <w:bCs/>
                <w:spacing w:val="6"/>
                <w:sz w:val="19"/>
                <w:szCs w:val="19"/>
                <w:lang w:val="en-US" w:eastAsia="zh-CN"/>
              </w:rPr>
              <w:t>08：30</w:t>
            </w:r>
          </w:p>
        </w:tc>
        <w:tc>
          <w:tcPr>
            <w:tcW w:w="6679" w:type="dxa"/>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日本4月</w:t>
            </w:r>
            <w:r>
              <w:rPr>
                <w:rFonts w:hint="eastAsia"/>
                <w:sz w:val="19"/>
                <w:szCs w:val="19"/>
                <w:lang w:val="en-US" w:eastAsia="zh-CN"/>
              </w:rPr>
              <w:t>PMI</w:t>
            </w:r>
            <w:r>
              <w:rPr>
                <w:rFonts w:hint="default" w:eastAsia="微软雅黑"/>
                <w:sz w:val="19"/>
                <w:szCs w:val="19"/>
                <w:lang w:val="en-US" w:eastAsia="zh-CN"/>
              </w:rPr>
              <w:t>初值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1"/>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23</w:t>
            </w:r>
          </w:p>
        </w:tc>
        <w:tc>
          <w:tcPr>
            <w:tcW w:w="1143" w:type="dxa"/>
            <w:shd w:val="clear" w:color="auto" w:fill="D3EAFF"/>
            <w:vAlign w:val="top"/>
          </w:tcPr>
          <w:p>
            <w:pPr>
              <w:pStyle w:val="11"/>
              <w:spacing w:before="245" w:line="172" w:lineRule="auto"/>
              <w:ind w:left="101" w:leftChars="0"/>
              <w:jc w:val="left"/>
              <w:rPr>
                <w:rFonts w:hint="default" w:ascii="微软雅黑" w:hAnsi="微软雅黑" w:eastAsia="微软雅黑" w:cs="微软雅黑"/>
                <w:snapToGrid w:val="0"/>
                <w:color w:val="000000"/>
                <w:kern w:val="0"/>
                <w:sz w:val="19"/>
                <w:szCs w:val="19"/>
                <w:lang w:val="en-US" w:eastAsia="en-US" w:bidi="ar-SA"/>
              </w:rPr>
            </w:pPr>
            <w:r>
              <w:rPr>
                <w:rFonts w:hint="eastAsia"/>
                <w:b/>
                <w:bCs/>
                <w:spacing w:val="5"/>
                <w:sz w:val="19"/>
                <w:szCs w:val="19"/>
                <w:lang w:val="en-US" w:eastAsia="zh-CN"/>
              </w:rPr>
              <w:t>13：00</w:t>
            </w:r>
          </w:p>
        </w:tc>
        <w:tc>
          <w:tcPr>
            <w:tcW w:w="6679" w:type="dxa"/>
            <w:shd w:val="clear" w:color="auto" w:fill="D3EAFF"/>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印度4月标普全球印度制造业PMI初值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11"/>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23</w:t>
            </w:r>
          </w:p>
        </w:tc>
        <w:tc>
          <w:tcPr>
            <w:tcW w:w="1143" w:type="dxa"/>
            <w:vAlign w:val="top"/>
          </w:tcPr>
          <w:p>
            <w:pPr>
              <w:pStyle w:val="11"/>
              <w:spacing w:before="245" w:line="172" w:lineRule="auto"/>
              <w:ind w:left="101" w:leftChars="0"/>
              <w:jc w:val="left"/>
              <w:rPr>
                <w:rFonts w:hint="default"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15：15</w:t>
            </w:r>
          </w:p>
        </w:tc>
        <w:tc>
          <w:tcPr>
            <w:tcW w:w="6679" w:type="dxa"/>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法国4月PMI初值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1"/>
              <w:spacing w:before="230"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23</w:t>
            </w:r>
          </w:p>
        </w:tc>
        <w:tc>
          <w:tcPr>
            <w:tcW w:w="1143" w:type="dxa"/>
            <w:shd w:val="clear" w:color="auto" w:fill="D3EAFF"/>
            <w:vAlign w:val="top"/>
          </w:tcPr>
          <w:p>
            <w:pPr>
              <w:pStyle w:val="11"/>
              <w:spacing w:before="245" w:line="172" w:lineRule="auto"/>
              <w:ind w:left="101" w:leftChars="0"/>
              <w:jc w:val="left"/>
              <w:rPr>
                <w:rFonts w:hint="default" w:eastAsia="微软雅黑"/>
                <w:sz w:val="19"/>
                <w:szCs w:val="19"/>
                <w:lang w:val="en-US" w:eastAsia="zh-CN"/>
              </w:rPr>
            </w:pPr>
            <w:r>
              <w:rPr>
                <w:rFonts w:hint="eastAsia"/>
                <w:b/>
                <w:bCs/>
                <w:spacing w:val="5"/>
                <w:sz w:val="19"/>
                <w:szCs w:val="19"/>
                <w:lang w:val="en-US" w:eastAsia="zh-CN"/>
              </w:rPr>
              <w:t>15：30</w:t>
            </w:r>
          </w:p>
        </w:tc>
        <w:tc>
          <w:tcPr>
            <w:tcW w:w="6679" w:type="dxa"/>
            <w:shd w:val="clear" w:color="auto" w:fill="D3EAFF"/>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德国4月PMI初值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FFFFFF" w:themeFill="background1"/>
            <w:vAlign w:val="top"/>
          </w:tcPr>
          <w:p>
            <w:pPr>
              <w:pStyle w:val="11"/>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23</w:t>
            </w:r>
          </w:p>
        </w:tc>
        <w:tc>
          <w:tcPr>
            <w:tcW w:w="1143" w:type="dxa"/>
            <w:shd w:val="clear" w:color="auto" w:fill="FFFFFF" w:themeFill="background1"/>
            <w:vAlign w:val="top"/>
          </w:tcPr>
          <w:p>
            <w:pPr>
              <w:pStyle w:val="11"/>
              <w:spacing w:before="245" w:line="172" w:lineRule="auto"/>
              <w:ind w:left="101" w:leftChars="0"/>
              <w:jc w:val="left"/>
              <w:rPr>
                <w:rFonts w:hint="eastAsia"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16：00</w:t>
            </w:r>
          </w:p>
        </w:tc>
        <w:tc>
          <w:tcPr>
            <w:tcW w:w="6679" w:type="dxa"/>
            <w:shd w:val="clear" w:color="auto" w:fill="FFFFFF" w:themeFill="background1"/>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欧元区4月综合PMI初值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1"/>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23</w:t>
            </w:r>
          </w:p>
        </w:tc>
        <w:tc>
          <w:tcPr>
            <w:tcW w:w="1143" w:type="dxa"/>
            <w:shd w:val="clear" w:color="auto" w:fill="D3EAFF"/>
            <w:vAlign w:val="top"/>
          </w:tcPr>
          <w:p>
            <w:pPr>
              <w:pStyle w:val="11"/>
              <w:spacing w:before="245" w:line="172" w:lineRule="auto"/>
              <w:ind w:left="101" w:leftChars="0"/>
              <w:jc w:val="left"/>
              <w:rPr>
                <w:rFonts w:hint="eastAsia"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16：30</w:t>
            </w:r>
          </w:p>
        </w:tc>
        <w:tc>
          <w:tcPr>
            <w:tcW w:w="6679" w:type="dxa"/>
            <w:shd w:val="clear" w:color="auto" w:fill="D3EAFF"/>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英国4月综合PMI初值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FFFFFF" w:themeFill="background1"/>
            <w:vAlign w:val="top"/>
          </w:tcPr>
          <w:p>
            <w:pPr>
              <w:pStyle w:val="11"/>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23</w:t>
            </w:r>
          </w:p>
        </w:tc>
        <w:tc>
          <w:tcPr>
            <w:tcW w:w="1143" w:type="dxa"/>
            <w:shd w:val="clear" w:color="auto" w:fill="FFFFFF" w:themeFill="background1"/>
            <w:vAlign w:val="top"/>
          </w:tcPr>
          <w:p>
            <w:pPr>
              <w:pStyle w:val="11"/>
              <w:spacing w:before="245" w:line="172" w:lineRule="auto"/>
              <w:ind w:left="101" w:leftChars="0"/>
              <w:jc w:val="left"/>
              <w:rPr>
                <w:rFonts w:hint="default"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21：45</w:t>
            </w:r>
          </w:p>
        </w:tc>
        <w:tc>
          <w:tcPr>
            <w:tcW w:w="6679" w:type="dxa"/>
            <w:shd w:val="clear" w:color="auto" w:fill="FFFFFF" w:themeFill="background1"/>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美国4月Markit综合PMI初值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1"/>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23</w:t>
            </w:r>
          </w:p>
        </w:tc>
        <w:tc>
          <w:tcPr>
            <w:tcW w:w="1143" w:type="dxa"/>
            <w:shd w:val="clear" w:color="auto" w:fill="D3EAFF"/>
            <w:vAlign w:val="top"/>
          </w:tcPr>
          <w:p>
            <w:pPr>
              <w:pStyle w:val="11"/>
              <w:spacing w:before="245" w:line="172" w:lineRule="auto"/>
              <w:ind w:left="101" w:leftChars="0"/>
              <w:jc w:val="left"/>
              <w:rPr>
                <w:rFonts w:hint="default"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22：00</w:t>
            </w:r>
          </w:p>
        </w:tc>
        <w:tc>
          <w:tcPr>
            <w:tcW w:w="6679" w:type="dxa"/>
            <w:shd w:val="clear" w:color="auto" w:fill="D3EAFF"/>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美国4月里士满联储制造业指数</w:t>
            </w:r>
            <w:r>
              <w:rPr>
                <w:rFonts w:hint="eastAsia"/>
                <w:sz w:val="19"/>
                <w:szCs w:val="19"/>
                <w:lang w:val="en-US" w:eastAsia="zh-CN"/>
              </w:rPr>
              <w:t>、3月新屋销售</w:t>
            </w:r>
          </w:p>
        </w:tc>
      </w:tr>
    </w:tbl>
    <w:p>
      <w:pPr>
        <w:spacing w:before="120" w:line="190" w:lineRule="auto"/>
        <w:rPr>
          <w:rFonts w:ascii="微软雅黑" w:hAnsi="微软雅黑" w:eastAsia="微软雅黑" w:cs="微软雅黑"/>
          <w:color w:val="036EB8"/>
          <w:position w:val="-4"/>
          <w:sz w:val="28"/>
          <w:szCs w:val="28"/>
        </w:rPr>
      </w:pPr>
    </w:p>
    <w:p>
      <w:pPr>
        <w:spacing w:before="120" w:line="190" w:lineRule="auto"/>
        <w:rPr>
          <w:rFonts w:ascii="微软雅黑" w:hAnsi="微软雅黑" w:eastAsia="微软雅黑" w:cs="微软雅黑"/>
          <w:color w:val="036EB8"/>
          <w:position w:val="-4"/>
          <w:sz w:val="28"/>
          <w:szCs w:val="28"/>
        </w:rPr>
      </w:pPr>
    </w:p>
    <w:p>
      <w:pPr>
        <w:spacing w:before="120" w:line="190" w:lineRule="auto"/>
        <w:rPr>
          <w:rFonts w:ascii="微软雅黑" w:hAnsi="微软雅黑" w:eastAsia="微软雅黑" w:cs="微软雅黑"/>
          <w:color w:val="036EB8"/>
          <w:position w:val="-4"/>
          <w:sz w:val="28"/>
          <w:szCs w:val="28"/>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8" name="IM 14"/>
            <wp:cNvGraphicFramePr/>
            <a:graphic xmlns:a="http://schemas.openxmlformats.org/drawingml/2006/main">
              <a:graphicData uri="http://schemas.openxmlformats.org/drawingml/2006/picture">
                <pic:pic xmlns:pic="http://schemas.openxmlformats.org/drawingml/2006/picture">
                  <pic:nvPicPr>
                    <pic:cNvPr id="8"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观点汇总</w:t>
      </w: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美元指数</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截至周二美元指数涨0.02%报106.13，非美货币多数下跌，欧元兑美元跌0.02%报1.0654，英镑兑美元跌0.16%报1.2350，澳元兑美元涨0.46%报0.6449，美元兑日元涨0.13%报154.84。近期市场聚焦等待本周即将公布的美国一季度GDP数据，利率预期计价修正或相对充分，整体国债收益率暂缓冲高。非美国家方面，欧洲央行管委森特诺表示，今年欧洲央行降息幅度可能超过100个基点，2%的利率目标是一个很好的基准，即使降息100个基点，仍将处于限制性区域，整体发言基调偏鸽，符合欧元区提早降息的预期。往后看，短期内美国经济数据保持韧性带动利率预期上调或持续给予美债收益率及美元指数一定支撑。</w:t>
      </w:r>
    </w:p>
    <w:p>
      <w:pPr>
        <w:spacing w:before="235" w:line="176" w:lineRule="auto"/>
        <w:jc w:val="both"/>
        <w:rPr>
          <w:rFonts w:hint="default" w:ascii="微软雅黑" w:hAnsi="微软雅黑" w:eastAsia="微软雅黑" w:cs="微软雅黑"/>
          <w:spacing w:val="12"/>
          <w:sz w:val="24"/>
          <w:szCs w:val="24"/>
          <w:lang w:val="en-US" w:eastAsia="zh-CN"/>
        </w:rPr>
      </w:pPr>
      <w:r>
        <w:rPr>
          <w:rFonts w:ascii="微软雅黑" w:hAnsi="微软雅黑" w:eastAsia="微软雅黑" w:cs="微软雅黑"/>
          <w:spacing w:val="7"/>
          <w:sz w:val="21"/>
          <w:szCs w:val="21"/>
        </w:rPr>
        <w:t>图表</w:t>
      </w:r>
      <w:r>
        <w:rPr>
          <w:rFonts w:hint="eastAsia" w:ascii="微软雅黑" w:hAnsi="微软雅黑" w:eastAsia="微软雅黑" w:cs="微软雅黑"/>
          <w:spacing w:val="7"/>
          <w:sz w:val="21"/>
          <w:szCs w:val="21"/>
          <w:lang w:val="en-US" w:eastAsia="zh-CN"/>
        </w:rPr>
        <w:t>2</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美元指数走势图</w:t>
      </w:r>
    </w:p>
    <w:p>
      <w:pPr>
        <w:spacing w:before="103" w:line="256" w:lineRule="auto"/>
        <w:ind w:right="743"/>
        <w:jc w:val="both"/>
      </w:pPr>
      <w:r>
        <w:drawing>
          <wp:inline distT="0" distB="0" distL="114300" distR="114300">
            <wp:extent cx="5918200" cy="2624455"/>
            <wp:effectExtent l="0" t="0" r="6350" b="444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3"/>
                    <a:stretch>
                      <a:fillRect/>
                    </a:stretch>
                  </pic:blipFill>
                  <pic:spPr>
                    <a:xfrm>
                      <a:off x="0" y="0"/>
                      <a:ext cx="5918200" cy="2624455"/>
                    </a:xfrm>
                    <a:prstGeom prst="rect">
                      <a:avLst/>
                    </a:prstGeom>
                    <a:noFill/>
                    <a:ln>
                      <a:noFill/>
                    </a:ln>
                  </pic:spPr>
                </pic:pic>
              </a:graphicData>
            </a:graphic>
          </wp:inline>
        </w:drawing>
      </w:r>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S&amp;P500</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截至4月23日，标普500指数收涨0.87%至5010.60点；迷你标普500主力合约收涨0.91%至5049点。美股周一收高，科技股领涨，纳指与标普500指数结束六连跌。中东紧张局势缓和令股指得到提振。本周市场重点关注美股七巨头的财报，以及美联储最重视的通胀指标——3月PCE物价指数。策略上，短线观望为主。</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p>
    <w:p>
      <w:pPr>
        <w:spacing w:before="103" w:line="256" w:lineRule="auto"/>
        <w:ind w:right="743"/>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3</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S&amp;P500走势图</w:t>
      </w:r>
    </w:p>
    <w:p>
      <w:pPr>
        <w:spacing w:before="120" w:line="190" w:lineRule="auto"/>
        <w:jc w:val="both"/>
        <w:rPr>
          <w:rFonts w:ascii="新宋体" w:hAnsi="新宋体" w:eastAsia="新宋体"/>
          <w:b/>
        </w:rPr>
      </w:pPr>
      <w:r>
        <w:rPr>
          <w:rFonts w:ascii="新宋体" w:hAnsi="新宋体" w:eastAsia="新宋体"/>
          <w:b/>
        </w:rPr>
        <w:drawing>
          <wp:inline distT="0" distB="0" distL="0" distR="0">
            <wp:extent cx="6073775" cy="2177415"/>
            <wp:effectExtent l="0" t="0" r="3175" b="133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4"/>
                    <a:stretch>
                      <a:fillRect/>
                    </a:stretch>
                  </pic:blipFill>
                  <pic:spPr>
                    <a:xfrm>
                      <a:off x="0" y="0"/>
                      <a:ext cx="6073775" cy="2177415"/>
                    </a:xfrm>
                    <a:prstGeom prst="rect">
                      <a:avLst/>
                    </a:prstGeom>
                  </pic:spPr>
                </pic:pic>
              </a:graphicData>
            </a:graphic>
          </wp:inline>
        </w:drawing>
      </w:r>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富时中国A50</w:t>
      </w:r>
    </w:p>
    <w:p>
      <w:pPr>
        <w:spacing w:before="103" w:line="256" w:lineRule="auto"/>
        <w:ind w:left="3" w:right="743" w:firstLine="535"/>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截至4月22日，富时中国A50指数收跌0.09%至12198.92点；新交所富时A50期指主力合约收涨0.13%至12207点。随着年报、季报和机构持仓集中披露，以及地缘扰动的密集出现，预计未来一个月市场资金博弈仍然激烈。基本面上，一季度经济表现整体超预期，固投端数据显示内需仍然呈弱，海外通胀强劲导致降息预期再度降温，海内外因素共同制约A股前期走势。策略上，短线观望为主。</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4</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富时中国A50走势图</w:t>
      </w:r>
    </w:p>
    <w:p>
      <w:pPr>
        <w:spacing w:before="103" w:line="256" w:lineRule="auto"/>
        <w:ind w:right="743"/>
        <w:jc w:val="both"/>
        <w:rPr>
          <w:rFonts w:ascii="新宋体" w:hAnsi="新宋体" w:eastAsia="新宋体"/>
        </w:rPr>
      </w:pPr>
      <w:r>
        <w:rPr>
          <w:rFonts w:ascii="新宋体" w:hAnsi="新宋体" w:eastAsia="新宋体"/>
        </w:rPr>
        <w:drawing>
          <wp:inline distT="0" distB="0" distL="0" distR="0">
            <wp:extent cx="6007100" cy="2082800"/>
            <wp:effectExtent l="0" t="0" r="12700" b="1270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a:stretch>
                      <a:fillRect/>
                    </a:stretch>
                  </pic:blipFill>
                  <pic:spPr>
                    <a:xfrm>
                      <a:off x="0" y="0"/>
                      <a:ext cx="6007100" cy="2082800"/>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新宋体" w:hAnsi="新宋体" w:eastAsia="新宋体"/>
        </w:rPr>
      </w:pPr>
      <w:r>
        <w:rPr>
          <w:rFonts w:hint="eastAsia" w:ascii="微软雅黑" w:hAnsi="微软雅黑" w:eastAsia="微软雅黑" w:cs="微软雅黑"/>
          <w:b/>
          <w:bCs/>
          <w:spacing w:val="12"/>
          <w:sz w:val="24"/>
          <w:szCs w:val="24"/>
          <w:lang w:val="en-US" w:eastAsia="zh-CN"/>
        </w:rPr>
        <w:t>铜</w:t>
      </w:r>
    </w:p>
    <w:p>
      <w:pPr>
        <w:spacing w:before="103" w:line="256" w:lineRule="auto"/>
        <w:ind w:right="743" w:firstLine="528" w:firstLineChars="200"/>
        <w:jc w:val="both"/>
        <w:rPr>
          <w:rFonts w:hint="default" w:ascii="微软雅黑" w:hAnsi="微软雅黑" w:eastAsia="微软雅黑" w:cs="微软雅黑"/>
          <w:spacing w:val="12"/>
          <w:sz w:val="24"/>
          <w:szCs w:val="24"/>
          <w:lang w:val="en-US" w:eastAsia="zh-CN"/>
        </w:rPr>
      </w:pPr>
      <w:r>
        <w:rPr>
          <w:rFonts w:hint="default" w:ascii="微软雅黑" w:hAnsi="微软雅黑" w:eastAsia="微软雅黑" w:cs="微软雅黑"/>
          <w:spacing w:val="12"/>
          <w:sz w:val="24"/>
          <w:szCs w:val="24"/>
          <w:lang w:val="en-US" w:eastAsia="zh-CN"/>
        </w:rPr>
        <w:t>隔夜COMEX铜冲高回落，其中2407合约报收4.512美元/磅，涨跌幅-0.31%。国际方面，美元指数亚盘欧盘持续走强，后因避险情绪消退在美盘时段走弱，最终收跌0.004%，报106.12。10年期美债收益率最终收报4.610%。对美联储政策利率最敏感的2年期美债收益率触及5%大关，最终收报4.999%。高息环境仍将维持一段时间，降息节点或再推后。国内方面，中国央行：将一年期和五年期LPR分别维持在3.45%和3.95%不变。财政部：及时启动超长期特别国债发行工作。研究适当增加储蓄国债发行规模，进一步调降单人购买限额。库存方面，截至4月22日，LME铜库存为121200吨，环比-800吨；COMEX铜库存26830短吨，环比-1877短吨；SHFE每日仓单235125吨，环比+2211吨。欧美库存去化，国内库存有所积累。操作上，建议COMEX铜2407合约轻仓震荡偏多交易，注意交易节奏及风险控制。</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5：</w:t>
      </w:r>
      <w:r>
        <w:rPr>
          <w:rFonts w:hint="eastAsia" w:ascii="微软雅黑" w:hAnsi="微软雅黑" w:eastAsia="微软雅黑" w:cs="微软雅黑"/>
          <w:spacing w:val="7"/>
          <w:sz w:val="21"/>
          <w:szCs w:val="21"/>
        </w:rPr>
        <w:t>铜日线走势图</w:t>
      </w:r>
    </w:p>
    <w:p>
      <w:pPr>
        <w:spacing w:before="103" w:line="256" w:lineRule="auto"/>
        <w:ind w:right="743"/>
        <w:jc w:val="both"/>
      </w:pPr>
      <w:r>
        <w:drawing>
          <wp:inline distT="0" distB="0" distL="0" distR="0">
            <wp:extent cx="6092825" cy="2376170"/>
            <wp:effectExtent l="0" t="0" r="3175"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6"/>
                    <a:stretch>
                      <a:fillRect/>
                    </a:stretch>
                  </pic:blipFill>
                  <pic:spPr>
                    <a:xfrm>
                      <a:off x="0" y="0"/>
                      <a:ext cx="6092825" cy="2376170"/>
                    </a:xfrm>
                    <a:prstGeom prst="rect">
                      <a:avLst/>
                    </a:prstGeom>
                  </pic:spPr>
                </pic:pic>
              </a:graphicData>
            </a:graphic>
          </wp:inline>
        </w:drawing>
      </w:r>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资料来源：同花顺、瑞达国际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黄金</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消息面：近期市场聚焦等待本周即将公布的美国一季度GDP数据，利率预期计价修正或相对充分，整体国债收益率暂缓冲高。非美国家方面，欧洲央行管委森特诺表示，今年欧洲央行降息幅度可能超过100个基点，2%的利率目标是一个很好的基准，即使降息100个基点，仍将处于限制性区域，整体发言基调偏鸽，符合欧元区提早降息的预期。</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外盘持仓方面：截至4月22日，SPDR Gold Trust黄金ETF持仓量为831.90吨，较上一交易日持平。</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往后看，短期内美国经济数据保持韧性带动利率预期上调或持续给予美债收益率及美元指数一定支撑，贵金属价格在避险情绪回落后或受到高利率及强美元影响相对承压回落。操作上建议，日内轻仓做空，请投资者注意风险控制。</w:t>
      </w:r>
    </w:p>
    <w:p>
      <w:pPr>
        <w:spacing w:before="103" w:line="256" w:lineRule="auto"/>
        <w:ind w:right="743"/>
        <w:jc w:val="both"/>
        <w:rPr>
          <w:rFonts w:hint="eastAsia" w:ascii="微软雅黑" w:hAnsi="微软雅黑" w:eastAsia="微软雅黑" w:cs="微软雅黑"/>
          <w:spacing w:val="12"/>
          <w:sz w:val="24"/>
          <w:szCs w:val="24"/>
          <w:lang w:val="en-US" w:eastAsia="zh-CN"/>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图6</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COMEX黄金日线走势图</w:t>
      </w:r>
      <w:r>
        <w:rPr>
          <w:rFonts w:hint="eastAsia" w:ascii="微软雅黑" w:hAnsi="微软雅黑" w:eastAsia="微软雅黑" w:cs="微软雅黑"/>
          <w:spacing w:val="7"/>
          <w:sz w:val="21"/>
          <w:szCs w:val="21"/>
          <w:lang w:val="en-US" w:eastAsia="zh-CN"/>
        </w:rPr>
        <w:t xml:space="preserve">  </w:t>
      </w:r>
    </w:p>
    <w:p>
      <w:pPr>
        <w:spacing w:before="103" w:line="256" w:lineRule="auto"/>
        <w:ind w:right="743"/>
        <w:jc w:val="both"/>
      </w:pPr>
      <w:r>
        <w:drawing>
          <wp:inline distT="0" distB="0" distL="114300" distR="114300">
            <wp:extent cx="6106160" cy="2225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7"/>
                    <a:srcRect t="1323"/>
                    <a:stretch>
                      <a:fillRect/>
                    </a:stretch>
                  </pic:blipFill>
                  <pic:spPr>
                    <a:xfrm>
                      <a:off x="0" y="0"/>
                      <a:ext cx="6106160" cy="2225675"/>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原油</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国际原油市场小幅回落，布伦特原油6月期货合约结算价报87美元/桶，跌幅0.3%；美国WTI原油6月期货合约结算价报81.9元/桶，跌幅0.4%。美联储官员继续打压市场的降息预期，美元指数高位整理。欧佩克联盟产油国将自愿减产措施延长到二季度，沙特将自愿减产100万桶/日，俄罗斯将在二季度自愿削减供应47.1万桶/日；美国将重新对委内瑞拉实施油气制裁，乌克兰再度袭击俄罗斯能源设施，伊朗和以色列无意升级冲突，中东地缘局势忧虑情绪有所缓和，市场权衡地缘局势与美联储降息推迟影响，短线原油期价呈现震荡整理，建议短线交易为主，支撑位：80；压力位：83.6。</w:t>
      </w:r>
    </w:p>
    <w:p>
      <w:pPr>
        <w:spacing w:before="103" w:line="256" w:lineRule="auto"/>
        <w:ind w:right="743"/>
        <w:jc w:val="both"/>
      </w:pPr>
      <w:r>
        <w:rPr>
          <w:rFonts w:hint="eastAsia" w:ascii="微软雅黑" w:hAnsi="微软雅黑" w:eastAsia="微软雅黑" w:cs="微软雅黑"/>
          <w:spacing w:val="7"/>
          <w:sz w:val="21"/>
          <w:szCs w:val="21"/>
          <w:lang w:val="en-US" w:eastAsia="zh-CN"/>
        </w:rPr>
        <w:t>图7：原油（WTI）走势图</w:t>
      </w:r>
    </w:p>
    <w:p>
      <w:pPr>
        <w:spacing w:before="103" w:line="256" w:lineRule="auto"/>
        <w:ind w:right="743"/>
        <w:jc w:val="both"/>
        <w:rPr>
          <w:rFonts w:hint="eastAsia"/>
        </w:rPr>
      </w:pPr>
      <w:r>
        <w:drawing>
          <wp:inline distT="0" distB="0" distL="0" distR="0">
            <wp:extent cx="5998210" cy="2662555"/>
            <wp:effectExtent l="0" t="0" r="2540" b="44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8"/>
                    <a:stretch>
                      <a:fillRect/>
                    </a:stretch>
                  </pic:blipFill>
                  <pic:spPr>
                    <a:xfrm>
                      <a:off x="0" y="0"/>
                      <a:ext cx="5998210" cy="2662555"/>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default"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ICE</w:t>
      </w:r>
      <w:bookmarkStart w:id="0" w:name="OLE_LINK3"/>
      <w:bookmarkStart w:id="1" w:name="OLE_LINK4"/>
      <w:r>
        <w:rPr>
          <w:rFonts w:hint="eastAsia" w:ascii="微软雅黑" w:hAnsi="微软雅黑" w:eastAsia="微软雅黑" w:cs="微软雅黑"/>
          <w:b/>
          <w:bCs/>
          <w:spacing w:val="12"/>
          <w:sz w:val="24"/>
          <w:szCs w:val="24"/>
          <w:lang w:val="en-US" w:eastAsia="zh-CN"/>
        </w:rPr>
        <w:t>棉花</w:t>
      </w:r>
    </w:p>
    <w:bookmarkEnd w:id="0"/>
    <w:bookmarkEnd w:id="1"/>
    <w:p>
      <w:pPr>
        <w:spacing w:before="103" w:line="256" w:lineRule="auto"/>
        <w:ind w:right="743" w:firstLine="528" w:firstLineChars="200"/>
        <w:jc w:val="both"/>
        <w:rPr>
          <w:rFonts w:hint="eastAsia" w:ascii="微软雅黑" w:hAnsi="微软雅黑" w:eastAsia="微软雅黑" w:cs="微软雅黑"/>
          <w:spacing w:val="12"/>
          <w:sz w:val="24"/>
          <w:szCs w:val="24"/>
          <w:lang w:val="zh-CN" w:eastAsia="zh-CN"/>
        </w:rPr>
      </w:pPr>
      <w:r>
        <w:rPr>
          <w:rFonts w:hint="eastAsia" w:ascii="微软雅黑" w:hAnsi="微软雅黑" w:eastAsia="微软雅黑" w:cs="微软雅黑"/>
          <w:spacing w:val="12"/>
          <w:sz w:val="24"/>
          <w:szCs w:val="24"/>
          <w:lang w:val="zh-CN" w:eastAsia="zh-CN"/>
        </w:rPr>
        <w:t>洲际交易所(ICE)棉花期货周一上涨逾1%，因金融市场积极的人气带来支撑，盖过了强劲美元带来的压力，交投最活跃的ICE 7月期棉收涨1.40美分或1.70%，结算价报82.42美分/磅，新年度美国棉花生长种植率有所提升，但仍低于去年同期，美国农业部发布的美国棉花生长报告显示，截至4月14日当周，美棉种植率为8%，前周为5%，去年同期为7%，五年均值为8%。美棉主力价格关注上方压力87.0美分/磅，下方支撑77.0美分/磅。建议7月 ICE 期棉短期暂且观望为宜。</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8：ICE棉花</w:t>
      </w:r>
      <w:r>
        <w:rPr>
          <w:rFonts w:hint="eastAsia" w:ascii="微软雅黑" w:hAnsi="微软雅黑" w:eastAsia="微软雅黑" w:cs="微软雅黑"/>
          <w:spacing w:val="7"/>
          <w:sz w:val="21"/>
          <w:szCs w:val="21"/>
          <w:lang w:val="zh-CN" w:eastAsia="zh-CN"/>
        </w:rPr>
        <w:t>期货主力合约日走势图</w:t>
      </w:r>
    </w:p>
    <w:p>
      <w:pPr>
        <w:spacing w:before="103" w:line="256" w:lineRule="auto"/>
        <w:ind w:right="743"/>
        <w:jc w:val="both"/>
        <w:rPr>
          <w:rFonts w:hint="eastAsia" w:ascii="微软雅黑" w:hAnsi="微软雅黑" w:eastAsia="微软雅黑" w:cs="微软雅黑"/>
          <w:spacing w:val="7"/>
          <w:sz w:val="21"/>
          <w:szCs w:val="21"/>
          <w:lang w:val="zh-CN" w:eastAsia="zh-CN"/>
        </w:rPr>
      </w:pPr>
      <w:r>
        <w:rPr>
          <w:rFonts w:hint="eastAsia"/>
          <w:lang w:val="en-US" w:eastAsia="zh-CN"/>
        </w:rPr>
        <w:drawing>
          <wp:inline distT="0" distB="0" distL="114300" distR="114300">
            <wp:extent cx="6066790" cy="2446655"/>
            <wp:effectExtent l="0" t="0" r="10160" b="10795"/>
            <wp:docPr id="24" name="图片 3" descr="QQ截图2024042308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QQ截图20240423081557"/>
                    <pic:cNvPicPr>
                      <a:picLocks noChangeAspect="1"/>
                    </pic:cNvPicPr>
                  </pic:nvPicPr>
                  <pic:blipFill>
                    <a:blip r:embed="rId19"/>
                    <a:stretch>
                      <a:fillRect/>
                    </a:stretch>
                  </pic:blipFill>
                  <pic:spPr>
                    <a:xfrm>
                      <a:off x="0" y="0"/>
                      <a:ext cx="6066790" cy="2446655"/>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default"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ICE原糖</w:t>
      </w:r>
    </w:p>
    <w:p>
      <w:pPr>
        <w:spacing w:before="103" w:line="256" w:lineRule="auto"/>
        <w:ind w:left="3" w:right="743" w:firstLine="535"/>
        <w:jc w:val="both"/>
        <w:rPr>
          <w:rFonts w:hint="eastAsia" w:ascii="微软雅黑" w:hAnsi="微软雅黑" w:eastAsia="微软雅黑" w:cs="微软雅黑"/>
          <w:spacing w:val="12"/>
          <w:sz w:val="24"/>
          <w:szCs w:val="24"/>
          <w:lang w:val="zh-CN" w:eastAsia="zh-CN"/>
        </w:rPr>
      </w:pPr>
      <w:r>
        <w:rPr>
          <w:rFonts w:hint="eastAsia" w:ascii="微软雅黑" w:hAnsi="微软雅黑" w:eastAsia="微软雅黑" w:cs="微软雅黑"/>
          <w:spacing w:val="12"/>
          <w:sz w:val="24"/>
          <w:szCs w:val="24"/>
          <w:lang w:val="zh-CN" w:eastAsia="zh-CN"/>
        </w:rPr>
        <w:t>洲际期货交易所（ICE）原糖期货周一收高，受供应收紧的迹象支撑，交投最活跃的ICE 7月原糖期货合约收盘收涨0.07美分或0.40%，结算价每磅19.80美分。北半球印度、泰国产量减幅不及预期，当前印度糖产量已达3020.2万吨，同比小幅增加。印度糖出口限制政策或有所松动。市场迎来巴西新榨季，出口仍表现强劲，利空原糖市场。巴西航运机构Williams发布的数据显示，截至4月17日当周巴西港口等待装运食糖的船只数量为80艘，此前一周为72艘。港口等待装运的食糖数量为286.86万吨，此前一周为265.1万吨。当周等待装运出口的食糖船只数量继续大幅增加，运输进度开始放缓。美糖主力价格关注上方阻力20.5美分/磅，下方支撑18.8美分/磅。操作上，建议7月 ICE 原糖短期暂且观望。</w:t>
      </w:r>
    </w:p>
    <w:p>
      <w:pPr>
        <w:spacing w:before="103" w:line="256" w:lineRule="auto"/>
        <w:ind w:left="3" w:right="743" w:firstLine="535"/>
        <w:jc w:val="both"/>
        <w:rPr>
          <w:rFonts w:hint="eastAsia" w:ascii="微软雅黑" w:hAnsi="微软雅黑" w:eastAsia="微软雅黑" w:cs="微软雅黑"/>
          <w:spacing w:val="12"/>
          <w:sz w:val="24"/>
          <w:szCs w:val="24"/>
          <w:lang w:val="zh-CN" w:eastAsia="zh-CN"/>
        </w:rPr>
      </w:pPr>
    </w:p>
    <w:p>
      <w:pPr>
        <w:spacing w:before="103" w:line="256" w:lineRule="auto"/>
        <w:ind w:right="743"/>
        <w:jc w:val="both"/>
        <w:rPr>
          <w:rFonts w:hint="eastAsia" w:ascii="微软雅黑" w:hAnsi="微软雅黑" w:eastAsia="微软雅黑" w:cs="微软雅黑"/>
          <w:spacing w:val="7"/>
          <w:sz w:val="21"/>
          <w:szCs w:val="21"/>
          <w:lang w:val="zh-CN" w:eastAsia="zh-CN"/>
        </w:rPr>
      </w:pPr>
    </w:p>
    <w:p>
      <w:pPr>
        <w:spacing w:before="103" w:line="256" w:lineRule="auto"/>
        <w:ind w:right="743"/>
        <w:jc w:val="both"/>
        <w:rPr>
          <w:rFonts w:hint="eastAsia" w:ascii="微软雅黑" w:hAnsi="微软雅黑" w:eastAsia="微软雅黑" w:cs="微软雅黑"/>
          <w:spacing w:val="7"/>
          <w:sz w:val="21"/>
          <w:szCs w:val="21"/>
          <w:lang w:val="zh-CN" w:eastAsia="zh-CN"/>
        </w:rPr>
      </w:pPr>
    </w:p>
    <w:p>
      <w:pPr>
        <w:spacing w:before="103" w:line="256" w:lineRule="auto"/>
        <w:ind w:right="743"/>
        <w:jc w:val="both"/>
        <w:rPr>
          <w:rFonts w:ascii="微软雅黑" w:hAnsi="微软雅黑" w:eastAsia="微软雅黑" w:cs="微软雅黑"/>
          <w:color w:val="CE393F"/>
          <w:spacing w:val="8"/>
          <w:position w:val="2"/>
          <w:sz w:val="40"/>
          <w:szCs w:val="40"/>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9：ICE原糖</w:t>
      </w:r>
      <w:r>
        <w:rPr>
          <w:rFonts w:hint="eastAsia" w:ascii="微软雅黑" w:hAnsi="微软雅黑" w:eastAsia="微软雅黑" w:cs="微软雅黑"/>
          <w:spacing w:val="7"/>
          <w:sz w:val="21"/>
          <w:szCs w:val="21"/>
          <w:lang w:val="zh-CN" w:eastAsia="zh-CN"/>
        </w:rPr>
        <w:t>期货主力合约日走势图</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lang w:val="en-US" w:eastAsia="zh-CN"/>
        </w:rPr>
        <w:drawing>
          <wp:inline distT="0" distB="0" distL="114300" distR="114300">
            <wp:extent cx="6057265" cy="2628900"/>
            <wp:effectExtent l="0" t="0" r="635" b="0"/>
            <wp:docPr id="23" name="图片 2" descr="QQ截图2024042308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descr="QQ截图20240423081536"/>
                    <pic:cNvPicPr>
                      <a:picLocks noChangeAspect="1"/>
                    </pic:cNvPicPr>
                  </pic:nvPicPr>
                  <pic:blipFill>
                    <a:blip r:embed="rId20"/>
                    <a:stretch>
                      <a:fillRect/>
                    </a:stretch>
                  </pic:blipFill>
                  <pic:spPr>
                    <a:xfrm>
                      <a:off x="0" y="0"/>
                      <a:ext cx="6057265" cy="2628900"/>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72" w:line="417" w:lineRule="exact"/>
        <w:rPr>
          <w:rFonts w:hint="eastAsia" w:ascii="微软雅黑" w:hAnsi="微软雅黑" w:eastAsia="微软雅黑" w:cs="微软雅黑"/>
          <w:color w:val="036EB8"/>
          <w:position w:val="-4"/>
          <w:sz w:val="28"/>
          <w:szCs w:val="28"/>
          <w:lang w:eastAsia="zh-CN"/>
        </w:rPr>
      </w:pPr>
    </w:p>
    <w:p>
      <w:pPr>
        <w:spacing w:before="172" w:line="417" w:lineRule="exact"/>
        <w:rPr>
          <w:rFonts w:ascii="微软雅黑" w:hAnsi="微软雅黑" w:eastAsia="微软雅黑" w:cs="微软雅黑"/>
          <w:sz w:val="20"/>
          <w:szCs w:val="20"/>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9"/>
          <w:sz w:val="28"/>
          <w:szCs w:val="28"/>
        </w:rPr>
        <w:t xml:space="preserve"> </w:t>
      </w:r>
      <w:r>
        <w:rPr>
          <w:rFonts w:ascii="微软雅黑" w:hAnsi="微软雅黑" w:eastAsia="微软雅黑" w:cs="微软雅黑"/>
          <w:color w:val="CE393F"/>
          <w:spacing w:val="8"/>
          <w:position w:val="2"/>
          <w:sz w:val="40"/>
          <w:szCs w:val="40"/>
        </w:rPr>
        <w:t>△</w:t>
      </w:r>
      <w:r>
        <w:rPr>
          <w:rFonts w:ascii="微软雅黑" w:hAnsi="微软雅黑" w:eastAsia="微软雅黑" w:cs="微软雅黑"/>
          <w:color w:val="CE393F"/>
          <w:spacing w:val="-38"/>
          <w:position w:val="2"/>
          <w:sz w:val="40"/>
          <w:szCs w:val="40"/>
        </w:rPr>
        <w:t xml:space="preserve"> </w:t>
      </w:r>
      <w:r>
        <w:rPr>
          <w:rFonts w:ascii="微软雅黑" w:hAnsi="微软雅黑" w:eastAsia="微软雅黑" w:cs="微软雅黑"/>
          <w:spacing w:val="8"/>
          <w:position w:val="2"/>
          <w:sz w:val="20"/>
          <w:szCs w:val="20"/>
        </w:rPr>
        <w:t>免责声明</w:t>
      </w:r>
    </w:p>
    <w:p>
      <w:pPr>
        <w:spacing w:before="63" w:line="193" w:lineRule="auto"/>
        <w:ind w:left="340" w:right="706" w:firstLine="379"/>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此报告由瑞达国际所编制。本报告采用之资料及意见均相信可靠及准确</w:t>
      </w:r>
      <w:r>
        <w:rPr>
          <w:rFonts w:ascii="微软雅黑" w:hAnsi="微软雅黑" w:eastAsia="微软雅黑" w:cs="微软雅黑"/>
          <w:color w:val="898989"/>
          <w:spacing w:val="2"/>
          <w:sz w:val="18"/>
          <w:szCs w:val="18"/>
        </w:rPr>
        <w:t>，但本公司并不对各分析或有关资料之可</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3"/>
          <w:sz w:val="18"/>
          <w:szCs w:val="18"/>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rPr>
        <w:t>资准</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8"/>
          <w:sz w:val="18"/>
          <w:szCs w:val="18"/>
        </w:rPr>
        <w:t>则。</w:t>
      </w:r>
    </w:p>
    <w:p>
      <w:pPr>
        <w:spacing w:before="34" w:line="189" w:lineRule="auto"/>
        <w:ind w:left="337" w:right="707" w:firstLine="381"/>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本报告之资料及意见如有任何更改，恕不另行通知。本报告并非及并无意图</w:t>
      </w:r>
      <w:r>
        <w:rPr>
          <w:rFonts w:ascii="微软雅黑" w:hAnsi="微软雅黑" w:eastAsia="微软雅黑" w:cs="微软雅黑"/>
          <w:color w:val="898989"/>
          <w:spacing w:val="2"/>
          <w:sz w:val="18"/>
          <w:szCs w:val="18"/>
        </w:rPr>
        <w:t>构成任何作价或招揽进行买卖本报告</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2"/>
          <w:sz w:val="18"/>
          <w:szCs w:val="18"/>
        </w:rPr>
        <w:t>提及的商品。本公司不会对任何因依靠本报告作出任何买卖而引致之任何损失承担任</w:t>
      </w:r>
      <w:r>
        <w:rPr>
          <w:rFonts w:ascii="微软雅黑" w:hAnsi="微软雅黑" w:eastAsia="微软雅黑" w:cs="微软雅黑"/>
          <w:color w:val="898989"/>
          <w:spacing w:val="1"/>
          <w:sz w:val="18"/>
          <w:szCs w:val="18"/>
        </w:rPr>
        <w:t>何责任。</w:t>
      </w:r>
    </w:p>
    <w:p>
      <w:pPr>
        <w:spacing w:line="189" w:lineRule="auto"/>
        <w:rPr>
          <w:rFonts w:ascii="微软雅黑" w:hAnsi="微软雅黑" w:eastAsia="微软雅黑" w:cs="微软雅黑"/>
          <w:sz w:val="18"/>
          <w:szCs w:val="18"/>
        </w:rPr>
        <w:sectPr>
          <w:headerReference r:id="rId6" w:type="default"/>
          <w:footerReference r:id="rId7" w:type="default"/>
          <w:pgSz w:w="11915" w:h="16837"/>
          <w:pgMar w:top="400" w:right="382" w:bottom="0" w:left="1153" w:header="340" w:footer="340" w:gutter="0"/>
          <w:pgBorders>
            <w:top w:val="none" w:sz="0" w:space="0"/>
            <w:left w:val="none" w:sz="0" w:space="0"/>
            <w:bottom w:val="none" w:sz="0" w:space="0"/>
            <w:right w:val="none" w:sz="0" w:space="0"/>
          </w:pgBorders>
          <w:pgNumType w:fmt="decimal"/>
          <w:cols w:space="720" w:num="1"/>
        </w:sectPr>
      </w:pPr>
    </w:p>
    <w:p>
      <w:pPr>
        <w:spacing w:before="34" w:line="569" w:lineRule="exact"/>
        <w:ind w:firstLine="6421"/>
      </w:pPr>
    </w:p>
    <w:p>
      <w:pPr>
        <w:spacing w:before="34" w:line="569" w:lineRule="exact"/>
        <w:ind w:firstLine="6421"/>
      </w:pPr>
    </w:p>
    <w:p>
      <w:pPr>
        <w:spacing w:before="34" w:line="569" w:lineRule="exact"/>
        <w:ind w:firstLine="6421"/>
      </w:pPr>
    </w:p>
    <w:p>
      <w:pPr>
        <w:spacing w:line="3052" w:lineRule="exact"/>
        <w:jc w:val="center"/>
      </w:pPr>
      <w:r>
        <w:rPr>
          <w:position w:val="-61"/>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pPr>
        <w:pStyle w:val="2"/>
        <w:spacing w:line="371" w:lineRule="auto"/>
        <w:jc w:val="center"/>
      </w:pPr>
    </w:p>
    <w:p>
      <w:pPr>
        <w:spacing w:before="103" w:line="191" w:lineRule="auto"/>
        <w:jc w:val="center"/>
        <w:rPr>
          <w:rFonts w:ascii="微软雅黑" w:hAnsi="微软雅黑" w:eastAsia="微软雅黑" w:cs="微软雅黑"/>
          <w:sz w:val="24"/>
          <w:szCs w:val="24"/>
        </w:rPr>
      </w:pPr>
      <w:r>
        <w:rPr>
          <w:rFonts w:ascii="微软雅黑" w:hAnsi="微软雅黑" w:eastAsia="微软雅黑" w:cs="微软雅黑"/>
          <w:spacing w:val="7"/>
          <w:sz w:val="24"/>
          <w:szCs w:val="24"/>
        </w:rPr>
        <w:t>24小时客服电话： 00852</w:t>
      </w:r>
      <w:r>
        <w:rPr>
          <w:rFonts w:ascii="微软雅黑" w:hAnsi="微软雅黑" w:eastAsia="微软雅黑" w:cs="微软雅黑"/>
          <w:spacing w:val="-33"/>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37"/>
          <w:sz w:val="24"/>
          <w:szCs w:val="24"/>
        </w:rPr>
        <w:t xml:space="preserve"> </w:t>
      </w:r>
      <w:r>
        <w:rPr>
          <w:rFonts w:ascii="微软雅黑" w:hAnsi="微软雅黑" w:eastAsia="微软雅黑" w:cs="微软雅黑"/>
          <w:spacing w:val="7"/>
          <w:sz w:val="24"/>
          <w:szCs w:val="24"/>
        </w:rPr>
        <w:t>25342000/86</w:t>
      </w:r>
      <w:r>
        <w:rPr>
          <w:rFonts w:ascii="微软雅黑" w:hAnsi="微软雅黑" w:eastAsia="微软雅黑" w:cs="微软雅黑"/>
          <w:spacing w:val="-36"/>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26"/>
          <w:sz w:val="24"/>
          <w:szCs w:val="24"/>
        </w:rPr>
        <w:t xml:space="preserve"> </w:t>
      </w:r>
      <w:r>
        <w:rPr>
          <w:rFonts w:ascii="微软雅黑" w:hAnsi="微软雅黑" w:eastAsia="微软雅黑" w:cs="微软雅黑"/>
          <w:spacing w:val="7"/>
          <w:sz w:val="24"/>
          <w:szCs w:val="24"/>
        </w:rPr>
        <w:t>13603059885</w:t>
      </w:r>
    </w:p>
    <w:p>
      <w:pPr>
        <w:spacing w:before="233" w:line="175" w:lineRule="auto"/>
        <w:jc w:val="center"/>
        <w:rPr>
          <w:rFonts w:ascii="微软雅黑" w:hAnsi="微软雅黑" w:eastAsia="微软雅黑" w:cs="微软雅黑"/>
          <w:sz w:val="24"/>
          <w:szCs w:val="24"/>
        </w:rPr>
      </w:pPr>
      <w:r>
        <w:rPr>
          <w:rFonts w:ascii="微软雅黑" w:hAnsi="微软雅黑" w:eastAsia="微软雅黑" w:cs="微软雅黑"/>
          <w:spacing w:val="5"/>
          <w:sz w:val="24"/>
          <w:szCs w:val="24"/>
        </w:rPr>
        <w:t>24小时传真电话： 00852</w:t>
      </w:r>
      <w:r>
        <w:rPr>
          <w:rFonts w:ascii="微软雅黑" w:hAnsi="微软雅黑" w:eastAsia="微软雅黑" w:cs="微软雅黑"/>
          <w:spacing w:val="-32"/>
          <w:sz w:val="24"/>
          <w:szCs w:val="24"/>
        </w:rPr>
        <w:t xml:space="preserve"> </w:t>
      </w:r>
      <w:r>
        <w:rPr>
          <w:rFonts w:ascii="微软雅黑" w:hAnsi="微软雅黑" w:eastAsia="微软雅黑" w:cs="微软雅黑"/>
          <w:spacing w:val="5"/>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pacing w:val="5"/>
          <w:sz w:val="24"/>
          <w:szCs w:val="24"/>
        </w:rPr>
        <w:t>25632368</w:t>
      </w:r>
    </w:p>
    <w:p>
      <w:pPr>
        <w:spacing w:before="258" w:line="190" w:lineRule="auto"/>
        <w:jc w:val="center"/>
        <w:rPr>
          <w:rFonts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34" w:line="192" w:lineRule="auto"/>
        <w:jc w:val="center"/>
        <w:rPr>
          <w:rFonts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pPr>
        <w:spacing w:before="234" w:line="176" w:lineRule="auto"/>
        <w:jc w:val="center"/>
        <w:rPr>
          <w:rFonts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53" w:line="177" w:lineRule="auto"/>
        <w:jc w:val="center"/>
        <w:rPr>
          <w:rFonts w:ascii="微软雅黑" w:hAnsi="微软雅黑" w:eastAsia="微软雅黑" w:cs="微软雅黑"/>
          <w:sz w:val="24"/>
          <w:szCs w:val="24"/>
        </w:rPr>
      </w:pPr>
      <w:r>
        <w:rPr>
          <w:rFonts w:ascii="微软雅黑" w:hAnsi="微软雅黑" w:eastAsia="微软雅黑" w:cs="微软雅黑"/>
          <w:spacing w:val="16"/>
          <w:sz w:val="24"/>
          <w:szCs w:val="24"/>
        </w:rPr>
        <w:t>地址:</w:t>
      </w:r>
      <w:r>
        <w:rPr>
          <w:rFonts w:ascii="微软雅黑" w:hAnsi="微软雅黑" w:eastAsia="微软雅黑" w:cs="微软雅黑"/>
          <w:spacing w:val="45"/>
          <w:w w:val="101"/>
          <w:sz w:val="24"/>
          <w:szCs w:val="24"/>
        </w:rPr>
        <w:t xml:space="preserve"> </w:t>
      </w:r>
      <w:r>
        <w:rPr>
          <w:rFonts w:ascii="微软雅黑" w:hAnsi="微软雅黑" w:eastAsia="微软雅黑" w:cs="微软雅黑"/>
          <w:spacing w:val="16"/>
          <w:sz w:val="24"/>
          <w:szCs w:val="24"/>
        </w:rPr>
        <w:t>香港湾仔菲林明道8号大同大厦17楼05</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06室</w:t>
      </w:r>
    </w:p>
    <w:p/>
    <w:sectPr>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double" w:color="0766D4" w:sz="8" w:space="0"/>
      </w:pBdr>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top w:val="none" w:color="auto" w:sz="0" w:space="1"/>
        <w:left w:val="none" w:color="auto" w:sz="0" w:space="4"/>
        <w:bottom w:val="thinThickSmallGap" w:color="3669AB" w:sz="24" w:space="0"/>
        <w:right w:val="none" w:color="auto" w:sz="0" w:space="4"/>
        <w:between w:val="none" w:color="auto" w:sz="0" w:space="0"/>
      </w:pBdr>
      <w:kinsoku w:val="0"/>
      <w:autoSpaceDE w:val="0"/>
      <w:autoSpaceDN w:val="0"/>
      <w:adjustRightInd w:val="0"/>
      <w:snapToGrid w:val="0"/>
      <w:spacing w:line="240" w:lineRule="auto"/>
      <w:ind w:right="420" w:rightChars="200"/>
      <w:jc w:val="right"/>
      <w:textAlignment w:val="baseline"/>
      <w:rPr>
        <w:rFonts w:hint="eastAsia" w:eastAsia="宋体"/>
        <w:sz w:val="2"/>
        <w:lang w:eastAsia="zh-CN"/>
      </w:rPr>
    </w:pPr>
    <w:r>
      <w:rPr>
        <w:sz w:val="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pPr>
      <w:pStyle w:val="2"/>
      <w:pBdr>
        <w:bottom w:val="single" w:color="3669AB" w:sz="4" w:space="0"/>
      </w:pBdr>
      <w:spacing w:line="240" w:lineRule="auto"/>
      <w:ind w:right="420" w:rightChars="200"/>
      <w:jc w:val="both"/>
      <w:rPr>
        <w:rFonts w:hint="eastAsia" w:eastAsia="宋体"/>
        <w:color w:val="FFFFFF" w:themeColor="background1"/>
        <w:sz w:val="2"/>
        <w:lang w:eastAsia="zh-CN"/>
        <w14:textFill>
          <w14:solidFill>
            <w14:schemeClr w14:val="bg1"/>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s>
  <w:rsids>
    <w:rsidRoot w:val="59DE62A0"/>
    <w:rsid w:val="000A785F"/>
    <w:rsid w:val="000C024B"/>
    <w:rsid w:val="001431C1"/>
    <w:rsid w:val="00181D4B"/>
    <w:rsid w:val="004E0863"/>
    <w:rsid w:val="00593490"/>
    <w:rsid w:val="005F4A09"/>
    <w:rsid w:val="00727595"/>
    <w:rsid w:val="008D4A14"/>
    <w:rsid w:val="00920750"/>
    <w:rsid w:val="00A42231"/>
    <w:rsid w:val="00C177F8"/>
    <w:rsid w:val="00CA7EEA"/>
    <w:rsid w:val="00CE6532"/>
    <w:rsid w:val="00D348C5"/>
    <w:rsid w:val="00DC19CB"/>
    <w:rsid w:val="00E16FE2"/>
    <w:rsid w:val="00E442E6"/>
    <w:rsid w:val="010235FB"/>
    <w:rsid w:val="011E3D92"/>
    <w:rsid w:val="013C05EC"/>
    <w:rsid w:val="0140116F"/>
    <w:rsid w:val="014337F8"/>
    <w:rsid w:val="014541E2"/>
    <w:rsid w:val="01486DF0"/>
    <w:rsid w:val="01761E20"/>
    <w:rsid w:val="017B7436"/>
    <w:rsid w:val="018F67B1"/>
    <w:rsid w:val="019734A3"/>
    <w:rsid w:val="019E3125"/>
    <w:rsid w:val="01AE15BA"/>
    <w:rsid w:val="01B6046E"/>
    <w:rsid w:val="01C257A0"/>
    <w:rsid w:val="01D31020"/>
    <w:rsid w:val="01FA65AD"/>
    <w:rsid w:val="02055605"/>
    <w:rsid w:val="021052EA"/>
    <w:rsid w:val="02151639"/>
    <w:rsid w:val="021D5BFB"/>
    <w:rsid w:val="02296E92"/>
    <w:rsid w:val="024953BD"/>
    <w:rsid w:val="02590402"/>
    <w:rsid w:val="02604182"/>
    <w:rsid w:val="027125E7"/>
    <w:rsid w:val="028D7421"/>
    <w:rsid w:val="02A532B5"/>
    <w:rsid w:val="02A97FD3"/>
    <w:rsid w:val="02B7624C"/>
    <w:rsid w:val="02BA5D3C"/>
    <w:rsid w:val="02BC7D06"/>
    <w:rsid w:val="02BE582C"/>
    <w:rsid w:val="02CD47AD"/>
    <w:rsid w:val="02D04F80"/>
    <w:rsid w:val="02DC4B76"/>
    <w:rsid w:val="02FD0060"/>
    <w:rsid w:val="0301396B"/>
    <w:rsid w:val="030659D3"/>
    <w:rsid w:val="0321400D"/>
    <w:rsid w:val="032338E1"/>
    <w:rsid w:val="033C0E47"/>
    <w:rsid w:val="0350044F"/>
    <w:rsid w:val="03661A20"/>
    <w:rsid w:val="03705048"/>
    <w:rsid w:val="03767EB5"/>
    <w:rsid w:val="037D56E7"/>
    <w:rsid w:val="037E5587"/>
    <w:rsid w:val="03824AAC"/>
    <w:rsid w:val="03843986"/>
    <w:rsid w:val="03891409"/>
    <w:rsid w:val="038E44A6"/>
    <w:rsid w:val="03AA4003"/>
    <w:rsid w:val="03B31109"/>
    <w:rsid w:val="03C54999"/>
    <w:rsid w:val="03CF5817"/>
    <w:rsid w:val="03D44348"/>
    <w:rsid w:val="03D64DF8"/>
    <w:rsid w:val="03E33071"/>
    <w:rsid w:val="03F31506"/>
    <w:rsid w:val="03FE7EAB"/>
    <w:rsid w:val="0402799B"/>
    <w:rsid w:val="04040FB1"/>
    <w:rsid w:val="0405375F"/>
    <w:rsid w:val="04145465"/>
    <w:rsid w:val="04253689"/>
    <w:rsid w:val="043B3CCE"/>
    <w:rsid w:val="04405814"/>
    <w:rsid w:val="044F0706"/>
    <w:rsid w:val="045A6DD9"/>
    <w:rsid w:val="04620439"/>
    <w:rsid w:val="04695C6C"/>
    <w:rsid w:val="04725735"/>
    <w:rsid w:val="04787C5D"/>
    <w:rsid w:val="0480160E"/>
    <w:rsid w:val="04914704"/>
    <w:rsid w:val="0495080F"/>
    <w:rsid w:val="049D5915"/>
    <w:rsid w:val="04BF588C"/>
    <w:rsid w:val="04CD0E7B"/>
    <w:rsid w:val="04CD5176"/>
    <w:rsid w:val="04E43544"/>
    <w:rsid w:val="04E55250"/>
    <w:rsid w:val="04F95601"/>
    <w:rsid w:val="04FB69FF"/>
    <w:rsid w:val="050647B6"/>
    <w:rsid w:val="05173E06"/>
    <w:rsid w:val="051A6F66"/>
    <w:rsid w:val="053D4696"/>
    <w:rsid w:val="054933A7"/>
    <w:rsid w:val="055F4D69"/>
    <w:rsid w:val="056D52E8"/>
    <w:rsid w:val="058F34B0"/>
    <w:rsid w:val="059D2DAA"/>
    <w:rsid w:val="05AC4062"/>
    <w:rsid w:val="05C869C2"/>
    <w:rsid w:val="061708BA"/>
    <w:rsid w:val="06205AC4"/>
    <w:rsid w:val="066D7B6C"/>
    <w:rsid w:val="06874187"/>
    <w:rsid w:val="06920D0C"/>
    <w:rsid w:val="06AC1E40"/>
    <w:rsid w:val="06BD404D"/>
    <w:rsid w:val="06D40C03"/>
    <w:rsid w:val="06D860E7"/>
    <w:rsid w:val="06E91363"/>
    <w:rsid w:val="06F9676B"/>
    <w:rsid w:val="072919FB"/>
    <w:rsid w:val="07375BAD"/>
    <w:rsid w:val="073949DD"/>
    <w:rsid w:val="073D6F5B"/>
    <w:rsid w:val="07634D60"/>
    <w:rsid w:val="07652B87"/>
    <w:rsid w:val="076F5B99"/>
    <w:rsid w:val="077A4193"/>
    <w:rsid w:val="077D0034"/>
    <w:rsid w:val="07950B26"/>
    <w:rsid w:val="07972AF0"/>
    <w:rsid w:val="07A07BF6"/>
    <w:rsid w:val="07D9719C"/>
    <w:rsid w:val="07DD49A7"/>
    <w:rsid w:val="07EB25E1"/>
    <w:rsid w:val="07F5280A"/>
    <w:rsid w:val="07F67816"/>
    <w:rsid w:val="080F6B2A"/>
    <w:rsid w:val="0828199A"/>
    <w:rsid w:val="082F186D"/>
    <w:rsid w:val="0853247A"/>
    <w:rsid w:val="085B34CE"/>
    <w:rsid w:val="089E2E0C"/>
    <w:rsid w:val="08A234FA"/>
    <w:rsid w:val="08AF5C17"/>
    <w:rsid w:val="08B5322E"/>
    <w:rsid w:val="08B6462D"/>
    <w:rsid w:val="08BD121B"/>
    <w:rsid w:val="08D505E6"/>
    <w:rsid w:val="08DD2784"/>
    <w:rsid w:val="08E949DF"/>
    <w:rsid w:val="08F817D8"/>
    <w:rsid w:val="09063A89"/>
    <w:rsid w:val="090E293E"/>
    <w:rsid w:val="09174F67"/>
    <w:rsid w:val="09252A9B"/>
    <w:rsid w:val="093E76C7"/>
    <w:rsid w:val="09401DAC"/>
    <w:rsid w:val="09420839"/>
    <w:rsid w:val="09491BC8"/>
    <w:rsid w:val="09840E52"/>
    <w:rsid w:val="098E4672"/>
    <w:rsid w:val="09903C9B"/>
    <w:rsid w:val="099A2423"/>
    <w:rsid w:val="099E0166"/>
    <w:rsid w:val="09AC6674"/>
    <w:rsid w:val="09AE43B9"/>
    <w:rsid w:val="09B039F5"/>
    <w:rsid w:val="09B110B8"/>
    <w:rsid w:val="09B259BF"/>
    <w:rsid w:val="09D26E62"/>
    <w:rsid w:val="09DA6CC4"/>
    <w:rsid w:val="09F02DF6"/>
    <w:rsid w:val="09F31EAA"/>
    <w:rsid w:val="0A037FC9"/>
    <w:rsid w:val="0A140428"/>
    <w:rsid w:val="0A1470E4"/>
    <w:rsid w:val="0A2A37A7"/>
    <w:rsid w:val="0A2C17A5"/>
    <w:rsid w:val="0A36039E"/>
    <w:rsid w:val="0A3E54A5"/>
    <w:rsid w:val="0A434869"/>
    <w:rsid w:val="0A4C6D5E"/>
    <w:rsid w:val="0A533A62"/>
    <w:rsid w:val="0A544CC8"/>
    <w:rsid w:val="0A5F5B47"/>
    <w:rsid w:val="0A7D5FCD"/>
    <w:rsid w:val="0A823CEB"/>
    <w:rsid w:val="0A8F399C"/>
    <w:rsid w:val="0A943317"/>
    <w:rsid w:val="0A9A6B7F"/>
    <w:rsid w:val="0A9B3267"/>
    <w:rsid w:val="0AA74DF8"/>
    <w:rsid w:val="0AA82AC5"/>
    <w:rsid w:val="0ABF0394"/>
    <w:rsid w:val="0AC0235E"/>
    <w:rsid w:val="0AC75B18"/>
    <w:rsid w:val="0AF44EDF"/>
    <w:rsid w:val="0AF73FD1"/>
    <w:rsid w:val="0AFB3396"/>
    <w:rsid w:val="0AFD2C6A"/>
    <w:rsid w:val="0B02681E"/>
    <w:rsid w:val="0B0B2B07"/>
    <w:rsid w:val="0B0C10FF"/>
    <w:rsid w:val="0B116814"/>
    <w:rsid w:val="0B156206"/>
    <w:rsid w:val="0B2822B8"/>
    <w:rsid w:val="0B310B66"/>
    <w:rsid w:val="0B3F14D4"/>
    <w:rsid w:val="0B3F6A8F"/>
    <w:rsid w:val="0B6149B5"/>
    <w:rsid w:val="0B696551"/>
    <w:rsid w:val="0B775713"/>
    <w:rsid w:val="0B7C44D7"/>
    <w:rsid w:val="0B837613"/>
    <w:rsid w:val="0BA87886"/>
    <w:rsid w:val="0BB06CD5"/>
    <w:rsid w:val="0C023101"/>
    <w:rsid w:val="0C16030A"/>
    <w:rsid w:val="0C1618B2"/>
    <w:rsid w:val="0C1E10EA"/>
    <w:rsid w:val="0C430B50"/>
    <w:rsid w:val="0C6311F3"/>
    <w:rsid w:val="0C7358DA"/>
    <w:rsid w:val="0C7426EC"/>
    <w:rsid w:val="0C874AB1"/>
    <w:rsid w:val="0C8A677F"/>
    <w:rsid w:val="0C956C25"/>
    <w:rsid w:val="0CA53877"/>
    <w:rsid w:val="0CE00A95"/>
    <w:rsid w:val="0CE7389C"/>
    <w:rsid w:val="0D272220"/>
    <w:rsid w:val="0D3A56A0"/>
    <w:rsid w:val="0D423C21"/>
    <w:rsid w:val="0D6945E7"/>
    <w:rsid w:val="0D6E7E4F"/>
    <w:rsid w:val="0D766D04"/>
    <w:rsid w:val="0D815DD4"/>
    <w:rsid w:val="0D8E04F1"/>
    <w:rsid w:val="0DB00467"/>
    <w:rsid w:val="0DDA7292"/>
    <w:rsid w:val="0DEB161A"/>
    <w:rsid w:val="0DEF3128"/>
    <w:rsid w:val="0DF7787E"/>
    <w:rsid w:val="0E211365"/>
    <w:rsid w:val="0E2B5D40"/>
    <w:rsid w:val="0E304A35"/>
    <w:rsid w:val="0E3A5F83"/>
    <w:rsid w:val="0E4F7C80"/>
    <w:rsid w:val="0E5E1F69"/>
    <w:rsid w:val="0E680D42"/>
    <w:rsid w:val="0E6A2D0C"/>
    <w:rsid w:val="0E6D45AA"/>
    <w:rsid w:val="0E74072A"/>
    <w:rsid w:val="0E7D63D0"/>
    <w:rsid w:val="0E8A6F0A"/>
    <w:rsid w:val="0E9D4E90"/>
    <w:rsid w:val="0EA855E3"/>
    <w:rsid w:val="0EAB39B1"/>
    <w:rsid w:val="0EB818FA"/>
    <w:rsid w:val="0EC40C69"/>
    <w:rsid w:val="0ECA5559"/>
    <w:rsid w:val="0EF357FE"/>
    <w:rsid w:val="0F0E09E8"/>
    <w:rsid w:val="0F1B4006"/>
    <w:rsid w:val="0F3B0205"/>
    <w:rsid w:val="0F425337"/>
    <w:rsid w:val="0F465226"/>
    <w:rsid w:val="0F53554E"/>
    <w:rsid w:val="0F83743D"/>
    <w:rsid w:val="0F8B4EFC"/>
    <w:rsid w:val="0FA25CB6"/>
    <w:rsid w:val="0FB51D65"/>
    <w:rsid w:val="0FB7564B"/>
    <w:rsid w:val="0FC4644C"/>
    <w:rsid w:val="0FCF7FFC"/>
    <w:rsid w:val="0FD85A54"/>
    <w:rsid w:val="0FDC5544"/>
    <w:rsid w:val="0FE10DAC"/>
    <w:rsid w:val="0FFA2AB6"/>
    <w:rsid w:val="10090303"/>
    <w:rsid w:val="100D7DF3"/>
    <w:rsid w:val="101E5B5C"/>
    <w:rsid w:val="10240C99"/>
    <w:rsid w:val="103B02B6"/>
    <w:rsid w:val="104135F9"/>
    <w:rsid w:val="10596B94"/>
    <w:rsid w:val="105A46BB"/>
    <w:rsid w:val="1060257A"/>
    <w:rsid w:val="10613C9B"/>
    <w:rsid w:val="10962C7F"/>
    <w:rsid w:val="10A51DDA"/>
    <w:rsid w:val="10A67900"/>
    <w:rsid w:val="10F1501F"/>
    <w:rsid w:val="11005262"/>
    <w:rsid w:val="1126167A"/>
    <w:rsid w:val="112C1D96"/>
    <w:rsid w:val="112D2A00"/>
    <w:rsid w:val="115B7EC7"/>
    <w:rsid w:val="115D0CDB"/>
    <w:rsid w:val="115F642C"/>
    <w:rsid w:val="118367EC"/>
    <w:rsid w:val="119A2EC2"/>
    <w:rsid w:val="11C75D80"/>
    <w:rsid w:val="11DF575B"/>
    <w:rsid w:val="12011292"/>
    <w:rsid w:val="12064AFA"/>
    <w:rsid w:val="120D40DA"/>
    <w:rsid w:val="12241424"/>
    <w:rsid w:val="123A47A4"/>
    <w:rsid w:val="127777A6"/>
    <w:rsid w:val="12837EF9"/>
    <w:rsid w:val="129245E0"/>
    <w:rsid w:val="12AB56A1"/>
    <w:rsid w:val="12B72AC8"/>
    <w:rsid w:val="12C14EC5"/>
    <w:rsid w:val="12C53BAB"/>
    <w:rsid w:val="12C56763"/>
    <w:rsid w:val="12D6271E"/>
    <w:rsid w:val="12DD56D0"/>
    <w:rsid w:val="12E453E1"/>
    <w:rsid w:val="130A686C"/>
    <w:rsid w:val="13392CAD"/>
    <w:rsid w:val="13581385"/>
    <w:rsid w:val="1360023A"/>
    <w:rsid w:val="136F66CF"/>
    <w:rsid w:val="137D0DEC"/>
    <w:rsid w:val="13914897"/>
    <w:rsid w:val="13A33429"/>
    <w:rsid w:val="13AC16D1"/>
    <w:rsid w:val="13E83022"/>
    <w:rsid w:val="14027543"/>
    <w:rsid w:val="14055F2A"/>
    <w:rsid w:val="14073B5C"/>
    <w:rsid w:val="14180B15"/>
    <w:rsid w:val="142D2812"/>
    <w:rsid w:val="143376FC"/>
    <w:rsid w:val="14394D22"/>
    <w:rsid w:val="144E4536"/>
    <w:rsid w:val="14587163"/>
    <w:rsid w:val="145B4DEA"/>
    <w:rsid w:val="146124BC"/>
    <w:rsid w:val="146B1AFA"/>
    <w:rsid w:val="146B50E8"/>
    <w:rsid w:val="14795475"/>
    <w:rsid w:val="148B7538"/>
    <w:rsid w:val="14914C87"/>
    <w:rsid w:val="14AD6D4E"/>
    <w:rsid w:val="14B24AC5"/>
    <w:rsid w:val="14D35F6D"/>
    <w:rsid w:val="14E03753"/>
    <w:rsid w:val="14EF7AC7"/>
    <w:rsid w:val="14FE5F5C"/>
    <w:rsid w:val="15035321"/>
    <w:rsid w:val="15227E9D"/>
    <w:rsid w:val="15336827"/>
    <w:rsid w:val="153567EB"/>
    <w:rsid w:val="15357EA3"/>
    <w:rsid w:val="1537362A"/>
    <w:rsid w:val="153F7762"/>
    <w:rsid w:val="1546345F"/>
    <w:rsid w:val="154D0C92"/>
    <w:rsid w:val="15595889"/>
    <w:rsid w:val="157A3DE6"/>
    <w:rsid w:val="15A20FDE"/>
    <w:rsid w:val="15AD4515"/>
    <w:rsid w:val="15BD1974"/>
    <w:rsid w:val="15BF56EC"/>
    <w:rsid w:val="15C23767"/>
    <w:rsid w:val="15FA0A52"/>
    <w:rsid w:val="16094BB9"/>
    <w:rsid w:val="160F471D"/>
    <w:rsid w:val="16184DFC"/>
    <w:rsid w:val="162163A6"/>
    <w:rsid w:val="162F6237"/>
    <w:rsid w:val="163007A4"/>
    <w:rsid w:val="16323E9D"/>
    <w:rsid w:val="16461969"/>
    <w:rsid w:val="16526560"/>
    <w:rsid w:val="16532BAF"/>
    <w:rsid w:val="16573B76"/>
    <w:rsid w:val="16640041"/>
    <w:rsid w:val="167A1613"/>
    <w:rsid w:val="167F4E7B"/>
    <w:rsid w:val="1697252A"/>
    <w:rsid w:val="169A1CB5"/>
    <w:rsid w:val="169F376F"/>
    <w:rsid w:val="16A86180"/>
    <w:rsid w:val="16AB5CAD"/>
    <w:rsid w:val="16AD19E8"/>
    <w:rsid w:val="16B17A67"/>
    <w:rsid w:val="16BC7E7D"/>
    <w:rsid w:val="16C117E9"/>
    <w:rsid w:val="16C136E5"/>
    <w:rsid w:val="16C3745D"/>
    <w:rsid w:val="16CE195E"/>
    <w:rsid w:val="16E84EEA"/>
    <w:rsid w:val="16ED5F07"/>
    <w:rsid w:val="16F05D79"/>
    <w:rsid w:val="16FE3FF2"/>
    <w:rsid w:val="17231CAA"/>
    <w:rsid w:val="17343EB7"/>
    <w:rsid w:val="174F2A9F"/>
    <w:rsid w:val="1750680B"/>
    <w:rsid w:val="17535418"/>
    <w:rsid w:val="17602EFE"/>
    <w:rsid w:val="176B1094"/>
    <w:rsid w:val="177A3F89"/>
    <w:rsid w:val="1789245C"/>
    <w:rsid w:val="17994C66"/>
    <w:rsid w:val="179E5F3A"/>
    <w:rsid w:val="17A50911"/>
    <w:rsid w:val="17A62F40"/>
    <w:rsid w:val="17BC3F9E"/>
    <w:rsid w:val="17C36FE9"/>
    <w:rsid w:val="17EF6030"/>
    <w:rsid w:val="180A2E6A"/>
    <w:rsid w:val="181A30AD"/>
    <w:rsid w:val="182B52BA"/>
    <w:rsid w:val="183124A5"/>
    <w:rsid w:val="1835627A"/>
    <w:rsid w:val="18376899"/>
    <w:rsid w:val="183C317B"/>
    <w:rsid w:val="183E57A4"/>
    <w:rsid w:val="18426433"/>
    <w:rsid w:val="187A665E"/>
    <w:rsid w:val="187C210F"/>
    <w:rsid w:val="188F46B1"/>
    <w:rsid w:val="188F6EFF"/>
    <w:rsid w:val="18A14670"/>
    <w:rsid w:val="18AB1F57"/>
    <w:rsid w:val="18BF5A03"/>
    <w:rsid w:val="18DA6CE0"/>
    <w:rsid w:val="18E95311"/>
    <w:rsid w:val="190E2D54"/>
    <w:rsid w:val="19263CD4"/>
    <w:rsid w:val="19393A07"/>
    <w:rsid w:val="193957B5"/>
    <w:rsid w:val="19397563"/>
    <w:rsid w:val="193B694A"/>
    <w:rsid w:val="197E141A"/>
    <w:rsid w:val="19891B44"/>
    <w:rsid w:val="198C1D89"/>
    <w:rsid w:val="19BF7295"/>
    <w:rsid w:val="19C92FDD"/>
    <w:rsid w:val="19E37FA1"/>
    <w:rsid w:val="19EF40C6"/>
    <w:rsid w:val="19F33BB6"/>
    <w:rsid w:val="1A004525"/>
    <w:rsid w:val="1A1A3838"/>
    <w:rsid w:val="1A2A15A2"/>
    <w:rsid w:val="1A3760C8"/>
    <w:rsid w:val="1A586B42"/>
    <w:rsid w:val="1A642D06"/>
    <w:rsid w:val="1A6D1DE9"/>
    <w:rsid w:val="1A6F016E"/>
    <w:rsid w:val="1A7F5449"/>
    <w:rsid w:val="1A926B26"/>
    <w:rsid w:val="1AAB623F"/>
    <w:rsid w:val="1AB33345"/>
    <w:rsid w:val="1ADA4D76"/>
    <w:rsid w:val="1AE300CE"/>
    <w:rsid w:val="1AEA2BE5"/>
    <w:rsid w:val="1AEA73B9"/>
    <w:rsid w:val="1AEE342A"/>
    <w:rsid w:val="1AFE6CB6"/>
    <w:rsid w:val="1B0462E3"/>
    <w:rsid w:val="1B0B3181"/>
    <w:rsid w:val="1B143435"/>
    <w:rsid w:val="1B2E0C1E"/>
    <w:rsid w:val="1B430B6D"/>
    <w:rsid w:val="1B593EEC"/>
    <w:rsid w:val="1B5E1503"/>
    <w:rsid w:val="1B666609"/>
    <w:rsid w:val="1B6F441F"/>
    <w:rsid w:val="1B6F54BE"/>
    <w:rsid w:val="1B7E2ED7"/>
    <w:rsid w:val="1B8A054A"/>
    <w:rsid w:val="1BCC2910"/>
    <w:rsid w:val="1BE952E4"/>
    <w:rsid w:val="1BEA2D97"/>
    <w:rsid w:val="1BEC2FB3"/>
    <w:rsid w:val="1C220782"/>
    <w:rsid w:val="1C295FB5"/>
    <w:rsid w:val="1C2A3ADB"/>
    <w:rsid w:val="1C2C7853"/>
    <w:rsid w:val="1C2F2E9F"/>
    <w:rsid w:val="1C3C502D"/>
    <w:rsid w:val="1C502276"/>
    <w:rsid w:val="1C550B58"/>
    <w:rsid w:val="1C56667E"/>
    <w:rsid w:val="1C5C2AF3"/>
    <w:rsid w:val="1C6F246D"/>
    <w:rsid w:val="1C705992"/>
    <w:rsid w:val="1C730FDE"/>
    <w:rsid w:val="1C760CAC"/>
    <w:rsid w:val="1C7663AE"/>
    <w:rsid w:val="1C840E30"/>
    <w:rsid w:val="1C847E13"/>
    <w:rsid w:val="1C876837"/>
    <w:rsid w:val="1C8E7BC6"/>
    <w:rsid w:val="1C9871D4"/>
    <w:rsid w:val="1C9961A4"/>
    <w:rsid w:val="1C9B0EC5"/>
    <w:rsid w:val="1CA32066"/>
    <w:rsid w:val="1CB42B02"/>
    <w:rsid w:val="1CB6536F"/>
    <w:rsid w:val="1CB6711D"/>
    <w:rsid w:val="1CC63804"/>
    <w:rsid w:val="1CDB7F58"/>
    <w:rsid w:val="1CE56411"/>
    <w:rsid w:val="1CEC2B3E"/>
    <w:rsid w:val="1D063C00"/>
    <w:rsid w:val="1D077978"/>
    <w:rsid w:val="1D1522F2"/>
    <w:rsid w:val="1D23360C"/>
    <w:rsid w:val="1D317F46"/>
    <w:rsid w:val="1D3249F5"/>
    <w:rsid w:val="1D5038FF"/>
    <w:rsid w:val="1D8A2164"/>
    <w:rsid w:val="1D94745E"/>
    <w:rsid w:val="1D9E0B53"/>
    <w:rsid w:val="1DA358F3"/>
    <w:rsid w:val="1DA8010B"/>
    <w:rsid w:val="1DB70C3A"/>
    <w:rsid w:val="1DD62C34"/>
    <w:rsid w:val="1DE026A3"/>
    <w:rsid w:val="1DE877AA"/>
    <w:rsid w:val="1E140822"/>
    <w:rsid w:val="1E1A42FF"/>
    <w:rsid w:val="1E401394"/>
    <w:rsid w:val="1E983160"/>
    <w:rsid w:val="1E9F255E"/>
    <w:rsid w:val="1EAB5CA8"/>
    <w:rsid w:val="1ECA0C2F"/>
    <w:rsid w:val="1ECE074D"/>
    <w:rsid w:val="1EDA46D4"/>
    <w:rsid w:val="1F047D4E"/>
    <w:rsid w:val="1F066139"/>
    <w:rsid w:val="1F1A1BE5"/>
    <w:rsid w:val="1F26058A"/>
    <w:rsid w:val="1F2E743E"/>
    <w:rsid w:val="1F43738D"/>
    <w:rsid w:val="1F570A81"/>
    <w:rsid w:val="1F61233D"/>
    <w:rsid w:val="1F69491A"/>
    <w:rsid w:val="1FA34B99"/>
    <w:rsid w:val="1FA70967"/>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B3E66"/>
    <w:rsid w:val="201C373B"/>
    <w:rsid w:val="202111B2"/>
    <w:rsid w:val="203B1E13"/>
    <w:rsid w:val="2040567B"/>
    <w:rsid w:val="204D5FEA"/>
    <w:rsid w:val="20670E5A"/>
    <w:rsid w:val="20814A37"/>
    <w:rsid w:val="20970344"/>
    <w:rsid w:val="209C5541"/>
    <w:rsid w:val="20B61DE1"/>
    <w:rsid w:val="20B87907"/>
    <w:rsid w:val="20C067BC"/>
    <w:rsid w:val="20D73FFA"/>
    <w:rsid w:val="20DA5ACF"/>
    <w:rsid w:val="20FB47E7"/>
    <w:rsid w:val="210A2CE1"/>
    <w:rsid w:val="210F504D"/>
    <w:rsid w:val="21194443"/>
    <w:rsid w:val="211B39F2"/>
    <w:rsid w:val="213571AA"/>
    <w:rsid w:val="213836B0"/>
    <w:rsid w:val="213B4094"/>
    <w:rsid w:val="214E7D12"/>
    <w:rsid w:val="21690C01"/>
    <w:rsid w:val="21871C2A"/>
    <w:rsid w:val="21893052"/>
    <w:rsid w:val="21934DFE"/>
    <w:rsid w:val="219E4C0D"/>
    <w:rsid w:val="21BF4CC5"/>
    <w:rsid w:val="21DF2D22"/>
    <w:rsid w:val="21E0502A"/>
    <w:rsid w:val="21E0526C"/>
    <w:rsid w:val="21EE1107"/>
    <w:rsid w:val="22016465"/>
    <w:rsid w:val="22237002"/>
    <w:rsid w:val="222D1C2F"/>
    <w:rsid w:val="22317902"/>
    <w:rsid w:val="22397841"/>
    <w:rsid w:val="224156DA"/>
    <w:rsid w:val="22456F79"/>
    <w:rsid w:val="224C47AB"/>
    <w:rsid w:val="224C6559"/>
    <w:rsid w:val="225243A2"/>
    <w:rsid w:val="22695B2D"/>
    <w:rsid w:val="226D64CF"/>
    <w:rsid w:val="227B0BEC"/>
    <w:rsid w:val="22937CE6"/>
    <w:rsid w:val="22B67F62"/>
    <w:rsid w:val="22B81E40"/>
    <w:rsid w:val="22CF093F"/>
    <w:rsid w:val="22CF2CE6"/>
    <w:rsid w:val="22D57132"/>
    <w:rsid w:val="22D64BAD"/>
    <w:rsid w:val="22F20137"/>
    <w:rsid w:val="22FD42C4"/>
    <w:rsid w:val="2309444A"/>
    <w:rsid w:val="23476D20"/>
    <w:rsid w:val="23503E27"/>
    <w:rsid w:val="23517B9F"/>
    <w:rsid w:val="235F71C6"/>
    <w:rsid w:val="23694EE9"/>
    <w:rsid w:val="23713D9D"/>
    <w:rsid w:val="237750EB"/>
    <w:rsid w:val="237815D0"/>
    <w:rsid w:val="238179BB"/>
    <w:rsid w:val="23A26D7D"/>
    <w:rsid w:val="23BA5744"/>
    <w:rsid w:val="23DA7B95"/>
    <w:rsid w:val="23F01166"/>
    <w:rsid w:val="23F24EDE"/>
    <w:rsid w:val="23F82635"/>
    <w:rsid w:val="240B5FA0"/>
    <w:rsid w:val="241F37F9"/>
    <w:rsid w:val="245222E6"/>
    <w:rsid w:val="24613C0B"/>
    <w:rsid w:val="24651B54"/>
    <w:rsid w:val="246F453D"/>
    <w:rsid w:val="24711BFF"/>
    <w:rsid w:val="248144B4"/>
    <w:rsid w:val="2490190B"/>
    <w:rsid w:val="24904744"/>
    <w:rsid w:val="2497134E"/>
    <w:rsid w:val="24B86FB5"/>
    <w:rsid w:val="24BB79C6"/>
    <w:rsid w:val="24E0742D"/>
    <w:rsid w:val="24F212CA"/>
    <w:rsid w:val="25096983"/>
    <w:rsid w:val="250C0222"/>
    <w:rsid w:val="251315B0"/>
    <w:rsid w:val="251956B6"/>
    <w:rsid w:val="25205A7B"/>
    <w:rsid w:val="25283888"/>
    <w:rsid w:val="25323DC4"/>
    <w:rsid w:val="25324D05"/>
    <w:rsid w:val="253B28B5"/>
    <w:rsid w:val="25472113"/>
    <w:rsid w:val="254C6870"/>
    <w:rsid w:val="25643BBA"/>
    <w:rsid w:val="257D4C7B"/>
    <w:rsid w:val="25853B30"/>
    <w:rsid w:val="25873D4C"/>
    <w:rsid w:val="25A3141D"/>
    <w:rsid w:val="25B71060"/>
    <w:rsid w:val="25BF3AFF"/>
    <w:rsid w:val="25D8182D"/>
    <w:rsid w:val="25D953CB"/>
    <w:rsid w:val="25E42F4C"/>
    <w:rsid w:val="26145D3D"/>
    <w:rsid w:val="261D32FC"/>
    <w:rsid w:val="262275D1"/>
    <w:rsid w:val="265754CC"/>
    <w:rsid w:val="26583EBF"/>
    <w:rsid w:val="26591245"/>
    <w:rsid w:val="266A530B"/>
    <w:rsid w:val="2685488E"/>
    <w:rsid w:val="268F2EB8"/>
    <w:rsid w:val="268F3365"/>
    <w:rsid w:val="269C3827"/>
    <w:rsid w:val="269E134D"/>
    <w:rsid w:val="269E30FB"/>
    <w:rsid w:val="26AC3A6A"/>
    <w:rsid w:val="26C708A4"/>
    <w:rsid w:val="26C94690"/>
    <w:rsid w:val="26E2748C"/>
    <w:rsid w:val="26EA6341"/>
    <w:rsid w:val="27104DCE"/>
    <w:rsid w:val="27196C26"/>
    <w:rsid w:val="272827F6"/>
    <w:rsid w:val="274912B9"/>
    <w:rsid w:val="27541A0C"/>
    <w:rsid w:val="27547C5E"/>
    <w:rsid w:val="275639D6"/>
    <w:rsid w:val="276C31F9"/>
    <w:rsid w:val="276E6F72"/>
    <w:rsid w:val="276F4A98"/>
    <w:rsid w:val="279A1B15"/>
    <w:rsid w:val="27B84C56"/>
    <w:rsid w:val="27BA1634"/>
    <w:rsid w:val="27BD3A55"/>
    <w:rsid w:val="27D03788"/>
    <w:rsid w:val="27D112AE"/>
    <w:rsid w:val="28497097"/>
    <w:rsid w:val="28575C58"/>
    <w:rsid w:val="287265EE"/>
    <w:rsid w:val="2875030A"/>
    <w:rsid w:val="287F4DA2"/>
    <w:rsid w:val="28C8445F"/>
    <w:rsid w:val="28D01566"/>
    <w:rsid w:val="28D450EA"/>
    <w:rsid w:val="28D5055F"/>
    <w:rsid w:val="28ED2B95"/>
    <w:rsid w:val="28FC39E6"/>
    <w:rsid w:val="29080D00"/>
    <w:rsid w:val="29162311"/>
    <w:rsid w:val="291C5438"/>
    <w:rsid w:val="292A6EC8"/>
    <w:rsid w:val="29314DC9"/>
    <w:rsid w:val="297457A6"/>
    <w:rsid w:val="29895F83"/>
    <w:rsid w:val="29982084"/>
    <w:rsid w:val="2A0C5265"/>
    <w:rsid w:val="2A157B78"/>
    <w:rsid w:val="2A1831C5"/>
    <w:rsid w:val="2A344869"/>
    <w:rsid w:val="2A3B5C65"/>
    <w:rsid w:val="2A471949"/>
    <w:rsid w:val="2A581813"/>
    <w:rsid w:val="2A64640A"/>
    <w:rsid w:val="2A7D74CC"/>
    <w:rsid w:val="2A930039"/>
    <w:rsid w:val="2AA841F2"/>
    <w:rsid w:val="2AD64354"/>
    <w:rsid w:val="2AE337D3"/>
    <w:rsid w:val="2AF43C32"/>
    <w:rsid w:val="2B0A5203"/>
    <w:rsid w:val="2B2E2991"/>
    <w:rsid w:val="2B342280"/>
    <w:rsid w:val="2B515F65"/>
    <w:rsid w:val="2B603075"/>
    <w:rsid w:val="2B681190"/>
    <w:rsid w:val="2BA967CA"/>
    <w:rsid w:val="2BBF5FEE"/>
    <w:rsid w:val="2BC8116D"/>
    <w:rsid w:val="2BCA04EF"/>
    <w:rsid w:val="2BCE6231"/>
    <w:rsid w:val="2BD7408F"/>
    <w:rsid w:val="2BDD0222"/>
    <w:rsid w:val="2BFD08C4"/>
    <w:rsid w:val="2BFD4C22"/>
    <w:rsid w:val="2C083572"/>
    <w:rsid w:val="2C0E487F"/>
    <w:rsid w:val="2C0F5A5F"/>
    <w:rsid w:val="2C5030EA"/>
    <w:rsid w:val="2C725028"/>
    <w:rsid w:val="2C7C5C8D"/>
    <w:rsid w:val="2C934D84"/>
    <w:rsid w:val="2CB216AE"/>
    <w:rsid w:val="2CB843AF"/>
    <w:rsid w:val="2CC413E2"/>
    <w:rsid w:val="2CC47634"/>
    <w:rsid w:val="2CC51EB1"/>
    <w:rsid w:val="2CC53664"/>
    <w:rsid w:val="2CCF6074"/>
    <w:rsid w:val="2CD31625"/>
    <w:rsid w:val="2CD47877"/>
    <w:rsid w:val="2CE028C6"/>
    <w:rsid w:val="2CEB2E12"/>
    <w:rsid w:val="2CF55646"/>
    <w:rsid w:val="2D012F66"/>
    <w:rsid w:val="2D057F88"/>
    <w:rsid w:val="2D2D342B"/>
    <w:rsid w:val="2D771923"/>
    <w:rsid w:val="2D776454"/>
    <w:rsid w:val="2D7B5F44"/>
    <w:rsid w:val="2D875411"/>
    <w:rsid w:val="2D990AC0"/>
    <w:rsid w:val="2D9B2143"/>
    <w:rsid w:val="2DA709E8"/>
    <w:rsid w:val="2DA84860"/>
    <w:rsid w:val="2DAF3E40"/>
    <w:rsid w:val="2DC51834"/>
    <w:rsid w:val="2DDD09AD"/>
    <w:rsid w:val="2DDD44E2"/>
    <w:rsid w:val="2DE81100"/>
    <w:rsid w:val="2DEC299E"/>
    <w:rsid w:val="2DFB5908"/>
    <w:rsid w:val="2E0065CE"/>
    <w:rsid w:val="2E0C1292"/>
    <w:rsid w:val="2E312AA7"/>
    <w:rsid w:val="2E426A62"/>
    <w:rsid w:val="2E4B1DBB"/>
    <w:rsid w:val="2E556795"/>
    <w:rsid w:val="2E7330DD"/>
    <w:rsid w:val="2E746294"/>
    <w:rsid w:val="2EA80FBB"/>
    <w:rsid w:val="2EBF315F"/>
    <w:rsid w:val="2EC07B78"/>
    <w:rsid w:val="2EC90F31"/>
    <w:rsid w:val="2EC93975"/>
    <w:rsid w:val="2ED0406E"/>
    <w:rsid w:val="2EF22236"/>
    <w:rsid w:val="2EF91480"/>
    <w:rsid w:val="2F01498D"/>
    <w:rsid w:val="2F176A2A"/>
    <w:rsid w:val="2F1F6DA3"/>
    <w:rsid w:val="2F261EE0"/>
    <w:rsid w:val="2F3102C1"/>
    <w:rsid w:val="2F391C13"/>
    <w:rsid w:val="2F3D7961"/>
    <w:rsid w:val="2F45680A"/>
    <w:rsid w:val="2F4D3910"/>
    <w:rsid w:val="2F567050"/>
    <w:rsid w:val="2F666780"/>
    <w:rsid w:val="2F7075FF"/>
    <w:rsid w:val="2F8C1E45"/>
    <w:rsid w:val="2F9C21A2"/>
    <w:rsid w:val="2FA63021"/>
    <w:rsid w:val="2FAA2B11"/>
    <w:rsid w:val="2FD347CB"/>
    <w:rsid w:val="2FD7142C"/>
    <w:rsid w:val="2FF41FDE"/>
    <w:rsid w:val="2FF43D8C"/>
    <w:rsid w:val="2FFB511A"/>
    <w:rsid w:val="300F0BC6"/>
    <w:rsid w:val="301218E6"/>
    <w:rsid w:val="30136908"/>
    <w:rsid w:val="30151978"/>
    <w:rsid w:val="30155912"/>
    <w:rsid w:val="30240B15"/>
    <w:rsid w:val="302503E9"/>
    <w:rsid w:val="306B6B6C"/>
    <w:rsid w:val="3070283C"/>
    <w:rsid w:val="307D6477"/>
    <w:rsid w:val="307F5D4C"/>
    <w:rsid w:val="309A4933"/>
    <w:rsid w:val="30A12166"/>
    <w:rsid w:val="30AE6631"/>
    <w:rsid w:val="30C9346B"/>
    <w:rsid w:val="30E738F1"/>
    <w:rsid w:val="30F32296"/>
    <w:rsid w:val="30F84CE1"/>
    <w:rsid w:val="30FD0529"/>
    <w:rsid w:val="30FF50DE"/>
    <w:rsid w:val="31072960"/>
    <w:rsid w:val="31091AB9"/>
    <w:rsid w:val="3115220C"/>
    <w:rsid w:val="31197F4E"/>
    <w:rsid w:val="311D7312"/>
    <w:rsid w:val="313E79B5"/>
    <w:rsid w:val="314174A5"/>
    <w:rsid w:val="314D409C"/>
    <w:rsid w:val="3163417D"/>
    <w:rsid w:val="318A49A8"/>
    <w:rsid w:val="31C33917"/>
    <w:rsid w:val="31C51E84"/>
    <w:rsid w:val="31D644AB"/>
    <w:rsid w:val="31E242A6"/>
    <w:rsid w:val="31FB326A"/>
    <w:rsid w:val="3216448E"/>
    <w:rsid w:val="322A618B"/>
    <w:rsid w:val="322C0915"/>
    <w:rsid w:val="323E5B9E"/>
    <w:rsid w:val="324E00CB"/>
    <w:rsid w:val="32554509"/>
    <w:rsid w:val="326951F3"/>
    <w:rsid w:val="32A24300"/>
    <w:rsid w:val="32A35833"/>
    <w:rsid w:val="32A61AD2"/>
    <w:rsid w:val="32AE46C6"/>
    <w:rsid w:val="32CC0FF0"/>
    <w:rsid w:val="32CD7638"/>
    <w:rsid w:val="32D3678F"/>
    <w:rsid w:val="32DD144F"/>
    <w:rsid w:val="32DF6F75"/>
    <w:rsid w:val="32E40B1B"/>
    <w:rsid w:val="32E92FB9"/>
    <w:rsid w:val="32FC18D5"/>
    <w:rsid w:val="33150101"/>
    <w:rsid w:val="331704BD"/>
    <w:rsid w:val="3317670F"/>
    <w:rsid w:val="334E2397"/>
    <w:rsid w:val="33526CEF"/>
    <w:rsid w:val="33631954"/>
    <w:rsid w:val="338418CB"/>
    <w:rsid w:val="338C5702"/>
    <w:rsid w:val="33AD30C5"/>
    <w:rsid w:val="33BC1065"/>
    <w:rsid w:val="33C64D45"/>
    <w:rsid w:val="33CB12A8"/>
    <w:rsid w:val="33EC0EFE"/>
    <w:rsid w:val="33F64119"/>
    <w:rsid w:val="33F8661C"/>
    <w:rsid w:val="34003BD4"/>
    <w:rsid w:val="340604EA"/>
    <w:rsid w:val="341F3A1B"/>
    <w:rsid w:val="342015F4"/>
    <w:rsid w:val="3454129D"/>
    <w:rsid w:val="34561DF7"/>
    <w:rsid w:val="345968B4"/>
    <w:rsid w:val="348025C6"/>
    <w:rsid w:val="3492069F"/>
    <w:rsid w:val="34945433"/>
    <w:rsid w:val="349F4C0E"/>
    <w:rsid w:val="34A2025B"/>
    <w:rsid w:val="34A90E05"/>
    <w:rsid w:val="34C53F49"/>
    <w:rsid w:val="34E940DB"/>
    <w:rsid w:val="34F36F75"/>
    <w:rsid w:val="350D601C"/>
    <w:rsid w:val="35204032"/>
    <w:rsid w:val="35233101"/>
    <w:rsid w:val="352A25E8"/>
    <w:rsid w:val="35497CBA"/>
    <w:rsid w:val="354B627A"/>
    <w:rsid w:val="355A1D8A"/>
    <w:rsid w:val="35602E42"/>
    <w:rsid w:val="356814A4"/>
    <w:rsid w:val="356909C2"/>
    <w:rsid w:val="35773071"/>
    <w:rsid w:val="357C0AAC"/>
    <w:rsid w:val="357C6CFE"/>
    <w:rsid w:val="35885E60"/>
    <w:rsid w:val="358B2E3D"/>
    <w:rsid w:val="358E3D56"/>
    <w:rsid w:val="35926DCC"/>
    <w:rsid w:val="35AB313F"/>
    <w:rsid w:val="35E93C67"/>
    <w:rsid w:val="35EA1EB9"/>
    <w:rsid w:val="35EB3E83"/>
    <w:rsid w:val="36015455"/>
    <w:rsid w:val="360311CD"/>
    <w:rsid w:val="3628478F"/>
    <w:rsid w:val="36435665"/>
    <w:rsid w:val="36441C39"/>
    <w:rsid w:val="3647730B"/>
    <w:rsid w:val="367C49A1"/>
    <w:rsid w:val="369C0E0A"/>
    <w:rsid w:val="36B576F9"/>
    <w:rsid w:val="36C26992"/>
    <w:rsid w:val="36D52B69"/>
    <w:rsid w:val="36D55C7A"/>
    <w:rsid w:val="36E6103A"/>
    <w:rsid w:val="36EF34FF"/>
    <w:rsid w:val="3710594F"/>
    <w:rsid w:val="37364480"/>
    <w:rsid w:val="374B6987"/>
    <w:rsid w:val="37545800"/>
    <w:rsid w:val="375D66BB"/>
    <w:rsid w:val="37677539"/>
    <w:rsid w:val="376B702A"/>
    <w:rsid w:val="376E2791"/>
    <w:rsid w:val="379A346B"/>
    <w:rsid w:val="37C26C87"/>
    <w:rsid w:val="37D526F5"/>
    <w:rsid w:val="37E1553E"/>
    <w:rsid w:val="38007D90"/>
    <w:rsid w:val="3801529B"/>
    <w:rsid w:val="380F3E59"/>
    <w:rsid w:val="381474C6"/>
    <w:rsid w:val="38183E1B"/>
    <w:rsid w:val="38207E14"/>
    <w:rsid w:val="38295077"/>
    <w:rsid w:val="382B6D50"/>
    <w:rsid w:val="382F0057"/>
    <w:rsid w:val="383C5781"/>
    <w:rsid w:val="384D08D4"/>
    <w:rsid w:val="38613F89"/>
    <w:rsid w:val="388D1222"/>
    <w:rsid w:val="3895243A"/>
    <w:rsid w:val="38A10829"/>
    <w:rsid w:val="38B00000"/>
    <w:rsid w:val="38BB18EB"/>
    <w:rsid w:val="38C2047C"/>
    <w:rsid w:val="38D37AC3"/>
    <w:rsid w:val="38E30E42"/>
    <w:rsid w:val="38F66DC7"/>
    <w:rsid w:val="391060DB"/>
    <w:rsid w:val="39287D16"/>
    <w:rsid w:val="392C04C3"/>
    <w:rsid w:val="39317DFF"/>
    <w:rsid w:val="39377035"/>
    <w:rsid w:val="39706B79"/>
    <w:rsid w:val="39904B26"/>
    <w:rsid w:val="39A409AB"/>
    <w:rsid w:val="39AB195F"/>
    <w:rsid w:val="39D35282"/>
    <w:rsid w:val="39E5380A"/>
    <w:rsid w:val="3A1439A9"/>
    <w:rsid w:val="3A357A7E"/>
    <w:rsid w:val="3A5E4C24"/>
    <w:rsid w:val="3A6B10EF"/>
    <w:rsid w:val="3A775214"/>
    <w:rsid w:val="3A801F6F"/>
    <w:rsid w:val="3A8F494D"/>
    <w:rsid w:val="3AAA7E69"/>
    <w:rsid w:val="3AAD7959"/>
    <w:rsid w:val="3ABE56C2"/>
    <w:rsid w:val="3ACA050B"/>
    <w:rsid w:val="3ACF5B21"/>
    <w:rsid w:val="3AD06868"/>
    <w:rsid w:val="3AD82705"/>
    <w:rsid w:val="3AEB650A"/>
    <w:rsid w:val="3AF5356F"/>
    <w:rsid w:val="3AF61300"/>
    <w:rsid w:val="3AF9494C"/>
    <w:rsid w:val="3B22691D"/>
    <w:rsid w:val="3B3460C0"/>
    <w:rsid w:val="3B3616FD"/>
    <w:rsid w:val="3B3779FE"/>
    <w:rsid w:val="3B6076B2"/>
    <w:rsid w:val="3B691AD2"/>
    <w:rsid w:val="3B6A75F8"/>
    <w:rsid w:val="3B755158"/>
    <w:rsid w:val="3B7A3CDF"/>
    <w:rsid w:val="3B837F8F"/>
    <w:rsid w:val="3B842468"/>
    <w:rsid w:val="3B862684"/>
    <w:rsid w:val="3B885799"/>
    <w:rsid w:val="3B892174"/>
    <w:rsid w:val="3BA90120"/>
    <w:rsid w:val="3BCE402B"/>
    <w:rsid w:val="3BD31B4C"/>
    <w:rsid w:val="3BD56240"/>
    <w:rsid w:val="3BE23632"/>
    <w:rsid w:val="3BEB0739"/>
    <w:rsid w:val="3BF5780A"/>
    <w:rsid w:val="3BFF2436"/>
    <w:rsid w:val="3C045336"/>
    <w:rsid w:val="3C0E4427"/>
    <w:rsid w:val="3C241E9D"/>
    <w:rsid w:val="3C485465"/>
    <w:rsid w:val="3C4E5B21"/>
    <w:rsid w:val="3C5203FE"/>
    <w:rsid w:val="3C540EF7"/>
    <w:rsid w:val="3C5462DE"/>
    <w:rsid w:val="3C7060DA"/>
    <w:rsid w:val="3C8B7826"/>
    <w:rsid w:val="3C917BA0"/>
    <w:rsid w:val="3CB46D7D"/>
    <w:rsid w:val="3CBA010B"/>
    <w:rsid w:val="3CC01BC6"/>
    <w:rsid w:val="3CC11038"/>
    <w:rsid w:val="3CD236A7"/>
    <w:rsid w:val="3CE31550"/>
    <w:rsid w:val="3CE32F55"/>
    <w:rsid w:val="3D001FC2"/>
    <w:rsid w:val="3D255ECD"/>
    <w:rsid w:val="3D2F0AF9"/>
    <w:rsid w:val="3D346474"/>
    <w:rsid w:val="3D3B2FFA"/>
    <w:rsid w:val="3D566086"/>
    <w:rsid w:val="3D695EAF"/>
    <w:rsid w:val="3D7824A0"/>
    <w:rsid w:val="3D785FFC"/>
    <w:rsid w:val="3D860CE5"/>
    <w:rsid w:val="3D8F7BCA"/>
    <w:rsid w:val="3D932E36"/>
    <w:rsid w:val="3DA60DBB"/>
    <w:rsid w:val="3DAD20DD"/>
    <w:rsid w:val="3DB72FC9"/>
    <w:rsid w:val="3DB8289D"/>
    <w:rsid w:val="3DB86D41"/>
    <w:rsid w:val="3DC54FBA"/>
    <w:rsid w:val="3DD142BB"/>
    <w:rsid w:val="3DEB0EC4"/>
    <w:rsid w:val="3DF02037"/>
    <w:rsid w:val="3DF17B5D"/>
    <w:rsid w:val="3DF638A0"/>
    <w:rsid w:val="3DFC418E"/>
    <w:rsid w:val="3DFD6502"/>
    <w:rsid w:val="3E0031D2"/>
    <w:rsid w:val="3E0C1200"/>
    <w:rsid w:val="3E167563"/>
    <w:rsid w:val="3E2D5039"/>
    <w:rsid w:val="3E446852"/>
    <w:rsid w:val="3E4F69BB"/>
    <w:rsid w:val="3E573E64"/>
    <w:rsid w:val="3E5A656F"/>
    <w:rsid w:val="3E5C76CC"/>
    <w:rsid w:val="3E647289"/>
    <w:rsid w:val="3E7964D0"/>
    <w:rsid w:val="3E7D36F7"/>
    <w:rsid w:val="3E810EE1"/>
    <w:rsid w:val="3E891DA4"/>
    <w:rsid w:val="3E933797"/>
    <w:rsid w:val="3E976956"/>
    <w:rsid w:val="3EA52668"/>
    <w:rsid w:val="3EBD0EE2"/>
    <w:rsid w:val="3EF94F1B"/>
    <w:rsid w:val="3EFE0783"/>
    <w:rsid w:val="3EFE4C27"/>
    <w:rsid w:val="3F125C8C"/>
    <w:rsid w:val="3F141D55"/>
    <w:rsid w:val="3F1735F3"/>
    <w:rsid w:val="3F183D8F"/>
    <w:rsid w:val="3F222FE0"/>
    <w:rsid w:val="3F312907"/>
    <w:rsid w:val="3F3441A5"/>
    <w:rsid w:val="3F3D5750"/>
    <w:rsid w:val="3F4B6BF0"/>
    <w:rsid w:val="3F623B08"/>
    <w:rsid w:val="3F682C26"/>
    <w:rsid w:val="3F6D16D7"/>
    <w:rsid w:val="3F747261"/>
    <w:rsid w:val="3F8769CB"/>
    <w:rsid w:val="3F8F3AD1"/>
    <w:rsid w:val="3F8F7490"/>
    <w:rsid w:val="3F94000D"/>
    <w:rsid w:val="3F9B4224"/>
    <w:rsid w:val="3FA330D9"/>
    <w:rsid w:val="3FAF7CCF"/>
    <w:rsid w:val="3FC27A03"/>
    <w:rsid w:val="3FC96FE3"/>
    <w:rsid w:val="3FE32A90"/>
    <w:rsid w:val="3FE43E1D"/>
    <w:rsid w:val="3FE47979"/>
    <w:rsid w:val="3FE8319B"/>
    <w:rsid w:val="3FFA719D"/>
    <w:rsid w:val="4004305D"/>
    <w:rsid w:val="400870B8"/>
    <w:rsid w:val="40155D85"/>
    <w:rsid w:val="401D10DD"/>
    <w:rsid w:val="40442B0E"/>
    <w:rsid w:val="406D3E12"/>
    <w:rsid w:val="40752AFC"/>
    <w:rsid w:val="408353E4"/>
    <w:rsid w:val="40890521"/>
    <w:rsid w:val="40C003E6"/>
    <w:rsid w:val="40CE2673"/>
    <w:rsid w:val="40DA6FCE"/>
    <w:rsid w:val="40EE65D6"/>
    <w:rsid w:val="40EF750C"/>
    <w:rsid w:val="40FB7670"/>
    <w:rsid w:val="410F2FC5"/>
    <w:rsid w:val="410F45E7"/>
    <w:rsid w:val="4134048C"/>
    <w:rsid w:val="41362456"/>
    <w:rsid w:val="4158794C"/>
    <w:rsid w:val="416F7716"/>
    <w:rsid w:val="419B49AF"/>
    <w:rsid w:val="41A73354"/>
    <w:rsid w:val="41BD2B78"/>
    <w:rsid w:val="41C23CEA"/>
    <w:rsid w:val="41C31810"/>
    <w:rsid w:val="41C757A4"/>
    <w:rsid w:val="41CE376B"/>
    <w:rsid w:val="41D41C6F"/>
    <w:rsid w:val="41DD1214"/>
    <w:rsid w:val="41E974C9"/>
    <w:rsid w:val="41F84884"/>
    <w:rsid w:val="42074D81"/>
    <w:rsid w:val="42162288"/>
    <w:rsid w:val="421A0B83"/>
    <w:rsid w:val="42277FF1"/>
    <w:rsid w:val="422C3859"/>
    <w:rsid w:val="424C7A58"/>
    <w:rsid w:val="42586B9E"/>
    <w:rsid w:val="425A03C6"/>
    <w:rsid w:val="42755843"/>
    <w:rsid w:val="428B1AA5"/>
    <w:rsid w:val="428F200F"/>
    <w:rsid w:val="429531AD"/>
    <w:rsid w:val="429D02B3"/>
    <w:rsid w:val="429F1251"/>
    <w:rsid w:val="42A33B1C"/>
    <w:rsid w:val="42AC04F6"/>
    <w:rsid w:val="42F223AD"/>
    <w:rsid w:val="42F36125"/>
    <w:rsid w:val="42F62490"/>
    <w:rsid w:val="43000978"/>
    <w:rsid w:val="43004B7A"/>
    <w:rsid w:val="43012E27"/>
    <w:rsid w:val="43094BE2"/>
    <w:rsid w:val="430F539D"/>
    <w:rsid w:val="43160791"/>
    <w:rsid w:val="43212C92"/>
    <w:rsid w:val="432D7889"/>
    <w:rsid w:val="432F3601"/>
    <w:rsid w:val="43374264"/>
    <w:rsid w:val="43394480"/>
    <w:rsid w:val="433E2020"/>
    <w:rsid w:val="43501FEC"/>
    <w:rsid w:val="43574906"/>
    <w:rsid w:val="435E5C94"/>
    <w:rsid w:val="435E718F"/>
    <w:rsid w:val="436A63E7"/>
    <w:rsid w:val="438A480E"/>
    <w:rsid w:val="43972F54"/>
    <w:rsid w:val="43994193"/>
    <w:rsid w:val="439F6C52"/>
    <w:rsid w:val="43BC14A4"/>
    <w:rsid w:val="43CC0E50"/>
    <w:rsid w:val="43D16466"/>
    <w:rsid w:val="43F108B7"/>
    <w:rsid w:val="44112D07"/>
    <w:rsid w:val="441445A5"/>
    <w:rsid w:val="4416031D"/>
    <w:rsid w:val="44222F08"/>
    <w:rsid w:val="442514B7"/>
    <w:rsid w:val="443A0129"/>
    <w:rsid w:val="445B21D4"/>
    <w:rsid w:val="447E126A"/>
    <w:rsid w:val="448C3CC5"/>
    <w:rsid w:val="448C6831"/>
    <w:rsid w:val="449F47B6"/>
    <w:rsid w:val="44A0729C"/>
    <w:rsid w:val="44B24732"/>
    <w:rsid w:val="44BA4149"/>
    <w:rsid w:val="44BE2E8F"/>
    <w:rsid w:val="44CD4E80"/>
    <w:rsid w:val="44E81CBA"/>
    <w:rsid w:val="44ED3CA5"/>
    <w:rsid w:val="450308A1"/>
    <w:rsid w:val="45131232"/>
    <w:rsid w:val="452F12F5"/>
    <w:rsid w:val="453549B1"/>
    <w:rsid w:val="453B44DF"/>
    <w:rsid w:val="45401AF6"/>
    <w:rsid w:val="4541044F"/>
    <w:rsid w:val="455C6204"/>
    <w:rsid w:val="457804D5"/>
    <w:rsid w:val="45A50CD5"/>
    <w:rsid w:val="45B7168C"/>
    <w:rsid w:val="45DA5C68"/>
    <w:rsid w:val="45EC3A2B"/>
    <w:rsid w:val="45EC7588"/>
    <w:rsid w:val="45F20916"/>
    <w:rsid w:val="45FD1795"/>
    <w:rsid w:val="46026DAB"/>
    <w:rsid w:val="460839C1"/>
    <w:rsid w:val="46222FA9"/>
    <w:rsid w:val="463236F2"/>
    <w:rsid w:val="463D7DE3"/>
    <w:rsid w:val="464473C4"/>
    <w:rsid w:val="464B69A4"/>
    <w:rsid w:val="464D2557"/>
    <w:rsid w:val="465A6BE7"/>
    <w:rsid w:val="465E764C"/>
    <w:rsid w:val="4694464B"/>
    <w:rsid w:val="46954ED9"/>
    <w:rsid w:val="46A61E2C"/>
    <w:rsid w:val="46AC6D17"/>
    <w:rsid w:val="46B32138"/>
    <w:rsid w:val="46D86BA4"/>
    <w:rsid w:val="46E255B6"/>
    <w:rsid w:val="46EB5A91"/>
    <w:rsid w:val="46F22218"/>
    <w:rsid w:val="46F72688"/>
    <w:rsid w:val="46FA3F26"/>
    <w:rsid w:val="46FB5788"/>
    <w:rsid w:val="471A0124"/>
    <w:rsid w:val="47412EAE"/>
    <w:rsid w:val="474358CD"/>
    <w:rsid w:val="47487D3C"/>
    <w:rsid w:val="474A6C5C"/>
    <w:rsid w:val="475A2C17"/>
    <w:rsid w:val="47A02FEE"/>
    <w:rsid w:val="47A80F1E"/>
    <w:rsid w:val="47A83982"/>
    <w:rsid w:val="47AB6999"/>
    <w:rsid w:val="47C66AE7"/>
    <w:rsid w:val="47D26C51"/>
    <w:rsid w:val="47DE55F6"/>
    <w:rsid w:val="47E04ECA"/>
    <w:rsid w:val="47E524E0"/>
    <w:rsid w:val="47EB3E1C"/>
    <w:rsid w:val="47F170D7"/>
    <w:rsid w:val="47F60E93"/>
    <w:rsid w:val="48027536"/>
    <w:rsid w:val="481E3AAF"/>
    <w:rsid w:val="48205C0E"/>
    <w:rsid w:val="483B47F6"/>
    <w:rsid w:val="483D056E"/>
    <w:rsid w:val="483D1893"/>
    <w:rsid w:val="484A61BF"/>
    <w:rsid w:val="485422E0"/>
    <w:rsid w:val="48547666"/>
    <w:rsid w:val="486C49B0"/>
    <w:rsid w:val="486F10A5"/>
    <w:rsid w:val="487565D5"/>
    <w:rsid w:val="48C26CC5"/>
    <w:rsid w:val="48C42A3E"/>
    <w:rsid w:val="48D03190"/>
    <w:rsid w:val="48D16F09"/>
    <w:rsid w:val="48E82D4D"/>
    <w:rsid w:val="48EF6B60"/>
    <w:rsid w:val="48F36E7F"/>
    <w:rsid w:val="48FD385A"/>
    <w:rsid w:val="49107A31"/>
    <w:rsid w:val="4921579A"/>
    <w:rsid w:val="493354CD"/>
    <w:rsid w:val="49341FF9"/>
    <w:rsid w:val="493556E9"/>
    <w:rsid w:val="49382AE4"/>
    <w:rsid w:val="493B1243"/>
    <w:rsid w:val="4941264A"/>
    <w:rsid w:val="49725FF6"/>
    <w:rsid w:val="49900B72"/>
    <w:rsid w:val="49A32653"/>
    <w:rsid w:val="49A5461D"/>
    <w:rsid w:val="49AF5A14"/>
    <w:rsid w:val="49B120BE"/>
    <w:rsid w:val="49B32E40"/>
    <w:rsid w:val="49D71785"/>
    <w:rsid w:val="49DD71DE"/>
    <w:rsid w:val="49DF1D43"/>
    <w:rsid w:val="49F04DE4"/>
    <w:rsid w:val="49F17862"/>
    <w:rsid w:val="49F64E79"/>
    <w:rsid w:val="4A0B01F8"/>
    <w:rsid w:val="4A1649E3"/>
    <w:rsid w:val="4A175E73"/>
    <w:rsid w:val="4A1C545E"/>
    <w:rsid w:val="4A216F8B"/>
    <w:rsid w:val="4A2512BA"/>
    <w:rsid w:val="4A2A4B22"/>
    <w:rsid w:val="4A532C46"/>
    <w:rsid w:val="4A560560"/>
    <w:rsid w:val="4A9201C5"/>
    <w:rsid w:val="4A946169"/>
    <w:rsid w:val="4A954A5F"/>
    <w:rsid w:val="4AAA7A11"/>
    <w:rsid w:val="4ADF3B5F"/>
    <w:rsid w:val="4ADF52C2"/>
    <w:rsid w:val="4AFB026D"/>
    <w:rsid w:val="4B1355B6"/>
    <w:rsid w:val="4B2253A3"/>
    <w:rsid w:val="4B275B29"/>
    <w:rsid w:val="4B2E23F0"/>
    <w:rsid w:val="4B3774F7"/>
    <w:rsid w:val="4B482FE8"/>
    <w:rsid w:val="4B5A712B"/>
    <w:rsid w:val="4B687A43"/>
    <w:rsid w:val="4B7676A2"/>
    <w:rsid w:val="4B7E2B72"/>
    <w:rsid w:val="4B8244EA"/>
    <w:rsid w:val="4B861CB1"/>
    <w:rsid w:val="4B897627"/>
    <w:rsid w:val="4BA1327D"/>
    <w:rsid w:val="4BA17066"/>
    <w:rsid w:val="4BBF1D08"/>
    <w:rsid w:val="4BDE5BC4"/>
    <w:rsid w:val="4BE225CF"/>
    <w:rsid w:val="4BE64A79"/>
    <w:rsid w:val="4BF076A6"/>
    <w:rsid w:val="4BF533FE"/>
    <w:rsid w:val="4C225B2C"/>
    <w:rsid w:val="4C464A47"/>
    <w:rsid w:val="4C4C1669"/>
    <w:rsid w:val="4C567E51"/>
    <w:rsid w:val="4C600CB1"/>
    <w:rsid w:val="4C667968"/>
    <w:rsid w:val="4C8C4B93"/>
    <w:rsid w:val="4C9E7102"/>
    <w:rsid w:val="4CA010CC"/>
    <w:rsid w:val="4CD73417"/>
    <w:rsid w:val="4CE64A52"/>
    <w:rsid w:val="4CEC6287"/>
    <w:rsid w:val="4D16313C"/>
    <w:rsid w:val="4D241CFD"/>
    <w:rsid w:val="4D317F76"/>
    <w:rsid w:val="4D5325E2"/>
    <w:rsid w:val="4D6E6AAF"/>
    <w:rsid w:val="4D7C761C"/>
    <w:rsid w:val="4D891B60"/>
    <w:rsid w:val="4D9401D6"/>
    <w:rsid w:val="4D9A3D6D"/>
    <w:rsid w:val="4DA33696"/>
    <w:rsid w:val="4DAE16EB"/>
    <w:rsid w:val="4DC5444C"/>
    <w:rsid w:val="4DD23507"/>
    <w:rsid w:val="4DD454D1"/>
    <w:rsid w:val="4DD73A22"/>
    <w:rsid w:val="4DD76D6F"/>
    <w:rsid w:val="4DDD3C5A"/>
    <w:rsid w:val="4DF0398D"/>
    <w:rsid w:val="4DF60C80"/>
    <w:rsid w:val="4DFE3442"/>
    <w:rsid w:val="4E125FF9"/>
    <w:rsid w:val="4E185B3D"/>
    <w:rsid w:val="4E323FA5"/>
    <w:rsid w:val="4E3F66C2"/>
    <w:rsid w:val="4E50224A"/>
    <w:rsid w:val="4E755A1A"/>
    <w:rsid w:val="4E775E5C"/>
    <w:rsid w:val="4E824F2D"/>
    <w:rsid w:val="4E9D50CF"/>
    <w:rsid w:val="4EA053B3"/>
    <w:rsid w:val="4EAB2916"/>
    <w:rsid w:val="4EBF4055"/>
    <w:rsid w:val="4EC05A55"/>
    <w:rsid w:val="4EC07803"/>
    <w:rsid w:val="4EC372F3"/>
    <w:rsid w:val="4ED908C5"/>
    <w:rsid w:val="4F053A58"/>
    <w:rsid w:val="4F1D4C56"/>
    <w:rsid w:val="4F231B40"/>
    <w:rsid w:val="4F2628C7"/>
    <w:rsid w:val="4F2F6737"/>
    <w:rsid w:val="4F471CD3"/>
    <w:rsid w:val="4F4A6F0B"/>
    <w:rsid w:val="4F5246ED"/>
    <w:rsid w:val="4F590025"/>
    <w:rsid w:val="4F692A95"/>
    <w:rsid w:val="4F7725B8"/>
    <w:rsid w:val="4F8922EB"/>
    <w:rsid w:val="4F907234"/>
    <w:rsid w:val="4F960564"/>
    <w:rsid w:val="4F980780"/>
    <w:rsid w:val="4F9D5D96"/>
    <w:rsid w:val="4FC652ED"/>
    <w:rsid w:val="4FCD6C7A"/>
    <w:rsid w:val="4FFC486B"/>
    <w:rsid w:val="4FFF2A2C"/>
    <w:rsid w:val="500951DA"/>
    <w:rsid w:val="501F435C"/>
    <w:rsid w:val="50200DCA"/>
    <w:rsid w:val="503264DF"/>
    <w:rsid w:val="503F0BFC"/>
    <w:rsid w:val="505F1651"/>
    <w:rsid w:val="506D5769"/>
    <w:rsid w:val="50897A4F"/>
    <w:rsid w:val="50924895"/>
    <w:rsid w:val="50A76ECD"/>
    <w:rsid w:val="50C01D3C"/>
    <w:rsid w:val="50D6330E"/>
    <w:rsid w:val="50DB14A2"/>
    <w:rsid w:val="50F73284"/>
    <w:rsid w:val="51087240"/>
    <w:rsid w:val="510C08F5"/>
    <w:rsid w:val="511E69A0"/>
    <w:rsid w:val="512236AA"/>
    <w:rsid w:val="512E185C"/>
    <w:rsid w:val="512F2A1E"/>
    <w:rsid w:val="51375377"/>
    <w:rsid w:val="51475FBA"/>
    <w:rsid w:val="51552C9C"/>
    <w:rsid w:val="5179348D"/>
    <w:rsid w:val="517A638F"/>
    <w:rsid w:val="51AC22C1"/>
    <w:rsid w:val="51AF590D"/>
    <w:rsid w:val="51D04201"/>
    <w:rsid w:val="51EA3CB4"/>
    <w:rsid w:val="52025B23"/>
    <w:rsid w:val="52027454"/>
    <w:rsid w:val="520B6FE7"/>
    <w:rsid w:val="5224663F"/>
    <w:rsid w:val="523A5B1F"/>
    <w:rsid w:val="52552958"/>
    <w:rsid w:val="52687391"/>
    <w:rsid w:val="52792ECE"/>
    <w:rsid w:val="527E5B61"/>
    <w:rsid w:val="528A2602"/>
    <w:rsid w:val="52976ACD"/>
    <w:rsid w:val="52EB11E0"/>
    <w:rsid w:val="53086608"/>
    <w:rsid w:val="53526EAE"/>
    <w:rsid w:val="53536310"/>
    <w:rsid w:val="536912CC"/>
    <w:rsid w:val="536C09D1"/>
    <w:rsid w:val="536F5815"/>
    <w:rsid w:val="53871B01"/>
    <w:rsid w:val="53963CFA"/>
    <w:rsid w:val="53B228D0"/>
    <w:rsid w:val="53E1679D"/>
    <w:rsid w:val="540C0A08"/>
    <w:rsid w:val="54382383"/>
    <w:rsid w:val="543B5442"/>
    <w:rsid w:val="544D1B39"/>
    <w:rsid w:val="544F3B03"/>
    <w:rsid w:val="54684BC5"/>
    <w:rsid w:val="54751090"/>
    <w:rsid w:val="547A0454"/>
    <w:rsid w:val="54A93FE9"/>
    <w:rsid w:val="54B716A8"/>
    <w:rsid w:val="54BB7713"/>
    <w:rsid w:val="54CD4A28"/>
    <w:rsid w:val="54DA7145"/>
    <w:rsid w:val="54DC69F7"/>
    <w:rsid w:val="54E12D87"/>
    <w:rsid w:val="54EB4C35"/>
    <w:rsid w:val="54F03763"/>
    <w:rsid w:val="55055F70"/>
    <w:rsid w:val="55124B31"/>
    <w:rsid w:val="551A02CC"/>
    <w:rsid w:val="551E34D6"/>
    <w:rsid w:val="552B174F"/>
    <w:rsid w:val="552D4350"/>
    <w:rsid w:val="55521AF8"/>
    <w:rsid w:val="555B2034"/>
    <w:rsid w:val="555D3FFE"/>
    <w:rsid w:val="556829A3"/>
    <w:rsid w:val="556E620B"/>
    <w:rsid w:val="557A3281"/>
    <w:rsid w:val="558D41B7"/>
    <w:rsid w:val="55B139E6"/>
    <w:rsid w:val="55CE0A58"/>
    <w:rsid w:val="55CE6156"/>
    <w:rsid w:val="55D50038"/>
    <w:rsid w:val="55E32A1C"/>
    <w:rsid w:val="55FE011D"/>
    <w:rsid w:val="561603B2"/>
    <w:rsid w:val="561641AD"/>
    <w:rsid w:val="561F5757"/>
    <w:rsid w:val="56290384"/>
    <w:rsid w:val="563F1955"/>
    <w:rsid w:val="56464A92"/>
    <w:rsid w:val="564B20A8"/>
    <w:rsid w:val="565753CA"/>
    <w:rsid w:val="567C24C2"/>
    <w:rsid w:val="56AB0D99"/>
    <w:rsid w:val="56B0015D"/>
    <w:rsid w:val="56B57E6A"/>
    <w:rsid w:val="56C360E3"/>
    <w:rsid w:val="56C85EF8"/>
    <w:rsid w:val="56CD6F61"/>
    <w:rsid w:val="56D96AA1"/>
    <w:rsid w:val="56E60023"/>
    <w:rsid w:val="570341F8"/>
    <w:rsid w:val="5705494D"/>
    <w:rsid w:val="570861EB"/>
    <w:rsid w:val="571D6A2B"/>
    <w:rsid w:val="57201A20"/>
    <w:rsid w:val="572648C3"/>
    <w:rsid w:val="572D5C52"/>
    <w:rsid w:val="57345792"/>
    <w:rsid w:val="57346FE0"/>
    <w:rsid w:val="57475C4D"/>
    <w:rsid w:val="575B27BF"/>
    <w:rsid w:val="576F40E4"/>
    <w:rsid w:val="57835872"/>
    <w:rsid w:val="578C4726"/>
    <w:rsid w:val="57AC45D0"/>
    <w:rsid w:val="57AE1241"/>
    <w:rsid w:val="57B273E9"/>
    <w:rsid w:val="57B27F05"/>
    <w:rsid w:val="57B67C8D"/>
    <w:rsid w:val="57BA2943"/>
    <w:rsid w:val="57C00874"/>
    <w:rsid w:val="57D40540"/>
    <w:rsid w:val="57E04A72"/>
    <w:rsid w:val="57E5236D"/>
    <w:rsid w:val="57EE718F"/>
    <w:rsid w:val="57EF4CB5"/>
    <w:rsid w:val="58346B6C"/>
    <w:rsid w:val="58372C70"/>
    <w:rsid w:val="583E1656"/>
    <w:rsid w:val="584E5E80"/>
    <w:rsid w:val="588065AF"/>
    <w:rsid w:val="589D1393"/>
    <w:rsid w:val="58B55EFF"/>
    <w:rsid w:val="58C3061C"/>
    <w:rsid w:val="58E70221"/>
    <w:rsid w:val="58F22CAF"/>
    <w:rsid w:val="5908019E"/>
    <w:rsid w:val="591B7FEB"/>
    <w:rsid w:val="59314975"/>
    <w:rsid w:val="59550740"/>
    <w:rsid w:val="596279B4"/>
    <w:rsid w:val="5966544B"/>
    <w:rsid w:val="597436C4"/>
    <w:rsid w:val="59814033"/>
    <w:rsid w:val="59C10AB4"/>
    <w:rsid w:val="59C3202D"/>
    <w:rsid w:val="59D56296"/>
    <w:rsid w:val="59D95C1D"/>
    <w:rsid w:val="59DE3233"/>
    <w:rsid w:val="59DE62A0"/>
    <w:rsid w:val="59E6060A"/>
    <w:rsid w:val="59EA1BD8"/>
    <w:rsid w:val="59EF5441"/>
    <w:rsid w:val="59F80C76"/>
    <w:rsid w:val="5A026F22"/>
    <w:rsid w:val="5A162DC3"/>
    <w:rsid w:val="5A1D1FAE"/>
    <w:rsid w:val="5A2F2F5F"/>
    <w:rsid w:val="5A57029D"/>
    <w:rsid w:val="5A90452E"/>
    <w:rsid w:val="5AA004E9"/>
    <w:rsid w:val="5AA955EF"/>
    <w:rsid w:val="5AB3646E"/>
    <w:rsid w:val="5AD61FA7"/>
    <w:rsid w:val="5AE568F8"/>
    <w:rsid w:val="5AE605F2"/>
    <w:rsid w:val="5AE64A95"/>
    <w:rsid w:val="5AEB5C08"/>
    <w:rsid w:val="5AEE74A6"/>
    <w:rsid w:val="5AF251E8"/>
    <w:rsid w:val="5AF54CD9"/>
    <w:rsid w:val="5AFD593B"/>
    <w:rsid w:val="5B0171D9"/>
    <w:rsid w:val="5B225A37"/>
    <w:rsid w:val="5B4F0440"/>
    <w:rsid w:val="5B5E287E"/>
    <w:rsid w:val="5B6A1223"/>
    <w:rsid w:val="5B7E6A7C"/>
    <w:rsid w:val="5B8A42EF"/>
    <w:rsid w:val="5B9A7FFC"/>
    <w:rsid w:val="5BA76E58"/>
    <w:rsid w:val="5BB03038"/>
    <w:rsid w:val="5BBC1352"/>
    <w:rsid w:val="5BED16CF"/>
    <w:rsid w:val="5BFB631F"/>
    <w:rsid w:val="5BFE2260"/>
    <w:rsid w:val="5C003935"/>
    <w:rsid w:val="5C0351D3"/>
    <w:rsid w:val="5C11169E"/>
    <w:rsid w:val="5C3E4412"/>
    <w:rsid w:val="5C3F3891"/>
    <w:rsid w:val="5C484871"/>
    <w:rsid w:val="5C4A2E02"/>
    <w:rsid w:val="5C602626"/>
    <w:rsid w:val="5C60665C"/>
    <w:rsid w:val="5C7659A5"/>
    <w:rsid w:val="5C81323B"/>
    <w:rsid w:val="5C875E04"/>
    <w:rsid w:val="5C8D658A"/>
    <w:rsid w:val="5C967DF5"/>
    <w:rsid w:val="5CA729BF"/>
    <w:rsid w:val="5CA83399"/>
    <w:rsid w:val="5CAF3A11"/>
    <w:rsid w:val="5CB53FD1"/>
    <w:rsid w:val="5CBF734C"/>
    <w:rsid w:val="5CC33E1F"/>
    <w:rsid w:val="5CDD5A24"/>
    <w:rsid w:val="5CFF1E3E"/>
    <w:rsid w:val="5D1134E3"/>
    <w:rsid w:val="5D3B5199"/>
    <w:rsid w:val="5D6B3030"/>
    <w:rsid w:val="5D6F2B20"/>
    <w:rsid w:val="5D706AD4"/>
    <w:rsid w:val="5D72616D"/>
    <w:rsid w:val="5D7A3273"/>
    <w:rsid w:val="5D9C0A90"/>
    <w:rsid w:val="5DA327CA"/>
    <w:rsid w:val="5DA4235E"/>
    <w:rsid w:val="5DAA334D"/>
    <w:rsid w:val="5DB06C95"/>
    <w:rsid w:val="5DBA2E8C"/>
    <w:rsid w:val="5DBC06E1"/>
    <w:rsid w:val="5DDC5CDC"/>
    <w:rsid w:val="5DDF5B1F"/>
    <w:rsid w:val="5DE352BC"/>
    <w:rsid w:val="5DFC53C5"/>
    <w:rsid w:val="5E1957DF"/>
    <w:rsid w:val="5E196EBA"/>
    <w:rsid w:val="5E253BAB"/>
    <w:rsid w:val="5E394EDC"/>
    <w:rsid w:val="5E4D4235"/>
    <w:rsid w:val="5E504395"/>
    <w:rsid w:val="5E5B4E53"/>
    <w:rsid w:val="5E602469"/>
    <w:rsid w:val="5E677C9B"/>
    <w:rsid w:val="5E6F283B"/>
    <w:rsid w:val="5EA22A81"/>
    <w:rsid w:val="5ED21F55"/>
    <w:rsid w:val="5ED22BFF"/>
    <w:rsid w:val="5EDA6D5D"/>
    <w:rsid w:val="5EE035AA"/>
    <w:rsid w:val="5EE05174"/>
    <w:rsid w:val="5EE412EC"/>
    <w:rsid w:val="5EED717C"/>
    <w:rsid w:val="5EF57055"/>
    <w:rsid w:val="5F0D76A3"/>
    <w:rsid w:val="5F117C07"/>
    <w:rsid w:val="5F230066"/>
    <w:rsid w:val="5F2931A3"/>
    <w:rsid w:val="5F334021"/>
    <w:rsid w:val="5F3538F6"/>
    <w:rsid w:val="5F381638"/>
    <w:rsid w:val="5F385194"/>
    <w:rsid w:val="5F3F6522"/>
    <w:rsid w:val="5F4104EC"/>
    <w:rsid w:val="5F4639E0"/>
    <w:rsid w:val="5F5B7C49"/>
    <w:rsid w:val="5F686E8E"/>
    <w:rsid w:val="5F73441E"/>
    <w:rsid w:val="5F8D1984"/>
    <w:rsid w:val="5FAB0CC9"/>
    <w:rsid w:val="5FAD7930"/>
    <w:rsid w:val="5FC829BC"/>
    <w:rsid w:val="5FCF3D4A"/>
    <w:rsid w:val="5FE21654"/>
    <w:rsid w:val="5FEA2B00"/>
    <w:rsid w:val="5FF22E45"/>
    <w:rsid w:val="60172FFB"/>
    <w:rsid w:val="602D6CC3"/>
    <w:rsid w:val="6042451C"/>
    <w:rsid w:val="607641C6"/>
    <w:rsid w:val="60883EF9"/>
    <w:rsid w:val="608A3882"/>
    <w:rsid w:val="608B2C81"/>
    <w:rsid w:val="608F34D9"/>
    <w:rsid w:val="609805E0"/>
    <w:rsid w:val="60AA0313"/>
    <w:rsid w:val="60AF3879"/>
    <w:rsid w:val="60C56EFB"/>
    <w:rsid w:val="60EE6452"/>
    <w:rsid w:val="60EF149E"/>
    <w:rsid w:val="613C0A62"/>
    <w:rsid w:val="615200E1"/>
    <w:rsid w:val="61693230"/>
    <w:rsid w:val="61972B6A"/>
    <w:rsid w:val="61B52ACC"/>
    <w:rsid w:val="61B84E22"/>
    <w:rsid w:val="61D45514"/>
    <w:rsid w:val="61F30033"/>
    <w:rsid w:val="61FD5295"/>
    <w:rsid w:val="62031A89"/>
    <w:rsid w:val="624502F4"/>
    <w:rsid w:val="62561697"/>
    <w:rsid w:val="626802E1"/>
    <w:rsid w:val="62791D4B"/>
    <w:rsid w:val="62840A77"/>
    <w:rsid w:val="628D3A49"/>
    <w:rsid w:val="62CD2127"/>
    <w:rsid w:val="62CF5E0F"/>
    <w:rsid w:val="62D277D9"/>
    <w:rsid w:val="62E83E16"/>
    <w:rsid w:val="62E95123"/>
    <w:rsid w:val="62E96ED1"/>
    <w:rsid w:val="62F35FA1"/>
    <w:rsid w:val="630261E5"/>
    <w:rsid w:val="63067FD3"/>
    <w:rsid w:val="631F28F3"/>
    <w:rsid w:val="6320028C"/>
    <w:rsid w:val="632443AD"/>
    <w:rsid w:val="633839B4"/>
    <w:rsid w:val="6354674F"/>
    <w:rsid w:val="636E387A"/>
    <w:rsid w:val="636E5E0F"/>
    <w:rsid w:val="637349EC"/>
    <w:rsid w:val="6374344C"/>
    <w:rsid w:val="6390559E"/>
    <w:rsid w:val="639C3F43"/>
    <w:rsid w:val="63A45A71"/>
    <w:rsid w:val="63A66B70"/>
    <w:rsid w:val="63C35974"/>
    <w:rsid w:val="63DF2082"/>
    <w:rsid w:val="63ED0C43"/>
    <w:rsid w:val="63ED479F"/>
    <w:rsid w:val="63F10999"/>
    <w:rsid w:val="63FD075A"/>
    <w:rsid w:val="640815D9"/>
    <w:rsid w:val="641F4B74"/>
    <w:rsid w:val="643367BB"/>
    <w:rsid w:val="64460353"/>
    <w:rsid w:val="645206D0"/>
    <w:rsid w:val="645E6CBF"/>
    <w:rsid w:val="646B1B68"/>
    <w:rsid w:val="64AA08E2"/>
    <w:rsid w:val="64D37E39"/>
    <w:rsid w:val="65002A2C"/>
    <w:rsid w:val="6502427A"/>
    <w:rsid w:val="6509385A"/>
    <w:rsid w:val="653D1756"/>
    <w:rsid w:val="653E102A"/>
    <w:rsid w:val="65442AE4"/>
    <w:rsid w:val="654B78CA"/>
    <w:rsid w:val="65577BA6"/>
    <w:rsid w:val="65624D19"/>
    <w:rsid w:val="656C55D4"/>
    <w:rsid w:val="657607C4"/>
    <w:rsid w:val="65986A82"/>
    <w:rsid w:val="65AD4482"/>
    <w:rsid w:val="65B25CA0"/>
    <w:rsid w:val="65C07C91"/>
    <w:rsid w:val="65D8322D"/>
    <w:rsid w:val="65DC4ACB"/>
    <w:rsid w:val="65F8567D"/>
    <w:rsid w:val="65FA13F5"/>
    <w:rsid w:val="66013B8E"/>
    <w:rsid w:val="660202AA"/>
    <w:rsid w:val="66304E17"/>
    <w:rsid w:val="66326DE1"/>
    <w:rsid w:val="663D12E2"/>
    <w:rsid w:val="66504D19"/>
    <w:rsid w:val="665243A2"/>
    <w:rsid w:val="66552ACF"/>
    <w:rsid w:val="665533E3"/>
    <w:rsid w:val="665B6338"/>
    <w:rsid w:val="665E1984"/>
    <w:rsid w:val="66660838"/>
    <w:rsid w:val="667411A7"/>
    <w:rsid w:val="66742F55"/>
    <w:rsid w:val="6680605A"/>
    <w:rsid w:val="66837ED2"/>
    <w:rsid w:val="668C58AE"/>
    <w:rsid w:val="66A7157D"/>
    <w:rsid w:val="66AF32B2"/>
    <w:rsid w:val="66B5531C"/>
    <w:rsid w:val="66BC37E2"/>
    <w:rsid w:val="66CE332E"/>
    <w:rsid w:val="66DB2FD4"/>
    <w:rsid w:val="66F44096"/>
    <w:rsid w:val="670562A3"/>
    <w:rsid w:val="670B7AEA"/>
    <w:rsid w:val="671E1113"/>
    <w:rsid w:val="672A3F5C"/>
    <w:rsid w:val="6756421A"/>
    <w:rsid w:val="67630CEF"/>
    <w:rsid w:val="67780EDA"/>
    <w:rsid w:val="67825B46"/>
    <w:rsid w:val="678A67A9"/>
    <w:rsid w:val="679C7611"/>
    <w:rsid w:val="67A4786A"/>
    <w:rsid w:val="67A81366"/>
    <w:rsid w:val="67B9759D"/>
    <w:rsid w:val="67D11A4E"/>
    <w:rsid w:val="67D143D7"/>
    <w:rsid w:val="67D46CDE"/>
    <w:rsid w:val="67D87514"/>
    <w:rsid w:val="67FA392E"/>
    <w:rsid w:val="6819475B"/>
    <w:rsid w:val="681A3DE2"/>
    <w:rsid w:val="683F7593"/>
    <w:rsid w:val="685F3791"/>
    <w:rsid w:val="68637725"/>
    <w:rsid w:val="688A7DAC"/>
    <w:rsid w:val="68A5389A"/>
    <w:rsid w:val="68AF1D6D"/>
    <w:rsid w:val="68B161D3"/>
    <w:rsid w:val="68CF43EA"/>
    <w:rsid w:val="68D93544"/>
    <w:rsid w:val="68DC63DC"/>
    <w:rsid w:val="68E1070E"/>
    <w:rsid w:val="68F62120"/>
    <w:rsid w:val="690B56C7"/>
    <w:rsid w:val="690C3CE7"/>
    <w:rsid w:val="691B3B5C"/>
    <w:rsid w:val="69416EAD"/>
    <w:rsid w:val="694C3FC0"/>
    <w:rsid w:val="696D1D00"/>
    <w:rsid w:val="69765D89"/>
    <w:rsid w:val="697D4F6A"/>
    <w:rsid w:val="698C6808"/>
    <w:rsid w:val="699163F6"/>
    <w:rsid w:val="699F653B"/>
    <w:rsid w:val="69C16928"/>
    <w:rsid w:val="69CD7914"/>
    <w:rsid w:val="69D47128"/>
    <w:rsid w:val="69DA5DFE"/>
    <w:rsid w:val="69EC374B"/>
    <w:rsid w:val="69F25583"/>
    <w:rsid w:val="69F66377"/>
    <w:rsid w:val="6A1F767C"/>
    <w:rsid w:val="6A2627B9"/>
    <w:rsid w:val="6A462E5B"/>
    <w:rsid w:val="6A49294B"/>
    <w:rsid w:val="6A503CD9"/>
    <w:rsid w:val="6A692CB7"/>
    <w:rsid w:val="6A696B49"/>
    <w:rsid w:val="6A8952C2"/>
    <w:rsid w:val="6A906D98"/>
    <w:rsid w:val="6AA6423E"/>
    <w:rsid w:val="6AB57FE0"/>
    <w:rsid w:val="6AC344AB"/>
    <w:rsid w:val="6AC65D4A"/>
    <w:rsid w:val="6AD46A66"/>
    <w:rsid w:val="6AED37F2"/>
    <w:rsid w:val="6AEF7DCE"/>
    <w:rsid w:val="6B3A1E2C"/>
    <w:rsid w:val="6B3C7DBA"/>
    <w:rsid w:val="6B621F16"/>
    <w:rsid w:val="6B6F4633"/>
    <w:rsid w:val="6B7B2FD8"/>
    <w:rsid w:val="6B7D161D"/>
    <w:rsid w:val="6B9023FF"/>
    <w:rsid w:val="6B9F5BAD"/>
    <w:rsid w:val="6BA442DD"/>
    <w:rsid w:val="6BA46BE1"/>
    <w:rsid w:val="6BA936A1"/>
    <w:rsid w:val="6BC04E8F"/>
    <w:rsid w:val="6BC06C3D"/>
    <w:rsid w:val="6BC26511"/>
    <w:rsid w:val="6BC404DB"/>
    <w:rsid w:val="6BC95AF1"/>
    <w:rsid w:val="6BCA6224"/>
    <w:rsid w:val="6BD41C61"/>
    <w:rsid w:val="6BE91CF0"/>
    <w:rsid w:val="6BF32B6E"/>
    <w:rsid w:val="6C0A614D"/>
    <w:rsid w:val="6C1D4188"/>
    <w:rsid w:val="6C303DC2"/>
    <w:rsid w:val="6C3952AC"/>
    <w:rsid w:val="6C5D448C"/>
    <w:rsid w:val="6C692E30"/>
    <w:rsid w:val="6C8C114B"/>
    <w:rsid w:val="6CA672D2"/>
    <w:rsid w:val="6CF21078"/>
    <w:rsid w:val="6CF9407C"/>
    <w:rsid w:val="6D002DFC"/>
    <w:rsid w:val="6D194017"/>
    <w:rsid w:val="6D1B05CF"/>
    <w:rsid w:val="6D2A6A64"/>
    <w:rsid w:val="6D364163"/>
    <w:rsid w:val="6D571889"/>
    <w:rsid w:val="6D592EA5"/>
    <w:rsid w:val="6D837F22"/>
    <w:rsid w:val="6D8E5551"/>
    <w:rsid w:val="6DB56E82"/>
    <w:rsid w:val="6DBD6517"/>
    <w:rsid w:val="6DC76061"/>
    <w:rsid w:val="6DD10C8D"/>
    <w:rsid w:val="6DEF55B7"/>
    <w:rsid w:val="6DFA6436"/>
    <w:rsid w:val="6E22773B"/>
    <w:rsid w:val="6E5D0773"/>
    <w:rsid w:val="6E602011"/>
    <w:rsid w:val="6E711527"/>
    <w:rsid w:val="6E751F61"/>
    <w:rsid w:val="6E761835"/>
    <w:rsid w:val="6E79211E"/>
    <w:rsid w:val="6E8126B3"/>
    <w:rsid w:val="6E82467D"/>
    <w:rsid w:val="6E8439ED"/>
    <w:rsid w:val="6E9323E7"/>
    <w:rsid w:val="6E9C573F"/>
    <w:rsid w:val="6EA6211A"/>
    <w:rsid w:val="6EAD16FA"/>
    <w:rsid w:val="6EC23191"/>
    <w:rsid w:val="6EC93EB4"/>
    <w:rsid w:val="6EEC3440"/>
    <w:rsid w:val="6F255735"/>
    <w:rsid w:val="6F3C65DA"/>
    <w:rsid w:val="6F5837CB"/>
    <w:rsid w:val="6F6D5423"/>
    <w:rsid w:val="6F7C0E3D"/>
    <w:rsid w:val="6F7F4023"/>
    <w:rsid w:val="6F82185F"/>
    <w:rsid w:val="6F886353"/>
    <w:rsid w:val="6F887838"/>
    <w:rsid w:val="6F8E41A4"/>
    <w:rsid w:val="6FA32AFD"/>
    <w:rsid w:val="6FB7179E"/>
    <w:rsid w:val="6FB940CF"/>
    <w:rsid w:val="6FBD3BBF"/>
    <w:rsid w:val="6FDD600F"/>
    <w:rsid w:val="6FE4739E"/>
    <w:rsid w:val="6FE86762"/>
    <w:rsid w:val="6FEC0000"/>
    <w:rsid w:val="6FEE70E9"/>
    <w:rsid w:val="70096E04"/>
    <w:rsid w:val="700C2451"/>
    <w:rsid w:val="703235D5"/>
    <w:rsid w:val="70380103"/>
    <w:rsid w:val="703A3D0A"/>
    <w:rsid w:val="704E2AC7"/>
    <w:rsid w:val="70705949"/>
    <w:rsid w:val="70744007"/>
    <w:rsid w:val="708244C1"/>
    <w:rsid w:val="709C5DB4"/>
    <w:rsid w:val="70B236B4"/>
    <w:rsid w:val="70BF6642"/>
    <w:rsid w:val="70F53102"/>
    <w:rsid w:val="70FF075C"/>
    <w:rsid w:val="710650F2"/>
    <w:rsid w:val="71066EA0"/>
    <w:rsid w:val="711C4915"/>
    <w:rsid w:val="71237A52"/>
    <w:rsid w:val="71431EA2"/>
    <w:rsid w:val="71525070"/>
    <w:rsid w:val="715C2F64"/>
    <w:rsid w:val="7162598C"/>
    <w:rsid w:val="71804EA4"/>
    <w:rsid w:val="71983729"/>
    <w:rsid w:val="71F66F14"/>
    <w:rsid w:val="721455EC"/>
    <w:rsid w:val="722F68CA"/>
    <w:rsid w:val="723143F0"/>
    <w:rsid w:val="724D08F0"/>
    <w:rsid w:val="72534367"/>
    <w:rsid w:val="725D51E5"/>
    <w:rsid w:val="72605EE6"/>
    <w:rsid w:val="72807126"/>
    <w:rsid w:val="728B1DE3"/>
    <w:rsid w:val="728C1627"/>
    <w:rsid w:val="728E1843"/>
    <w:rsid w:val="729C5939"/>
    <w:rsid w:val="72A4584D"/>
    <w:rsid w:val="72A5093A"/>
    <w:rsid w:val="72BF2E76"/>
    <w:rsid w:val="72D51220"/>
    <w:rsid w:val="72E75D66"/>
    <w:rsid w:val="72ED47BB"/>
    <w:rsid w:val="72F9401A"/>
    <w:rsid w:val="731E3A64"/>
    <w:rsid w:val="733221CE"/>
    <w:rsid w:val="73497518"/>
    <w:rsid w:val="734E4B2E"/>
    <w:rsid w:val="73634A7D"/>
    <w:rsid w:val="73682094"/>
    <w:rsid w:val="73740A39"/>
    <w:rsid w:val="737C169B"/>
    <w:rsid w:val="73814F04"/>
    <w:rsid w:val="7388084A"/>
    <w:rsid w:val="73922C6D"/>
    <w:rsid w:val="73944C37"/>
    <w:rsid w:val="739C3AEB"/>
    <w:rsid w:val="73BA5622"/>
    <w:rsid w:val="73C25DD5"/>
    <w:rsid w:val="73C343E4"/>
    <w:rsid w:val="73CD19B2"/>
    <w:rsid w:val="73E56BC8"/>
    <w:rsid w:val="73E831D5"/>
    <w:rsid w:val="73F25E01"/>
    <w:rsid w:val="73F506D6"/>
    <w:rsid w:val="73FC0A2E"/>
    <w:rsid w:val="740B2A1F"/>
    <w:rsid w:val="740E335C"/>
    <w:rsid w:val="74117C8D"/>
    <w:rsid w:val="741713C4"/>
    <w:rsid w:val="74220923"/>
    <w:rsid w:val="744A79EB"/>
    <w:rsid w:val="745708AE"/>
    <w:rsid w:val="74806F69"/>
    <w:rsid w:val="74852401"/>
    <w:rsid w:val="749F1AE5"/>
    <w:rsid w:val="74AE1D28"/>
    <w:rsid w:val="74B471B3"/>
    <w:rsid w:val="74E03EAC"/>
    <w:rsid w:val="7501454E"/>
    <w:rsid w:val="75022074"/>
    <w:rsid w:val="751B27D2"/>
    <w:rsid w:val="75221B04"/>
    <w:rsid w:val="75717E89"/>
    <w:rsid w:val="757A6A57"/>
    <w:rsid w:val="758331B5"/>
    <w:rsid w:val="75AB270C"/>
    <w:rsid w:val="75F419BD"/>
    <w:rsid w:val="761C4031"/>
    <w:rsid w:val="762A27DA"/>
    <w:rsid w:val="763E0E8A"/>
    <w:rsid w:val="76430936"/>
    <w:rsid w:val="76524935"/>
    <w:rsid w:val="765336FE"/>
    <w:rsid w:val="76740D50"/>
    <w:rsid w:val="76764AC8"/>
    <w:rsid w:val="76816FC9"/>
    <w:rsid w:val="76832D41"/>
    <w:rsid w:val="76A50965"/>
    <w:rsid w:val="76A6461F"/>
    <w:rsid w:val="76B80C3C"/>
    <w:rsid w:val="76C53359"/>
    <w:rsid w:val="76DE441B"/>
    <w:rsid w:val="76EB3A50"/>
    <w:rsid w:val="76F679B7"/>
    <w:rsid w:val="77132317"/>
    <w:rsid w:val="77356731"/>
    <w:rsid w:val="773D1603"/>
    <w:rsid w:val="77400C32"/>
    <w:rsid w:val="774A6156"/>
    <w:rsid w:val="776E3C1A"/>
    <w:rsid w:val="777803CC"/>
    <w:rsid w:val="77C11D73"/>
    <w:rsid w:val="77D71596"/>
    <w:rsid w:val="77EB35FA"/>
    <w:rsid w:val="780D320A"/>
    <w:rsid w:val="781F6205"/>
    <w:rsid w:val="783F6BF7"/>
    <w:rsid w:val="78434E7D"/>
    <w:rsid w:val="786A41B8"/>
    <w:rsid w:val="7871660D"/>
    <w:rsid w:val="78987C84"/>
    <w:rsid w:val="789E20B4"/>
    <w:rsid w:val="78C4148F"/>
    <w:rsid w:val="78C961F4"/>
    <w:rsid w:val="78E21FA1"/>
    <w:rsid w:val="78EE4DE9"/>
    <w:rsid w:val="790901FF"/>
    <w:rsid w:val="7924080B"/>
    <w:rsid w:val="79254583"/>
    <w:rsid w:val="792D540E"/>
    <w:rsid w:val="794F07DE"/>
    <w:rsid w:val="796919EA"/>
    <w:rsid w:val="797F5A41"/>
    <w:rsid w:val="798B088A"/>
    <w:rsid w:val="798F3644"/>
    <w:rsid w:val="79933102"/>
    <w:rsid w:val="799A287B"/>
    <w:rsid w:val="79C142AC"/>
    <w:rsid w:val="79D10450"/>
    <w:rsid w:val="79DC2E94"/>
    <w:rsid w:val="79E9124E"/>
    <w:rsid w:val="7A0860A5"/>
    <w:rsid w:val="7A245426"/>
    <w:rsid w:val="7A286917"/>
    <w:rsid w:val="7A290118"/>
    <w:rsid w:val="7A3053BF"/>
    <w:rsid w:val="7A5C2227"/>
    <w:rsid w:val="7A601D17"/>
    <w:rsid w:val="7A6376BF"/>
    <w:rsid w:val="7A82542A"/>
    <w:rsid w:val="7A97688D"/>
    <w:rsid w:val="7A9814B1"/>
    <w:rsid w:val="7AA65250"/>
    <w:rsid w:val="7AB43E11"/>
    <w:rsid w:val="7AD06D06"/>
    <w:rsid w:val="7AF256B6"/>
    <w:rsid w:val="7AF449C4"/>
    <w:rsid w:val="7B051225"/>
    <w:rsid w:val="7B0846E3"/>
    <w:rsid w:val="7B486307"/>
    <w:rsid w:val="7B4C229B"/>
    <w:rsid w:val="7B4C4049"/>
    <w:rsid w:val="7B4C5DF7"/>
    <w:rsid w:val="7B7F7F7B"/>
    <w:rsid w:val="7B914268"/>
    <w:rsid w:val="7B965AB3"/>
    <w:rsid w:val="7BBC1AD5"/>
    <w:rsid w:val="7BC2255D"/>
    <w:rsid w:val="7BEF7850"/>
    <w:rsid w:val="7C036DFE"/>
    <w:rsid w:val="7C280612"/>
    <w:rsid w:val="7C3074C7"/>
    <w:rsid w:val="7C444D20"/>
    <w:rsid w:val="7C5C650E"/>
    <w:rsid w:val="7C7C0DEA"/>
    <w:rsid w:val="7CAA7279"/>
    <w:rsid w:val="7CB00608"/>
    <w:rsid w:val="7CD442F6"/>
    <w:rsid w:val="7CD6006E"/>
    <w:rsid w:val="7CF14EA8"/>
    <w:rsid w:val="7CF718EF"/>
    <w:rsid w:val="7D07647A"/>
    <w:rsid w:val="7D31799A"/>
    <w:rsid w:val="7D3935CB"/>
    <w:rsid w:val="7D5316BF"/>
    <w:rsid w:val="7D5E593D"/>
    <w:rsid w:val="7D6513F2"/>
    <w:rsid w:val="7D72364A"/>
    <w:rsid w:val="7D731D61"/>
    <w:rsid w:val="7D7B0C16"/>
    <w:rsid w:val="7D7D6095"/>
    <w:rsid w:val="7D7F24B4"/>
    <w:rsid w:val="7D8E0CD4"/>
    <w:rsid w:val="7D9A4AFF"/>
    <w:rsid w:val="7DAC5273"/>
    <w:rsid w:val="7DAD28DC"/>
    <w:rsid w:val="7DB14637"/>
    <w:rsid w:val="7DBF464A"/>
    <w:rsid w:val="7DC15CCA"/>
    <w:rsid w:val="7DF84014"/>
    <w:rsid w:val="7DFA4423"/>
    <w:rsid w:val="7E0105AB"/>
    <w:rsid w:val="7E0503B7"/>
    <w:rsid w:val="7E074257"/>
    <w:rsid w:val="7E0E55E6"/>
    <w:rsid w:val="7E1C7D03"/>
    <w:rsid w:val="7E384472"/>
    <w:rsid w:val="7E795155"/>
    <w:rsid w:val="7E841FE0"/>
    <w:rsid w:val="7E843AFA"/>
    <w:rsid w:val="7E885398"/>
    <w:rsid w:val="7E9F4667"/>
    <w:rsid w:val="7EAD3051"/>
    <w:rsid w:val="7EB20667"/>
    <w:rsid w:val="7EE55250"/>
    <w:rsid w:val="7EF94618"/>
    <w:rsid w:val="7F054C3B"/>
    <w:rsid w:val="7F076A8B"/>
    <w:rsid w:val="7F1430D0"/>
    <w:rsid w:val="7F211349"/>
    <w:rsid w:val="7F2B19DA"/>
    <w:rsid w:val="7F2C21C7"/>
    <w:rsid w:val="7F3217A8"/>
    <w:rsid w:val="7F405C73"/>
    <w:rsid w:val="7F460DAF"/>
    <w:rsid w:val="7F4736ED"/>
    <w:rsid w:val="7F4946CE"/>
    <w:rsid w:val="7F5D6825"/>
    <w:rsid w:val="7F631B2A"/>
    <w:rsid w:val="7F65392B"/>
    <w:rsid w:val="7F743B6E"/>
    <w:rsid w:val="7F98785D"/>
    <w:rsid w:val="7FA501CC"/>
    <w:rsid w:val="7FAE52D2"/>
    <w:rsid w:val="7FBB354B"/>
    <w:rsid w:val="7FC66C16"/>
    <w:rsid w:val="7FC9626B"/>
    <w:rsid w:val="7FD0349B"/>
    <w:rsid w:val="7FDD1714"/>
    <w:rsid w:val="7FE505C8"/>
    <w:rsid w:val="7FEC7B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Arial" w:hAnsi="Arial" w:eastAsia="Arial" w:cs="Arial"/>
      <w:sz w:val="21"/>
      <w:szCs w:val="21"/>
      <w:lang w:val="en-US" w:eastAsia="en-US" w:bidi="ar-SA"/>
    </w:r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autoRedefine/>
    <w:qFormat/>
    <w:uiPriority w:val="0"/>
    <w:rPr>
      <w:b/>
    </w:rPr>
  </w:style>
  <w:style w:type="character" w:styleId="10">
    <w:name w:val="Hyperlink"/>
    <w:basedOn w:val="8"/>
    <w:autoRedefine/>
    <w:qFormat/>
    <w:uiPriority w:val="0"/>
    <w:rPr>
      <w:color w:val="0000FF"/>
      <w:u w:val="single"/>
    </w:rPr>
  </w:style>
  <w:style w:type="paragraph" w:customStyle="1" w:styleId="11">
    <w:name w:val="Table Text"/>
    <w:basedOn w:val="1"/>
    <w:autoRedefine/>
    <w:semiHidden/>
    <w:qFormat/>
    <w:uiPriority w:val="0"/>
    <w:rPr>
      <w:rFonts w:ascii="微软雅黑" w:hAnsi="微软雅黑" w:eastAsia="微软雅黑" w:cs="微软雅黑"/>
      <w:sz w:val="17"/>
      <w:szCs w:val="17"/>
      <w:lang w:val="en-US" w:eastAsia="en-US" w:bidi="ar-SA"/>
    </w:rPr>
  </w:style>
  <w:style w:type="table" w:customStyle="1" w:styleId="12">
    <w:name w:val="Table Normal"/>
    <w:autoRedefine/>
    <w:semiHidden/>
    <w:unhideWhenUsed/>
    <w:qFormat/>
    <w:uiPriority w:val="0"/>
    <w:tblPr>
      <w:tblCellMar>
        <w:top w:w="0" w:type="dxa"/>
        <w:left w:w="0" w:type="dxa"/>
        <w:bottom w:w="0" w:type="dxa"/>
        <w:right w:w="0" w:type="dxa"/>
      </w:tblCellMar>
    </w:tblPr>
  </w:style>
  <w:style w:type="paragraph" w:customStyle="1" w:styleId="13">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3507</Words>
  <Characters>4281</Characters>
  <Lines>0</Lines>
  <Paragraphs>0</Paragraphs>
  <TotalTime>0</TotalTime>
  <ScaleCrop>false</ScaleCrop>
  <LinksUpToDate>false</LinksUpToDate>
  <CharactersWithSpaces>4340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2024-03-19T23:57:00Z</dcterms:created>
  <dc:creator>WPS_1180513195</dc:creator>
  <cp:lastModifiedBy>WPS_1180513195</cp:lastModifiedBy>
  <dcterms:modified xsi:type="dcterms:W3CDTF">2024-04-23T00:53:50Z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D23AE21371AD4B2A936F48373C5D0EDD_13</vt:lpwstr>
  </property>
</Properties>
</file>