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4</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25</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528"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12"/>
          <w:sz w:val="24"/>
          <w:szCs w:val="24"/>
          <w:lang w:val="en-US" w:eastAsia="zh-CN"/>
        </w:rPr>
        <w:t>美国三大股指收盘涨跌不一，道指跌0.11%，标普500指数涨0.02%，纳指涨0.1%。美元指数涨0.11%报105.82，非美货币多数下跌</w:t>
      </w:r>
      <w:r>
        <w:rPr>
          <w:rFonts w:hint="eastAsia" w:ascii="微软雅黑" w:hAnsi="微软雅黑" w:eastAsia="微软雅黑" w:cs="微软雅黑"/>
          <w:spacing w:val="4"/>
          <w:sz w:val="24"/>
          <w:szCs w:val="24"/>
          <w:lang w:eastAsia="zh-CN"/>
        </w:rPr>
        <w:t>，离岸人民币对美元跌125个基点报7.2730。国际油价全线下跌，美油6月合约跌0.62%，报82.84美元/桶。布油6月合约跌0.37%，报87.07美元/桶。国际贵金属期货普遍收跌，COMEX黄金期货跌0.56%报2328.9美元/盎司，COMEX白银期货跌0.61%报27.195美元/盎司。LME期铜涨0.86%报9790美元/吨。ICE</w:t>
      </w:r>
      <w:r>
        <w:rPr>
          <w:rFonts w:hint="eastAsia" w:ascii="微软雅黑" w:hAnsi="微软雅黑" w:eastAsia="微软雅黑" w:cs="微软雅黑"/>
          <w:spacing w:val="4"/>
          <w:sz w:val="24"/>
          <w:szCs w:val="24"/>
          <w:lang w:val="en-US" w:eastAsia="zh-CN"/>
        </w:rPr>
        <w:t xml:space="preserve"> 7</w:t>
      </w:r>
      <w:r>
        <w:rPr>
          <w:rFonts w:hint="eastAsia" w:ascii="微软雅黑" w:hAnsi="微软雅黑" w:eastAsia="微软雅黑" w:cs="微软雅黑"/>
          <w:spacing w:val="4"/>
          <w:sz w:val="24"/>
          <w:szCs w:val="24"/>
          <w:lang w:eastAsia="zh-CN"/>
        </w:rPr>
        <w:t>月原糖</w:t>
      </w:r>
      <w:r>
        <w:rPr>
          <w:rFonts w:hint="eastAsia" w:ascii="微软雅黑" w:hAnsi="微软雅黑" w:eastAsia="微软雅黑" w:cs="微软雅黑"/>
          <w:spacing w:val="4"/>
          <w:sz w:val="24"/>
          <w:szCs w:val="24"/>
          <w:lang w:val="en-US" w:eastAsia="zh-CN"/>
        </w:rPr>
        <w:t>期货合约</w:t>
      </w:r>
      <w:r>
        <w:rPr>
          <w:rFonts w:hint="eastAsia" w:ascii="微软雅黑" w:hAnsi="微软雅黑" w:eastAsia="微软雅黑" w:cs="微软雅黑"/>
          <w:spacing w:val="4"/>
          <w:sz w:val="24"/>
          <w:szCs w:val="24"/>
          <w:lang w:eastAsia="zh-CN"/>
        </w:rPr>
        <w:t>收</w:t>
      </w:r>
      <w:r>
        <w:rPr>
          <w:rFonts w:hint="eastAsia" w:ascii="微软雅黑" w:hAnsi="微软雅黑" w:eastAsia="微软雅黑" w:cs="微软雅黑"/>
          <w:spacing w:val="4"/>
          <w:sz w:val="24"/>
          <w:szCs w:val="24"/>
          <w:lang w:val="en-US" w:eastAsia="zh-CN"/>
        </w:rPr>
        <w:t>涨0.05%</w:t>
      </w:r>
      <w:r>
        <w:rPr>
          <w:rFonts w:hint="eastAsia" w:ascii="微软雅黑" w:hAnsi="微软雅黑" w:eastAsia="微软雅黑" w:cs="微软雅黑"/>
          <w:spacing w:val="4"/>
          <w:sz w:val="24"/>
          <w:szCs w:val="24"/>
          <w:lang w:eastAsia="zh-CN"/>
        </w:rPr>
        <w:t>，结算价报</w:t>
      </w:r>
      <w:r>
        <w:rPr>
          <w:rFonts w:hint="eastAsia" w:ascii="微软雅黑" w:hAnsi="微软雅黑" w:eastAsia="微软雅黑" w:cs="微软雅黑"/>
          <w:spacing w:val="4"/>
          <w:sz w:val="24"/>
          <w:szCs w:val="24"/>
          <w:lang w:val="en-US" w:eastAsia="zh-CN"/>
        </w:rPr>
        <w:t>19.77</w:t>
      </w:r>
      <w:r>
        <w:rPr>
          <w:rFonts w:hint="eastAsia" w:ascii="微软雅黑" w:hAnsi="微软雅黑" w:eastAsia="微软雅黑" w:cs="微软雅黑"/>
          <w:spacing w:val="4"/>
          <w:sz w:val="24"/>
          <w:szCs w:val="24"/>
          <w:lang w:eastAsia="zh-CN"/>
        </w:rPr>
        <w:t>美分/磅。ICE</w:t>
      </w:r>
      <w:r>
        <w:rPr>
          <w:rFonts w:hint="eastAsia" w:ascii="微软雅黑" w:hAnsi="微软雅黑" w:eastAsia="微软雅黑" w:cs="微软雅黑"/>
          <w:spacing w:val="4"/>
          <w:sz w:val="24"/>
          <w:szCs w:val="24"/>
          <w:lang w:val="en-US" w:eastAsia="zh-CN"/>
        </w:rPr>
        <w:t>7</w:t>
      </w:r>
      <w:r>
        <w:rPr>
          <w:rFonts w:hint="eastAsia" w:ascii="微软雅黑" w:hAnsi="微软雅黑" w:eastAsia="微软雅黑" w:cs="微软雅黑"/>
          <w:spacing w:val="4"/>
          <w:sz w:val="24"/>
          <w:szCs w:val="24"/>
          <w:lang w:eastAsia="zh-CN"/>
        </w:rPr>
        <w:t>月期棉</w:t>
      </w:r>
      <w:r>
        <w:rPr>
          <w:rFonts w:hint="eastAsia" w:ascii="微软雅黑" w:hAnsi="微软雅黑" w:eastAsia="微软雅黑" w:cs="微软雅黑"/>
          <w:spacing w:val="4"/>
          <w:sz w:val="24"/>
          <w:szCs w:val="24"/>
          <w:lang w:val="en-US" w:eastAsia="zh-CN"/>
        </w:rPr>
        <w:t>期货合约</w:t>
      </w:r>
      <w:r>
        <w:rPr>
          <w:rFonts w:hint="eastAsia" w:ascii="微软雅黑" w:hAnsi="微软雅黑" w:eastAsia="微软雅黑" w:cs="微软雅黑"/>
          <w:spacing w:val="12"/>
          <w:sz w:val="24"/>
          <w:szCs w:val="24"/>
        </w:rPr>
        <w:t>收</w:t>
      </w:r>
      <w:r>
        <w:rPr>
          <w:rFonts w:hint="eastAsia" w:ascii="微软雅黑" w:hAnsi="微软雅黑" w:eastAsia="微软雅黑" w:cs="微软雅黑"/>
          <w:spacing w:val="12"/>
          <w:sz w:val="24"/>
          <w:szCs w:val="24"/>
          <w:lang w:val="en-US" w:eastAsia="zh-CN"/>
        </w:rPr>
        <w:t>跌0.86</w:t>
      </w:r>
      <w:r>
        <w:rPr>
          <w:rFonts w:hint="eastAsia" w:ascii="微软雅黑" w:hAnsi="微软雅黑" w:eastAsia="微软雅黑" w:cs="微软雅黑"/>
          <w:spacing w:val="12"/>
          <w:sz w:val="24"/>
          <w:szCs w:val="24"/>
        </w:rPr>
        <w:t>%</w:t>
      </w:r>
      <w:r>
        <w:rPr>
          <w:rFonts w:hint="eastAsia" w:ascii="微软雅黑" w:hAnsi="微软雅黑" w:eastAsia="微软雅黑" w:cs="微软雅黑"/>
          <w:spacing w:val="4"/>
          <w:sz w:val="24"/>
          <w:szCs w:val="24"/>
          <w:lang w:eastAsia="zh-CN"/>
        </w:rPr>
        <w:t>，结算价报</w:t>
      </w:r>
      <w:r>
        <w:rPr>
          <w:rFonts w:hint="eastAsia" w:ascii="微软雅黑" w:hAnsi="微软雅黑" w:eastAsia="微软雅黑" w:cs="微软雅黑"/>
          <w:spacing w:val="4"/>
          <w:sz w:val="24"/>
          <w:szCs w:val="24"/>
          <w:lang w:val="en-US" w:eastAsia="zh-CN"/>
        </w:rPr>
        <w:t>81.01美</w:t>
      </w:r>
      <w:r>
        <w:rPr>
          <w:rFonts w:hint="eastAsia" w:ascii="微软雅黑" w:hAnsi="微软雅黑" w:eastAsia="微软雅黑" w:cs="微软雅黑"/>
          <w:spacing w:val="4"/>
          <w:sz w:val="24"/>
          <w:szCs w:val="24"/>
          <w:lang w:eastAsia="zh-CN"/>
        </w:rPr>
        <w:t>分/磅。</w:t>
      </w:r>
    </w:p>
    <w:p>
      <w:pPr>
        <w:spacing w:before="235" w:line="176" w:lineRule="auto"/>
        <w:jc w:val="both"/>
        <w:rPr>
          <w:rFonts w:hint="default" w:ascii="微软雅黑" w:hAnsi="微软雅黑" w:eastAsia="微软雅黑" w:cs="微软雅黑"/>
          <w:spacing w:val="7"/>
          <w:sz w:val="21"/>
          <w:szCs w:val="21"/>
          <w:lang w:val="en-US" w:eastAsia="zh-CN"/>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t>
      </w:r>
    </w:p>
    <w:p>
      <w:pPr>
        <w:spacing w:before="235" w:line="176" w:lineRule="auto"/>
        <w:jc w:val="both"/>
        <w:rPr>
          <w:rFonts w:hint="eastAsia"/>
          <w:lang w:eastAsia="zh-CN"/>
        </w:rPr>
      </w:pPr>
      <w:r>
        <w:drawing>
          <wp:inline distT="0" distB="0" distL="114300" distR="114300">
            <wp:extent cx="6180455" cy="3797300"/>
            <wp:effectExtent l="0" t="0" r="10795" b="1270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2"/>
                    <a:stretch>
                      <a:fillRect/>
                    </a:stretch>
                  </pic:blipFill>
                  <pic:spPr>
                    <a:xfrm>
                      <a:off x="0" y="0"/>
                      <a:ext cx="6180455" cy="3797300"/>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公开资料整理、瑞达国际</w:t>
      </w:r>
    </w:p>
    <w:p>
      <w:pPr>
        <w:pStyle w:val="2"/>
        <w:spacing w:line="282" w:lineRule="auto"/>
      </w:pPr>
    </w:p>
    <w:p>
      <w:pPr>
        <w:pStyle w:val="2"/>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【香港虚拟货币现货ETF产品正式落地！ 4月24日傍晚，香港证监会官网正式发布虚拟币现货ETF获批名单，华夏（香港）、嘉实国际、博时</w:t>
      </w:r>
      <w:r>
        <w:rPr>
          <w:rFonts w:hint="eastAsia" w:ascii="微软雅黑" w:hAnsi="微软雅黑" w:eastAsia="微软雅黑" w:cs="微软雅黑"/>
          <w:spacing w:val="4"/>
          <w:sz w:val="24"/>
          <w:szCs w:val="24"/>
          <w:lang w:val="en-US" w:eastAsia="zh-CN"/>
        </w:rPr>
        <w:t>基金（</w:t>
      </w:r>
      <w:r>
        <w:rPr>
          <w:rFonts w:hint="eastAsia" w:ascii="微软雅黑" w:hAnsi="微软雅黑" w:eastAsia="微软雅黑" w:cs="微软雅黑"/>
          <w:spacing w:val="4"/>
          <w:sz w:val="24"/>
          <w:szCs w:val="24"/>
          <w:lang w:eastAsia="zh-CN"/>
        </w:rPr>
        <w:t>国际）申</w:t>
      </w:r>
      <w:r>
        <w:rPr>
          <w:rFonts w:hint="eastAsia" w:ascii="微软雅黑" w:hAnsi="微软雅黑" w:eastAsia="微软雅黑" w:cs="微软雅黑"/>
          <w:spacing w:val="4"/>
          <w:sz w:val="24"/>
          <w:szCs w:val="24"/>
          <w:lang w:val="en-US" w:eastAsia="zh-CN"/>
        </w:rPr>
        <w:t>旗下比特币ETF、以太币ETF在港落地，拟定4月29日发行，4月30日在港交所上市。</w:t>
      </w:r>
      <w:r>
        <w:rPr>
          <w:rFonts w:hint="eastAsia" w:ascii="微软雅黑" w:hAnsi="微软雅黑" w:eastAsia="微软雅黑" w:cs="微软雅黑"/>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【美国3月耐用品订单初值环比上升2.6%，预期2.5%，2月终值1.3%。上周MBA30年期固定抵押贷款利率为7.24%，创近5个月以来新高，前值7.13%。】</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【德国4月IFO商业景气指数89.4，预期88.8，前值87.8；商业现况指数88.9，预期88.7，前值88.1；商业预期指数89.9，预期88.7，前值87.5。】</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【德国经济部长罗伯特·哈贝克召开发布会表示，德国政府将2024年经济增长预测从0.2%略微修正为0.3%。】</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【英国4月CBI工业订单差值-23，预期-16，前值-18；工业产出预期差值11，前值8；工业出口订单差值-23，前值-29；工业物价预期差值27，预期20，前值21。】</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【瑞士4月ZEW投资者信心指数17.6，前值11.5；经济现况指数17.7，前值11.1。】</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【意大利4月Istat消费者信心指数95.2，预期96.9，前值96.5；制造业信心指数87.6，预期89.5，前值88.6。】</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【澳大利亚第一季度CPI同比上涨3.6%，为2021年第四季度以来最小涨幅，预期3.5%，前值4.1%；环比上涨1%，预期0.8%，前值0.6%。】</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【加拿大2月零售销售环比下降0.1%，预期升0.1%，前值降0.3%；核心零售销售环比下降0.3%，预期持平，前值升0.5%。】</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【加拿大央行：预计货币政策宽松将是“渐进的”；官员对通胀上行风险更为关注；对于何时会出现需要降息的条件存在分歧；部分委员认为，考虑到通胀下降，保持货币政策过于紧缩存在风险。】</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jc w:val="both"/>
        <w:textAlignment w:val="baseline"/>
        <w:rPr>
          <w:rFonts w:hint="eastAsia" w:ascii="微软雅黑" w:hAnsi="微软雅黑" w:eastAsia="微软雅黑" w:cs="微软雅黑"/>
          <w:spacing w:val="4"/>
          <w:sz w:val="24"/>
          <w:szCs w:val="24"/>
          <w:lang w:eastAsia="zh-CN"/>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2"/>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1"/>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1"/>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1"/>
              <w:spacing w:before="228"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25</w:t>
            </w:r>
          </w:p>
        </w:tc>
        <w:tc>
          <w:tcPr>
            <w:tcW w:w="1143" w:type="dxa"/>
            <w:vAlign w:val="top"/>
          </w:tcPr>
          <w:p>
            <w:pPr>
              <w:pStyle w:val="11"/>
              <w:spacing w:before="243" w:line="172" w:lineRule="auto"/>
              <w:ind w:left="94" w:leftChars="0"/>
              <w:jc w:val="left"/>
              <w:rPr>
                <w:rFonts w:hint="default"/>
                <w:sz w:val="19"/>
                <w:szCs w:val="19"/>
                <w:lang w:val="en-US"/>
              </w:rPr>
            </w:pPr>
            <w:r>
              <w:rPr>
                <w:rFonts w:hint="eastAsia"/>
                <w:b/>
                <w:bCs/>
                <w:spacing w:val="6"/>
                <w:sz w:val="19"/>
                <w:szCs w:val="19"/>
                <w:lang w:val="en-US" w:eastAsia="zh-CN"/>
              </w:rPr>
              <w:t>20：30</w:t>
            </w:r>
          </w:p>
        </w:tc>
        <w:tc>
          <w:tcPr>
            <w:tcW w:w="6679" w:type="dxa"/>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美国4月13日当周续请失业救济人数</w:t>
            </w:r>
            <w:r>
              <w:rPr>
                <w:rFonts w:hint="eastAsia"/>
                <w:sz w:val="19"/>
                <w:szCs w:val="19"/>
                <w:lang w:val="en-US" w:eastAsia="zh-CN"/>
              </w:rPr>
              <w:t>、</w:t>
            </w:r>
            <w:r>
              <w:rPr>
                <w:rFonts w:hint="default" w:eastAsia="微软雅黑"/>
                <w:sz w:val="19"/>
                <w:szCs w:val="19"/>
                <w:lang w:val="en-US" w:eastAsia="zh-CN"/>
              </w:rPr>
              <w:t>月20日当周首次申请失业救济人数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1"/>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25</w:t>
            </w:r>
          </w:p>
        </w:tc>
        <w:tc>
          <w:tcPr>
            <w:tcW w:w="1143" w:type="dxa"/>
            <w:shd w:val="clear" w:color="auto" w:fill="D3EAFF"/>
            <w:vAlign w:val="top"/>
          </w:tcPr>
          <w:p>
            <w:pPr>
              <w:pStyle w:val="11"/>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en-US" w:bidi="ar-SA"/>
              </w:rPr>
            </w:pPr>
            <w:r>
              <w:rPr>
                <w:rFonts w:hint="eastAsia"/>
                <w:b/>
                <w:bCs/>
                <w:spacing w:val="5"/>
                <w:sz w:val="19"/>
                <w:szCs w:val="19"/>
                <w:lang w:val="en-US" w:eastAsia="zh-CN"/>
              </w:rPr>
              <w:t>20：30</w:t>
            </w:r>
          </w:p>
        </w:tc>
        <w:tc>
          <w:tcPr>
            <w:tcW w:w="6679" w:type="dxa"/>
            <w:shd w:val="clear" w:color="auto" w:fill="D3EAFF"/>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美国3月批发库存初值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1"/>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25</w:t>
            </w:r>
          </w:p>
        </w:tc>
        <w:tc>
          <w:tcPr>
            <w:tcW w:w="1143" w:type="dxa"/>
            <w:vAlign w:val="top"/>
          </w:tcPr>
          <w:p>
            <w:pPr>
              <w:pStyle w:val="11"/>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20：30</w:t>
            </w:r>
          </w:p>
        </w:tc>
        <w:tc>
          <w:tcPr>
            <w:tcW w:w="6679" w:type="dxa"/>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美国3月商品贸易帐</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1"/>
              <w:spacing w:before="230"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25</w:t>
            </w:r>
          </w:p>
        </w:tc>
        <w:tc>
          <w:tcPr>
            <w:tcW w:w="1143" w:type="dxa"/>
            <w:shd w:val="clear" w:color="auto" w:fill="D3EAFF"/>
            <w:vAlign w:val="top"/>
          </w:tcPr>
          <w:p>
            <w:pPr>
              <w:pStyle w:val="11"/>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20：30</w:t>
            </w:r>
          </w:p>
        </w:tc>
        <w:tc>
          <w:tcPr>
            <w:tcW w:w="6679" w:type="dxa"/>
            <w:shd w:val="clear" w:color="auto" w:fill="D3EAFF"/>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美国一季度核心个人消费支出(PCE)物价指数年化季初值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11"/>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25</w:t>
            </w:r>
          </w:p>
        </w:tc>
        <w:tc>
          <w:tcPr>
            <w:tcW w:w="1143" w:type="dxa"/>
            <w:shd w:val="clear" w:color="auto" w:fill="FFFFFF" w:themeFill="background1"/>
            <w:vAlign w:val="top"/>
          </w:tcPr>
          <w:p>
            <w:pPr>
              <w:pStyle w:val="11"/>
              <w:spacing w:before="245" w:line="172" w:lineRule="auto"/>
              <w:ind w:left="101" w:leftChars="0"/>
              <w:jc w:val="left"/>
              <w:rPr>
                <w:rFonts w:hint="eastAsia"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20：30</w:t>
            </w:r>
          </w:p>
        </w:tc>
        <w:tc>
          <w:tcPr>
            <w:tcW w:w="6679" w:type="dxa"/>
            <w:shd w:val="clear" w:color="auto" w:fill="FFFFFF" w:themeFill="background1"/>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美国一季度实际GDP年化季环比初值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1"/>
              <w:spacing w:before="230" w:line="191" w:lineRule="auto"/>
              <w:ind w:left="449" w:leftChars="0"/>
              <w:rPr>
                <w:b/>
                <w:bCs/>
                <w:spacing w:val="3"/>
                <w:sz w:val="19"/>
                <w:szCs w:val="19"/>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25</w:t>
            </w:r>
          </w:p>
        </w:tc>
        <w:tc>
          <w:tcPr>
            <w:tcW w:w="1143" w:type="dxa"/>
            <w:shd w:val="clear" w:color="auto" w:fill="D3EAFF"/>
            <w:vAlign w:val="top"/>
          </w:tcPr>
          <w:p>
            <w:pPr>
              <w:pStyle w:val="11"/>
              <w:spacing w:before="245" w:line="172" w:lineRule="auto"/>
              <w:ind w:left="101" w:leftChars="0"/>
              <w:jc w:val="left"/>
              <w:rPr>
                <w:rFonts w:hint="eastAsia"/>
                <w:b/>
                <w:bCs/>
                <w:spacing w:val="5"/>
                <w:sz w:val="19"/>
                <w:szCs w:val="19"/>
                <w:lang w:val="en-US" w:eastAsia="zh-CN"/>
              </w:rPr>
            </w:pPr>
            <w:r>
              <w:rPr>
                <w:rFonts w:hint="eastAsia"/>
                <w:b/>
                <w:bCs/>
                <w:spacing w:val="5"/>
                <w:sz w:val="19"/>
                <w:szCs w:val="19"/>
                <w:lang w:val="en-US" w:eastAsia="zh-CN"/>
              </w:rPr>
              <w:t>22：00</w:t>
            </w:r>
          </w:p>
        </w:tc>
        <w:tc>
          <w:tcPr>
            <w:tcW w:w="6679" w:type="dxa"/>
            <w:shd w:val="clear" w:color="auto" w:fill="D3EAFF"/>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美国3月成屋签约销售指数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11"/>
              <w:spacing w:before="230" w:line="191" w:lineRule="auto"/>
              <w:ind w:left="449" w:leftChars="0"/>
              <w:rPr>
                <w:b/>
                <w:bCs/>
                <w:spacing w:val="3"/>
                <w:sz w:val="19"/>
                <w:szCs w:val="19"/>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25</w:t>
            </w:r>
          </w:p>
        </w:tc>
        <w:tc>
          <w:tcPr>
            <w:tcW w:w="1143" w:type="dxa"/>
            <w:shd w:val="clear" w:color="auto" w:fill="FFFFFF" w:themeFill="background1"/>
            <w:vAlign w:val="top"/>
          </w:tcPr>
          <w:p>
            <w:pPr>
              <w:pStyle w:val="11"/>
              <w:spacing w:before="245" w:line="172" w:lineRule="auto"/>
              <w:ind w:left="101" w:leftChars="0"/>
              <w:jc w:val="left"/>
              <w:rPr>
                <w:rFonts w:hint="eastAsia"/>
                <w:b/>
                <w:bCs/>
                <w:spacing w:val="5"/>
                <w:sz w:val="19"/>
                <w:szCs w:val="19"/>
                <w:lang w:val="en-US" w:eastAsia="zh-CN"/>
              </w:rPr>
            </w:pPr>
            <w:r>
              <w:rPr>
                <w:rFonts w:hint="eastAsia"/>
                <w:b/>
                <w:bCs/>
                <w:spacing w:val="5"/>
                <w:sz w:val="19"/>
                <w:szCs w:val="19"/>
                <w:lang w:val="en-US" w:eastAsia="zh-CN"/>
              </w:rPr>
              <w:t>23：00</w:t>
            </w:r>
          </w:p>
        </w:tc>
        <w:tc>
          <w:tcPr>
            <w:tcW w:w="6679" w:type="dxa"/>
            <w:shd w:val="clear" w:color="auto" w:fill="FFFFFF" w:themeFill="background1"/>
            <w:vAlign w:val="top"/>
          </w:tcPr>
          <w:p>
            <w:pPr>
              <w:pStyle w:val="11"/>
              <w:spacing w:before="230" w:line="191" w:lineRule="auto"/>
              <w:ind w:left="449" w:leftChars="0"/>
              <w:jc w:val="center"/>
              <w:rPr>
                <w:rFonts w:hint="default" w:eastAsia="微软雅黑"/>
                <w:sz w:val="19"/>
                <w:szCs w:val="19"/>
                <w:lang w:val="en-US" w:eastAsia="zh-CN"/>
              </w:rPr>
            </w:pPr>
            <w:r>
              <w:rPr>
                <w:rFonts w:hint="default" w:eastAsia="微软雅黑"/>
                <w:sz w:val="19"/>
                <w:szCs w:val="19"/>
                <w:lang w:val="en-US" w:eastAsia="zh-CN"/>
              </w:rPr>
              <w:t>美国4月堪萨斯联储制造业综合指数</w:t>
            </w:r>
          </w:p>
        </w:tc>
      </w:tr>
    </w:tbl>
    <w:p>
      <w:pPr>
        <w:spacing w:before="120" w:line="190" w:lineRule="auto"/>
        <w:rPr>
          <w:rFonts w:ascii="微软雅黑" w:hAnsi="微软雅黑" w:eastAsia="微软雅黑" w:cs="微软雅黑"/>
          <w:color w:val="036EB8"/>
          <w:position w:val="-4"/>
          <w:sz w:val="28"/>
          <w:szCs w:val="28"/>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周四，美元指数涨0.11%报105.82，非美货币多数下跌，欧元兑美元跌0.02%报1.0699，英镑兑美元涨0.13%报1.2465，澳元兑美元涨0.17%报0.6498，美元兑日元涨0.33%报155.35。美国3月耐用品订单初值环比上升2.6%，预期2.5%，2月终值1.3%，或暗示整体经济消费需求或仍保有一定韧性。上周MBA30年期固定抵押贷款利率为7.24%，创近5个月以来新高，前值7.13%，借贷成本增加或进一步抑制美国地产相关购买需求。往后看，短期内美国经济维持强势且与非美国家利差预期或持续走阔，美元指数或得到一定支撑。</w:t>
      </w:r>
    </w:p>
    <w:p>
      <w:pPr>
        <w:spacing w:before="235" w:line="176" w:lineRule="auto"/>
        <w:jc w:val="both"/>
        <w:rPr>
          <w:rFonts w:hint="default" w:ascii="微软雅黑" w:hAnsi="微软雅黑" w:eastAsia="微软雅黑" w:cs="微软雅黑"/>
          <w:spacing w:val="12"/>
          <w:sz w:val="24"/>
          <w:szCs w:val="24"/>
          <w:lang w:val="en-US" w:eastAsia="zh-CN"/>
        </w:rPr>
      </w:pPr>
      <w:r>
        <w:rPr>
          <w:rFonts w:ascii="微软雅黑" w:hAnsi="微软雅黑" w:eastAsia="微软雅黑" w:cs="微软雅黑"/>
          <w:spacing w:val="7"/>
          <w:sz w:val="21"/>
          <w:szCs w:val="21"/>
        </w:rPr>
        <w:t>图表</w:t>
      </w:r>
      <w:r>
        <w:rPr>
          <w:rFonts w:hint="eastAsia" w:ascii="微软雅黑" w:hAnsi="微软雅黑" w:eastAsia="微软雅黑" w:cs="微软雅黑"/>
          <w:spacing w:val="7"/>
          <w:sz w:val="21"/>
          <w:szCs w:val="21"/>
          <w:lang w:val="en-US" w:eastAsia="zh-CN"/>
        </w:rPr>
        <w:t>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美元指数走势图</w:t>
      </w:r>
    </w:p>
    <w:p>
      <w:pPr>
        <w:spacing w:before="103" w:line="256" w:lineRule="auto"/>
        <w:ind w:right="743"/>
        <w:jc w:val="both"/>
      </w:pPr>
      <w:r>
        <w:drawing>
          <wp:inline distT="0" distB="0" distL="114300" distR="114300">
            <wp:extent cx="6033135" cy="2811145"/>
            <wp:effectExtent l="0" t="0" r="5715" b="825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3"/>
                    <a:stretch>
                      <a:fillRect/>
                    </a:stretch>
                  </pic:blipFill>
                  <pic:spPr>
                    <a:xfrm>
                      <a:off x="0" y="0"/>
                      <a:ext cx="6033135" cy="2811145"/>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4月25日，标普500指数收涨0.02%至5071.63点；迷你标普500主力合约收跌0.64%至5079.75点。美股周三收盘涨跌不一。道指小幅收跌，纳指与标普500指数连续第三个交易日上涨。美债收益率攀升，抵消了一些财报的积极影响。投资者继续关注美联储的利率路径。特斯拉宣布将加速推出平价电动车后股价大涨逾12%。策略上，短线观望为主。</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p>
    <w:p>
      <w:pPr>
        <w:spacing w:before="103" w:line="256" w:lineRule="auto"/>
        <w:ind w:right="743"/>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120" w:line="190" w:lineRule="auto"/>
        <w:jc w:val="both"/>
        <w:rPr>
          <w:rFonts w:ascii="新宋体" w:hAnsi="新宋体" w:eastAsia="新宋体"/>
          <w:b/>
        </w:rPr>
      </w:pPr>
      <w:r>
        <w:rPr>
          <w:rFonts w:ascii="新宋体" w:hAnsi="新宋体" w:eastAsia="新宋体"/>
          <w:b/>
        </w:rPr>
        <w:drawing>
          <wp:inline distT="0" distB="0" distL="0" distR="0">
            <wp:extent cx="6198235" cy="2417445"/>
            <wp:effectExtent l="0" t="0" r="12065"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4"/>
                    <a:stretch>
                      <a:fillRect/>
                    </a:stretch>
                  </pic:blipFill>
                  <pic:spPr>
                    <a:xfrm>
                      <a:off x="0" y="0"/>
                      <a:ext cx="6198235" cy="2417445"/>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截至4月24日，富时中国A50指数收涨0.35%至12238.22点；新交所富时A50期指主力合约收涨0.20%至12240点。投资者对海外流动性预期下修，中东地缘冲突，国内政策新增少共同导致资金风险偏好下降。从一季度的基金持仓来看，混合型加股票型基金规模增长环比基本持平，偏股型基金仓位下降，股市增量资金未见明显增加，从资金供给层面难利好A股，资金博弈局面短期或仍激烈。策略上，短线观望为主。</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富时中国A50走势图</w:t>
      </w:r>
    </w:p>
    <w:p>
      <w:pPr>
        <w:spacing w:before="103" w:line="256" w:lineRule="auto"/>
        <w:ind w:right="743"/>
        <w:jc w:val="both"/>
        <w:rPr>
          <w:rFonts w:ascii="新宋体" w:hAnsi="新宋体" w:eastAsia="新宋体"/>
        </w:rPr>
      </w:pPr>
      <w:r>
        <w:rPr>
          <w:rFonts w:ascii="新宋体" w:hAnsi="新宋体" w:eastAsia="新宋体"/>
        </w:rPr>
        <w:drawing>
          <wp:inline distT="0" distB="0" distL="0" distR="0">
            <wp:extent cx="6045200" cy="2758440"/>
            <wp:effectExtent l="0" t="0" r="1270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045200" cy="2758440"/>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before="103" w:line="256" w:lineRule="auto"/>
        <w:ind w:right="743" w:firstLine="528" w:firstLineChars="200"/>
        <w:jc w:val="both"/>
        <w:rPr>
          <w:rFonts w:hint="default" w:ascii="微软雅黑" w:hAnsi="微软雅黑" w:eastAsia="微软雅黑" w:cs="微软雅黑"/>
          <w:spacing w:val="12"/>
          <w:sz w:val="24"/>
          <w:szCs w:val="24"/>
          <w:lang w:val="en-US" w:eastAsia="zh-CN"/>
        </w:rPr>
      </w:pPr>
      <w:r>
        <w:rPr>
          <w:rFonts w:hint="default" w:ascii="微软雅黑" w:hAnsi="微软雅黑" w:eastAsia="微软雅黑" w:cs="微软雅黑"/>
          <w:spacing w:val="12"/>
          <w:sz w:val="24"/>
          <w:szCs w:val="24"/>
          <w:lang w:val="en-US" w:eastAsia="zh-CN"/>
        </w:rPr>
        <w:t>隔夜COMEX铜震荡偏强，其中2407合约报收4.485美元/磅，涨跌幅+0.56%。国际方面，市场在等待一季度PCE数据，美元指数亚盘走强后维持震荡，最终收涨0.12%，报105.82。10年期美债收益率最终收报4.646%。对美联储政策利率最敏感的2年期美债收益率最终收报4.941%。国内方面，目前，包括中央预算内投资、地方政府专项债券、增发国债、超长期特别国债等在内的多路资金正加快下达。库存方面，截至4月24日，LME铜库存为120225吨，环比-375吨；COMEX铜库存26173短吨，环比-377短吨；SHFE每日仓单220711吨，环比-279吨。欧美库存小幅去化，国内库存已逐步开始削减。操作上，建议COMEX铜2407合约轻仓震荡偏多交易，注意交易节奏及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铜日线走势图</w:t>
      </w:r>
    </w:p>
    <w:p>
      <w:pPr>
        <w:spacing w:before="103" w:line="256" w:lineRule="auto"/>
        <w:ind w:right="743"/>
        <w:jc w:val="both"/>
      </w:pPr>
      <w:r>
        <w:drawing>
          <wp:inline distT="0" distB="0" distL="0" distR="0">
            <wp:extent cx="6007100" cy="2591435"/>
            <wp:effectExtent l="0" t="0" r="12700" b="184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6"/>
                    <a:stretch>
                      <a:fillRect/>
                    </a:stretch>
                  </pic:blipFill>
                  <pic:spPr>
                    <a:xfrm>
                      <a:off x="0" y="0"/>
                      <a:ext cx="6007100" cy="2591435"/>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资料来源：同花顺、瑞达国际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近期地缘冲突暂无显著升级，市场避险情绪有所回落，前期受地缘不确定性扰乱的原油价格同样下滑，市场对整体通胀水平上涨担忧有所下降。与此同时，在当前西方国家仍维持紧缩货币政策的状况下，多数国家最新公布的PMI数据显示制造业商业活跃度超预期下降。即便多数商品价格在供给端承压的影响下有所上涨，但需求端表现不及预期或抑制整体商品上涨趋势，未来通胀预期或有所下调。截至4月24日，SPDR Gold Trust黄金ETF持仓量为833.63吨，较上一交易日持平。往后看，短期内在避险需求以及通胀预期反转的情况下贵金属价格或相对承压。操作上建议，日内轻仓做空，请投资者注意风险控制。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r>
        <w:rPr>
          <w:rFonts w:hint="eastAsia" w:ascii="微软雅黑" w:hAnsi="微软雅黑" w:eastAsia="微软雅黑" w:cs="微软雅黑"/>
          <w:spacing w:val="7"/>
          <w:sz w:val="21"/>
          <w:szCs w:val="21"/>
          <w:lang w:val="en-US" w:eastAsia="zh-CN"/>
        </w:rPr>
        <w:t xml:space="preserve">  </w:t>
      </w:r>
    </w:p>
    <w:p>
      <w:pPr>
        <w:spacing w:before="103" w:line="256" w:lineRule="auto"/>
        <w:ind w:right="743"/>
        <w:jc w:val="both"/>
      </w:pPr>
      <w:r>
        <w:drawing>
          <wp:inline distT="0" distB="0" distL="114300" distR="114300">
            <wp:extent cx="6205220" cy="2059305"/>
            <wp:effectExtent l="0" t="0" r="5080" b="1714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7"/>
                    <a:stretch>
                      <a:fillRect/>
                    </a:stretch>
                  </pic:blipFill>
                  <pic:spPr>
                    <a:xfrm>
                      <a:off x="0" y="0"/>
                      <a:ext cx="6205220" cy="205930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原油</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国际原油市场小幅下跌，布伦特原油6月期货合约结算价报88.02美元/桶，跌幅0.5%；美国WTI原油6月期货合约结算价报82.81元/桶，跌幅0.7%。美国4月制造业PMI数据意外回落，美联储降息预期有所改善，市场关注美国GDP和PCE数据，美元指数小幅回升。欧佩克联盟产油国将自愿减产措施延长到二季度，沙特将自愿减产100万桶/日，俄罗斯将在二季度自愿削减供应47.1万桶/日；EIA美国原油库存大幅下降；乌克兰无人机袭击俄罗斯两个石油储备库，伊朗和以色列无意升级冲突，中东地缘局势忧虑情绪有所缓和，市场权衡地缘局势与美联储降息推迟影响，短线原油期价呈现震荡整理。操作上，建议短线交易为主。短期呈现宽幅震荡走势。支撑位：80.5；压力位：83.9。</w:t>
      </w:r>
      <w:bookmarkStart w:id="2" w:name="_GoBack"/>
      <w:bookmarkEnd w:id="2"/>
    </w:p>
    <w:p>
      <w:pPr>
        <w:spacing w:before="103" w:line="256" w:lineRule="auto"/>
        <w:ind w:right="743"/>
        <w:jc w:val="both"/>
      </w:pPr>
      <w:r>
        <w:rPr>
          <w:rFonts w:hint="eastAsia" w:ascii="微软雅黑" w:hAnsi="微软雅黑" w:eastAsia="微软雅黑" w:cs="微软雅黑"/>
          <w:spacing w:val="7"/>
          <w:sz w:val="21"/>
          <w:szCs w:val="21"/>
          <w:lang w:val="en-US" w:eastAsia="zh-CN"/>
        </w:rPr>
        <w:t>图7：原油（WTI）走势图</w:t>
      </w:r>
    </w:p>
    <w:p>
      <w:pPr>
        <w:spacing w:before="103" w:line="256" w:lineRule="auto"/>
        <w:ind w:right="743"/>
        <w:jc w:val="both"/>
        <w:rPr>
          <w:rFonts w:hint="eastAsia"/>
        </w:rPr>
      </w:pPr>
      <w:r>
        <w:drawing>
          <wp:inline distT="0" distB="0" distL="0" distR="0">
            <wp:extent cx="6092825" cy="2503170"/>
            <wp:effectExtent l="0" t="0" r="3175"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6092825" cy="2503170"/>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default"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w:t>
      </w:r>
      <w:bookmarkStart w:id="0" w:name="OLE_LINK4"/>
      <w:bookmarkStart w:id="1" w:name="OLE_LINK3"/>
      <w:r>
        <w:rPr>
          <w:rFonts w:hint="eastAsia" w:ascii="微软雅黑" w:hAnsi="微软雅黑" w:eastAsia="微软雅黑" w:cs="微软雅黑"/>
          <w:b/>
          <w:bCs/>
          <w:spacing w:val="12"/>
          <w:sz w:val="24"/>
          <w:szCs w:val="24"/>
          <w:lang w:val="en-US" w:eastAsia="zh-CN"/>
        </w:rPr>
        <w:t>棉花</w:t>
      </w:r>
    </w:p>
    <w:bookmarkEnd w:id="0"/>
    <w:bookmarkEnd w:id="1"/>
    <w:p>
      <w:pPr>
        <w:spacing w:before="103" w:line="256" w:lineRule="auto"/>
        <w:ind w:right="743" w:firstLine="528" w:firstLineChars="200"/>
        <w:jc w:val="both"/>
        <w:rPr>
          <w:rFonts w:hint="eastAsia" w:ascii="微软雅黑" w:hAnsi="微软雅黑" w:eastAsia="微软雅黑" w:cs="微软雅黑"/>
          <w:spacing w:val="12"/>
          <w:sz w:val="24"/>
          <w:szCs w:val="24"/>
          <w:lang w:val="zh-CN" w:eastAsia="zh-CN"/>
        </w:rPr>
      </w:pPr>
      <w:r>
        <w:rPr>
          <w:rFonts w:hint="eastAsia" w:ascii="微软雅黑" w:hAnsi="微软雅黑" w:eastAsia="微软雅黑" w:cs="微软雅黑"/>
          <w:spacing w:val="12"/>
          <w:sz w:val="24"/>
          <w:szCs w:val="24"/>
          <w:lang w:val="zh-CN" w:eastAsia="zh-CN"/>
        </w:rPr>
        <w:t>洲际交易所(ICE)棉花期货周三下跌，因金融市场消极人气打压，且美元走强施压棉市，交投最活跃的ICE 7月期棉收跌0.71美分或0.86%，结算价报81.01美分/磅，新年度美国棉花生长种植率有所提升，但仍低于去年同期，美国农业部发布的美国棉花生长报告显示，截至4月14日当周，美棉种植率为8%，前周为5%，去年同期为7%，五年均值为8%。美棉主力价格关注上方压力87.0美分/磅，下方支撑77.0美分/磅。建议7月ICE期棉短期暂且观望为宜。</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8：ICE棉花</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7"/>
          <w:sz w:val="21"/>
          <w:szCs w:val="21"/>
          <w:lang w:val="zh-CN" w:eastAsia="zh-CN"/>
        </w:rPr>
      </w:pPr>
      <w:r>
        <w:rPr>
          <w:rFonts w:hint="eastAsia"/>
          <w:lang w:val="en-US" w:eastAsia="zh-CN"/>
        </w:rPr>
        <w:drawing>
          <wp:inline distT="0" distB="0" distL="114300" distR="114300">
            <wp:extent cx="6011545" cy="2432050"/>
            <wp:effectExtent l="0" t="0" r="8255" b="6350"/>
            <wp:docPr id="24" name="图片 3" descr="QQ截图2024042508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QQ截图20240425080214"/>
                    <pic:cNvPicPr>
                      <a:picLocks noChangeAspect="1"/>
                    </pic:cNvPicPr>
                  </pic:nvPicPr>
                  <pic:blipFill>
                    <a:blip r:embed="rId19"/>
                    <a:stretch>
                      <a:fillRect/>
                    </a:stretch>
                  </pic:blipFill>
                  <pic:spPr>
                    <a:xfrm>
                      <a:off x="0" y="0"/>
                      <a:ext cx="6011545" cy="243205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p>
    <w:p>
      <w:pPr>
        <w:spacing w:before="103" w:line="256" w:lineRule="auto"/>
        <w:ind w:left="3" w:right="743" w:firstLine="535"/>
        <w:jc w:val="both"/>
        <w:rPr>
          <w:rFonts w:hint="eastAsia" w:ascii="微软雅黑" w:hAnsi="微软雅黑" w:eastAsia="微软雅黑" w:cs="微软雅黑"/>
          <w:spacing w:val="12"/>
          <w:sz w:val="24"/>
          <w:szCs w:val="24"/>
          <w:lang w:val="zh-CN" w:eastAsia="zh-CN"/>
        </w:rPr>
      </w:pPr>
      <w:r>
        <w:rPr>
          <w:rFonts w:hint="eastAsia" w:ascii="微软雅黑" w:hAnsi="微软雅黑" w:eastAsia="微软雅黑" w:cs="微软雅黑"/>
          <w:spacing w:val="12"/>
          <w:sz w:val="24"/>
          <w:szCs w:val="24"/>
          <w:lang w:val="zh-CN" w:eastAsia="zh-CN"/>
        </w:rPr>
        <w:t>洲际期货交易所（ICE）原糖期货周三上涨，市场关注巴西产量方面消息，交投最活跃的ICE 7月原糖期货合约收盘收涨0.01美分或0.05%，结算价每磅19.77美分。北半球印度、泰国产量减幅不及预期，当前印度糖产量已达3020.2万吨，同比小幅增加。印度糖出口限制政策或有所松动。市场迎来巴西新榨季，出口仍表现强劲，利空原糖市场。巴西航运机构Williams发布的数据显示，截至4月17日当周巴西港口等待装运食糖的船只数量为80艘，此前一周为72艘。港口等待装运的食糖数量为286.86万吨，此前一周为265.1万吨。当周等待装运出口的食糖船只数量继续大幅增加，运输进度开始放缓。美糖主力价格关注上方阻力20.5美分/磅，下方支撑18.8美分/磅。操作上，建议7月 ICE 原糖短期暂且观望。</w:t>
      </w:r>
    </w:p>
    <w:p>
      <w:pPr>
        <w:spacing w:before="103" w:line="256" w:lineRule="auto"/>
        <w:ind w:right="743"/>
        <w:jc w:val="both"/>
        <w:rPr>
          <w:rFonts w:hint="eastAsia" w:ascii="微软雅黑" w:hAnsi="微软雅黑" w:eastAsia="微软雅黑" w:cs="微软雅黑"/>
          <w:spacing w:val="12"/>
          <w:sz w:val="24"/>
          <w:szCs w:val="24"/>
          <w:lang w:val="zh-CN" w:eastAsia="zh-CN"/>
        </w:rPr>
      </w:pPr>
    </w:p>
    <w:p>
      <w:pPr>
        <w:spacing w:before="103" w:line="256" w:lineRule="auto"/>
        <w:ind w:right="743"/>
        <w:jc w:val="both"/>
        <w:rPr>
          <w:rFonts w:hint="eastAsia" w:ascii="微软雅黑" w:hAnsi="微软雅黑" w:eastAsia="微软雅黑" w:cs="微软雅黑"/>
          <w:spacing w:val="12"/>
          <w:sz w:val="24"/>
          <w:szCs w:val="24"/>
          <w:lang w:val="zh-CN" w:eastAsia="zh-CN"/>
        </w:rPr>
      </w:pPr>
    </w:p>
    <w:p>
      <w:pPr>
        <w:spacing w:before="103" w:line="256" w:lineRule="auto"/>
        <w:ind w:right="743"/>
        <w:jc w:val="both"/>
        <w:rPr>
          <w:rFonts w:ascii="微软雅黑" w:hAnsi="微软雅黑" w:eastAsia="微软雅黑" w:cs="微软雅黑"/>
          <w:color w:val="CE393F"/>
          <w:spacing w:val="8"/>
          <w:position w:val="2"/>
          <w:sz w:val="40"/>
          <w:szCs w:val="40"/>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9：ICE原糖</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lang w:val="en-US" w:eastAsia="zh-CN"/>
        </w:rPr>
        <w:drawing>
          <wp:inline distT="0" distB="0" distL="114300" distR="114300">
            <wp:extent cx="6069965" cy="2402840"/>
            <wp:effectExtent l="0" t="0" r="6985" b="16510"/>
            <wp:docPr id="25" name="图片 4" descr="QQ截图2024042508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QQ截图20240425080159"/>
                    <pic:cNvPicPr>
                      <a:picLocks noChangeAspect="1"/>
                    </pic:cNvPicPr>
                  </pic:nvPicPr>
                  <pic:blipFill>
                    <a:blip r:embed="rId20"/>
                    <a:stretch>
                      <a:fillRect/>
                    </a:stretch>
                  </pic:blipFill>
                  <pic:spPr>
                    <a:xfrm>
                      <a:off x="0" y="0"/>
                      <a:ext cx="6069965" cy="240284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72" w:line="417" w:lineRule="exact"/>
        <w:rPr>
          <w:rFonts w:hint="eastAsia" w:ascii="微软雅黑" w:hAnsi="微软雅黑" w:eastAsia="微软雅黑" w:cs="微软雅黑"/>
          <w:color w:val="036EB8"/>
          <w:position w:val="-4"/>
          <w:sz w:val="28"/>
          <w:szCs w:val="28"/>
          <w:lang w:eastAsia="zh-CN"/>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8"/>
          <w:sz w:val="18"/>
          <w:szCs w:val="18"/>
        </w:rPr>
        <w:t>则。</w:t>
      </w:r>
    </w:p>
    <w:p>
      <w:pPr>
        <w:spacing w:before="34" w:line="189" w:lineRule="auto"/>
        <w:ind w:left="337" w:right="707" w:firstLine="381"/>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2"/>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2"/>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0C024B"/>
    <w:rsid w:val="001431C1"/>
    <w:rsid w:val="00181D4B"/>
    <w:rsid w:val="004E0863"/>
    <w:rsid w:val="00593490"/>
    <w:rsid w:val="005F4A09"/>
    <w:rsid w:val="00727595"/>
    <w:rsid w:val="008D4A14"/>
    <w:rsid w:val="00920750"/>
    <w:rsid w:val="00A42231"/>
    <w:rsid w:val="00C177F8"/>
    <w:rsid w:val="00CA7EEA"/>
    <w:rsid w:val="00CE6532"/>
    <w:rsid w:val="00CE72AE"/>
    <w:rsid w:val="00D348C5"/>
    <w:rsid w:val="00DC19CB"/>
    <w:rsid w:val="00E16FE2"/>
    <w:rsid w:val="00E442E6"/>
    <w:rsid w:val="00E64644"/>
    <w:rsid w:val="010235FB"/>
    <w:rsid w:val="011E3D92"/>
    <w:rsid w:val="013C05EC"/>
    <w:rsid w:val="0140116F"/>
    <w:rsid w:val="014337F8"/>
    <w:rsid w:val="014541E2"/>
    <w:rsid w:val="01486DF0"/>
    <w:rsid w:val="01761E20"/>
    <w:rsid w:val="017B7436"/>
    <w:rsid w:val="018F67B1"/>
    <w:rsid w:val="019734A3"/>
    <w:rsid w:val="019E3125"/>
    <w:rsid w:val="01AE15BA"/>
    <w:rsid w:val="01B6046E"/>
    <w:rsid w:val="01C257A0"/>
    <w:rsid w:val="01D31020"/>
    <w:rsid w:val="01FA65AD"/>
    <w:rsid w:val="02055605"/>
    <w:rsid w:val="021052EA"/>
    <w:rsid w:val="02151639"/>
    <w:rsid w:val="021D5BFB"/>
    <w:rsid w:val="02296E92"/>
    <w:rsid w:val="024953BD"/>
    <w:rsid w:val="02590402"/>
    <w:rsid w:val="02604182"/>
    <w:rsid w:val="027125E7"/>
    <w:rsid w:val="028D7421"/>
    <w:rsid w:val="02A532B5"/>
    <w:rsid w:val="02A97FD3"/>
    <w:rsid w:val="02B7624C"/>
    <w:rsid w:val="02BA5D3C"/>
    <w:rsid w:val="02BC7D06"/>
    <w:rsid w:val="02BE582C"/>
    <w:rsid w:val="02CD47AD"/>
    <w:rsid w:val="02D04F80"/>
    <w:rsid w:val="02DC4B76"/>
    <w:rsid w:val="02FD0060"/>
    <w:rsid w:val="0301396B"/>
    <w:rsid w:val="030342BE"/>
    <w:rsid w:val="030659D3"/>
    <w:rsid w:val="0321400D"/>
    <w:rsid w:val="032338E1"/>
    <w:rsid w:val="033C0E47"/>
    <w:rsid w:val="0350044F"/>
    <w:rsid w:val="03661A20"/>
    <w:rsid w:val="03705048"/>
    <w:rsid w:val="03767EB5"/>
    <w:rsid w:val="037D56E7"/>
    <w:rsid w:val="037E5587"/>
    <w:rsid w:val="03824AAC"/>
    <w:rsid w:val="03843986"/>
    <w:rsid w:val="03891409"/>
    <w:rsid w:val="038E44A6"/>
    <w:rsid w:val="03AA4003"/>
    <w:rsid w:val="03B31109"/>
    <w:rsid w:val="03C54999"/>
    <w:rsid w:val="03CF5817"/>
    <w:rsid w:val="03D44348"/>
    <w:rsid w:val="03D64DF8"/>
    <w:rsid w:val="03E33071"/>
    <w:rsid w:val="03F31506"/>
    <w:rsid w:val="03FE7EAB"/>
    <w:rsid w:val="0402799B"/>
    <w:rsid w:val="04040FB1"/>
    <w:rsid w:val="0405375F"/>
    <w:rsid w:val="04145465"/>
    <w:rsid w:val="04253689"/>
    <w:rsid w:val="043B3CCE"/>
    <w:rsid w:val="04405814"/>
    <w:rsid w:val="044F0706"/>
    <w:rsid w:val="045A6DD9"/>
    <w:rsid w:val="04620439"/>
    <w:rsid w:val="04695C6C"/>
    <w:rsid w:val="04725735"/>
    <w:rsid w:val="04787C5D"/>
    <w:rsid w:val="0480160E"/>
    <w:rsid w:val="04914704"/>
    <w:rsid w:val="0495080F"/>
    <w:rsid w:val="049D5915"/>
    <w:rsid w:val="04BF588C"/>
    <w:rsid w:val="04CD0E7B"/>
    <w:rsid w:val="04CD5176"/>
    <w:rsid w:val="04E43544"/>
    <w:rsid w:val="04E55250"/>
    <w:rsid w:val="04F95601"/>
    <w:rsid w:val="04FB69FF"/>
    <w:rsid w:val="050647B6"/>
    <w:rsid w:val="05173E06"/>
    <w:rsid w:val="051A6F66"/>
    <w:rsid w:val="053D4696"/>
    <w:rsid w:val="054933A7"/>
    <w:rsid w:val="055F4D69"/>
    <w:rsid w:val="056D52E8"/>
    <w:rsid w:val="058F34B0"/>
    <w:rsid w:val="059D2DAA"/>
    <w:rsid w:val="05AC4062"/>
    <w:rsid w:val="05C869C2"/>
    <w:rsid w:val="061708BA"/>
    <w:rsid w:val="06205AC4"/>
    <w:rsid w:val="066D7B6C"/>
    <w:rsid w:val="06874187"/>
    <w:rsid w:val="06920D0C"/>
    <w:rsid w:val="06AC1E40"/>
    <w:rsid w:val="06BD404D"/>
    <w:rsid w:val="06D40C03"/>
    <w:rsid w:val="06D860E7"/>
    <w:rsid w:val="06E91363"/>
    <w:rsid w:val="06F9676B"/>
    <w:rsid w:val="072919FB"/>
    <w:rsid w:val="07375BAD"/>
    <w:rsid w:val="073949DD"/>
    <w:rsid w:val="073D6F5B"/>
    <w:rsid w:val="07634D60"/>
    <w:rsid w:val="07652B87"/>
    <w:rsid w:val="076F5B99"/>
    <w:rsid w:val="07754928"/>
    <w:rsid w:val="077A4193"/>
    <w:rsid w:val="077D0034"/>
    <w:rsid w:val="07950B26"/>
    <w:rsid w:val="07972AF0"/>
    <w:rsid w:val="07A07BF6"/>
    <w:rsid w:val="07D9719C"/>
    <w:rsid w:val="07DD49A7"/>
    <w:rsid w:val="07EB25E1"/>
    <w:rsid w:val="07F5280A"/>
    <w:rsid w:val="07F67816"/>
    <w:rsid w:val="080F6B2A"/>
    <w:rsid w:val="0828199A"/>
    <w:rsid w:val="082F186D"/>
    <w:rsid w:val="0853247A"/>
    <w:rsid w:val="08534C69"/>
    <w:rsid w:val="085B34CE"/>
    <w:rsid w:val="085E53BC"/>
    <w:rsid w:val="089E2E0C"/>
    <w:rsid w:val="08A234FA"/>
    <w:rsid w:val="08AF5C17"/>
    <w:rsid w:val="08B5322E"/>
    <w:rsid w:val="08B6462D"/>
    <w:rsid w:val="08BD121B"/>
    <w:rsid w:val="08D505E6"/>
    <w:rsid w:val="08DD2784"/>
    <w:rsid w:val="08E949DF"/>
    <w:rsid w:val="08F817D8"/>
    <w:rsid w:val="09063A89"/>
    <w:rsid w:val="090E293E"/>
    <w:rsid w:val="09174F67"/>
    <w:rsid w:val="09252A9B"/>
    <w:rsid w:val="093E76C7"/>
    <w:rsid w:val="09401DAC"/>
    <w:rsid w:val="09420839"/>
    <w:rsid w:val="09491BC8"/>
    <w:rsid w:val="094D16B8"/>
    <w:rsid w:val="09840E52"/>
    <w:rsid w:val="098E4672"/>
    <w:rsid w:val="09903C9B"/>
    <w:rsid w:val="099A2423"/>
    <w:rsid w:val="099E0166"/>
    <w:rsid w:val="09AC6674"/>
    <w:rsid w:val="09AD65FB"/>
    <w:rsid w:val="09AE43B9"/>
    <w:rsid w:val="09B039F5"/>
    <w:rsid w:val="09B110B8"/>
    <w:rsid w:val="09B259BF"/>
    <w:rsid w:val="09D26E62"/>
    <w:rsid w:val="09DA6CC4"/>
    <w:rsid w:val="09F02DF6"/>
    <w:rsid w:val="09F31EAA"/>
    <w:rsid w:val="0A037FC9"/>
    <w:rsid w:val="0A140428"/>
    <w:rsid w:val="0A1470E4"/>
    <w:rsid w:val="0A2A37A7"/>
    <w:rsid w:val="0A2C17A5"/>
    <w:rsid w:val="0A36039E"/>
    <w:rsid w:val="0A3E54A5"/>
    <w:rsid w:val="0A434869"/>
    <w:rsid w:val="0A4C6D5E"/>
    <w:rsid w:val="0A533A62"/>
    <w:rsid w:val="0A544CC8"/>
    <w:rsid w:val="0A5F5B47"/>
    <w:rsid w:val="0A7D5FCD"/>
    <w:rsid w:val="0A823CEB"/>
    <w:rsid w:val="0A8F399C"/>
    <w:rsid w:val="0A943317"/>
    <w:rsid w:val="0A9A6B7F"/>
    <w:rsid w:val="0A9B3267"/>
    <w:rsid w:val="0AA74DF8"/>
    <w:rsid w:val="0AA82AC5"/>
    <w:rsid w:val="0ABF0394"/>
    <w:rsid w:val="0AC0235E"/>
    <w:rsid w:val="0AC75B18"/>
    <w:rsid w:val="0AF44EDF"/>
    <w:rsid w:val="0AF73FD1"/>
    <w:rsid w:val="0AFB0486"/>
    <w:rsid w:val="0AFB3396"/>
    <w:rsid w:val="0AFD2C6A"/>
    <w:rsid w:val="0B02681E"/>
    <w:rsid w:val="0B0B2B07"/>
    <w:rsid w:val="0B0C10FF"/>
    <w:rsid w:val="0B116814"/>
    <w:rsid w:val="0B156206"/>
    <w:rsid w:val="0B2822B8"/>
    <w:rsid w:val="0B310B66"/>
    <w:rsid w:val="0B3F14D4"/>
    <w:rsid w:val="0B3F6A8F"/>
    <w:rsid w:val="0B6149B5"/>
    <w:rsid w:val="0B696551"/>
    <w:rsid w:val="0B775713"/>
    <w:rsid w:val="0B7C44D7"/>
    <w:rsid w:val="0B837613"/>
    <w:rsid w:val="0BA87886"/>
    <w:rsid w:val="0BB06CD5"/>
    <w:rsid w:val="0C023101"/>
    <w:rsid w:val="0C044B13"/>
    <w:rsid w:val="0C16030A"/>
    <w:rsid w:val="0C1618B2"/>
    <w:rsid w:val="0C1E10EA"/>
    <w:rsid w:val="0C430B50"/>
    <w:rsid w:val="0C6311F3"/>
    <w:rsid w:val="0C7358DA"/>
    <w:rsid w:val="0C7426EC"/>
    <w:rsid w:val="0C874AB1"/>
    <w:rsid w:val="0C8A677F"/>
    <w:rsid w:val="0C956C25"/>
    <w:rsid w:val="0CA53877"/>
    <w:rsid w:val="0CA912FB"/>
    <w:rsid w:val="0CE00A95"/>
    <w:rsid w:val="0CE7389C"/>
    <w:rsid w:val="0D272220"/>
    <w:rsid w:val="0D3A56A0"/>
    <w:rsid w:val="0D423C21"/>
    <w:rsid w:val="0D6945E7"/>
    <w:rsid w:val="0D6E7E4F"/>
    <w:rsid w:val="0D766D04"/>
    <w:rsid w:val="0D815DD4"/>
    <w:rsid w:val="0D8E04F1"/>
    <w:rsid w:val="0DAD46AD"/>
    <w:rsid w:val="0DB00467"/>
    <w:rsid w:val="0DDA7292"/>
    <w:rsid w:val="0DEB161A"/>
    <w:rsid w:val="0DEF3128"/>
    <w:rsid w:val="0DF7787E"/>
    <w:rsid w:val="0E211365"/>
    <w:rsid w:val="0E2B5D40"/>
    <w:rsid w:val="0E304A35"/>
    <w:rsid w:val="0E3A5F83"/>
    <w:rsid w:val="0E4F7C80"/>
    <w:rsid w:val="0E5E1F69"/>
    <w:rsid w:val="0E680D42"/>
    <w:rsid w:val="0E6A2D0C"/>
    <w:rsid w:val="0E6D45AA"/>
    <w:rsid w:val="0E74072A"/>
    <w:rsid w:val="0E7D63D0"/>
    <w:rsid w:val="0E8A6F0A"/>
    <w:rsid w:val="0E9D4E90"/>
    <w:rsid w:val="0EA855E3"/>
    <w:rsid w:val="0EAB39B1"/>
    <w:rsid w:val="0EB818FA"/>
    <w:rsid w:val="0EC40C69"/>
    <w:rsid w:val="0ECA5559"/>
    <w:rsid w:val="0ED004CD"/>
    <w:rsid w:val="0ED65BE6"/>
    <w:rsid w:val="0EF357FE"/>
    <w:rsid w:val="0F0E09E8"/>
    <w:rsid w:val="0F1B4006"/>
    <w:rsid w:val="0F3B0205"/>
    <w:rsid w:val="0F425337"/>
    <w:rsid w:val="0F465226"/>
    <w:rsid w:val="0F53554E"/>
    <w:rsid w:val="0F83743D"/>
    <w:rsid w:val="0F8B4EFC"/>
    <w:rsid w:val="0FA25CB6"/>
    <w:rsid w:val="0FB51D65"/>
    <w:rsid w:val="0FB7564B"/>
    <w:rsid w:val="0FC4644C"/>
    <w:rsid w:val="0FCF7FFC"/>
    <w:rsid w:val="0FD85A54"/>
    <w:rsid w:val="0FDC5544"/>
    <w:rsid w:val="0FE10DAC"/>
    <w:rsid w:val="0FFA2AB6"/>
    <w:rsid w:val="10090303"/>
    <w:rsid w:val="100D7DF3"/>
    <w:rsid w:val="101E5B5C"/>
    <w:rsid w:val="10240C99"/>
    <w:rsid w:val="103B02B6"/>
    <w:rsid w:val="104135F9"/>
    <w:rsid w:val="10596B94"/>
    <w:rsid w:val="105A46BB"/>
    <w:rsid w:val="1060257A"/>
    <w:rsid w:val="10613C9B"/>
    <w:rsid w:val="108E34A7"/>
    <w:rsid w:val="10962C7F"/>
    <w:rsid w:val="10A51DDA"/>
    <w:rsid w:val="10A67900"/>
    <w:rsid w:val="10F1501F"/>
    <w:rsid w:val="11005262"/>
    <w:rsid w:val="1126167A"/>
    <w:rsid w:val="112C1D96"/>
    <w:rsid w:val="112D2A00"/>
    <w:rsid w:val="115B7EC7"/>
    <w:rsid w:val="115D0CDB"/>
    <w:rsid w:val="115F642C"/>
    <w:rsid w:val="118367EC"/>
    <w:rsid w:val="119A2EC2"/>
    <w:rsid w:val="11C75D80"/>
    <w:rsid w:val="11DF575B"/>
    <w:rsid w:val="12011292"/>
    <w:rsid w:val="12064AFA"/>
    <w:rsid w:val="120D40DA"/>
    <w:rsid w:val="12241424"/>
    <w:rsid w:val="123A47A4"/>
    <w:rsid w:val="127777A6"/>
    <w:rsid w:val="12837EF9"/>
    <w:rsid w:val="129245E0"/>
    <w:rsid w:val="12AB56A1"/>
    <w:rsid w:val="12B72AC8"/>
    <w:rsid w:val="12C14EC5"/>
    <w:rsid w:val="12C53BAB"/>
    <w:rsid w:val="12C56763"/>
    <w:rsid w:val="12D6271E"/>
    <w:rsid w:val="12DD56D0"/>
    <w:rsid w:val="12E453E1"/>
    <w:rsid w:val="130A686C"/>
    <w:rsid w:val="13392CAD"/>
    <w:rsid w:val="13581385"/>
    <w:rsid w:val="1360023A"/>
    <w:rsid w:val="136F66CF"/>
    <w:rsid w:val="137D0DEC"/>
    <w:rsid w:val="13914897"/>
    <w:rsid w:val="13A33429"/>
    <w:rsid w:val="13AC16D1"/>
    <w:rsid w:val="13E83022"/>
    <w:rsid w:val="14027543"/>
    <w:rsid w:val="14055F2A"/>
    <w:rsid w:val="14073B5C"/>
    <w:rsid w:val="14180B15"/>
    <w:rsid w:val="142D2812"/>
    <w:rsid w:val="143376FC"/>
    <w:rsid w:val="14394D22"/>
    <w:rsid w:val="144E4536"/>
    <w:rsid w:val="14587163"/>
    <w:rsid w:val="145B4DEA"/>
    <w:rsid w:val="146124BC"/>
    <w:rsid w:val="146B1AFA"/>
    <w:rsid w:val="146B50E8"/>
    <w:rsid w:val="14795475"/>
    <w:rsid w:val="148B7538"/>
    <w:rsid w:val="14914C87"/>
    <w:rsid w:val="14AD6D4E"/>
    <w:rsid w:val="14B24AC5"/>
    <w:rsid w:val="14C111AC"/>
    <w:rsid w:val="14D35F6D"/>
    <w:rsid w:val="14E03753"/>
    <w:rsid w:val="14EF7AC7"/>
    <w:rsid w:val="14FE5F5C"/>
    <w:rsid w:val="15035321"/>
    <w:rsid w:val="15121673"/>
    <w:rsid w:val="15227E9D"/>
    <w:rsid w:val="15336827"/>
    <w:rsid w:val="153567EB"/>
    <w:rsid w:val="15357EA3"/>
    <w:rsid w:val="1537362A"/>
    <w:rsid w:val="153F7762"/>
    <w:rsid w:val="1546345F"/>
    <w:rsid w:val="154D0C92"/>
    <w:rsid w:val="15595889"/>
    <w:rsid w:val="157A3DE6"/>
    <w:rsid w:val="15A20FDE"/>
    <w:rsid w:val="15AD4515"/>
    <w:rsid w:val="15BD1974"/>
    <w:rsid w:val="15BF56EC"/>
    <w:rsid w:val="15C23767"/>
    <w:rsid w:val="15FA0A52"/>
    <w:rsid w:val="16094BB9"/>
    <w:rsid w:val="160F471D"/>
    <w:rsid w:val="16184DFC"/>
    <w:rsid w:val="162163A6"/>
    <w:rsid w:val="162F6237"/>
    <w:rsid w:val="163007A4"/>
    <w:rsid w:val="16323E9D"/>
    <w:rsid w:val="16461969"/>
    <w:rsid w:val="16526560"/>
    <w:rsid w:val="16532BAF"/>
    <w:rsid w:val="16573B76"/>
    <w:rsid w:val="16640041"/>
    <w:rsid w:val="167A1613"/>
    <w:rsid w:val="167F4E7B"/>
    <w:rsid w:val="1697252A"/>
    <w:rsid w:val="169A1CB5"/>
    <w:rsid w:val="169F376F"/>
    <w:rsid w:val="16A86180"/>
    <w:rsid w:val="16AB5CAD"/>
    <w:rsid w:val="16AD19E8"/>
    <w:rsid w:val="16B17A67"/>
    <w:rsid w:val="16BC7E7D"/>
    <w:rsid w:val="16C117E9"/>
    <w:rsid w:val="16C136E5"/>
    <w:rsid w:val="16C3745D"/>
    <w:rsid w:val="16CE195E"/>
    <w:rsid w:val="16E84EEA"/>
    <w:rsid w:val="16ED5F07"/>
    <w:rsid w:val="16F05D79"/>
    <w:rsid w:val="16FD42A8"/>
    <w:rsid w:val="16FE3FF2"/>
    <w:rsid w:val="17231CAA"/>
    <w:rsid w:val="17343EB7"/>
    <w:rsid w:val="174F2A9F"/>
    <w:rsid w:val="1750680B"/>
    <w:rsid w:val="17535418"/>
    <w:rsid w:val="17602EFE"/>
    <w:rsid w:val="176B1094"/>
    <w:rsid w:val="177A3F89"/>
    <w:rsid w:val="1789245C"/>
    <w:rsid w:val="17994C66"/>
    <w:rsid w:val="179E5F3A"/>
    <w:rsid w:val="17A50911"/>
    <w:rsid w:val="17A62F40"/>
    <w:rsid w:val="17BC3F9E"/>
    <w:rsid w:val="17C36FE9"/>
    <w:rsid w:val="17EF6030"/>
    <w:rsid w:val="180A2E6A"/>
    <w:rsid w:val="181A30AD"/>
    <w:rsid w:val="182B52BA"/>
    <w:rsid w:val="183124A5"/>
    <w:rsid w:val="1835627A"/>
    <w:rsid w:val="18376899"/>
    <w:rsid w:val="183C317B"/>
    <w:rsid w:val="183E57A4"/>
    <w:rsid w:val="18426433"/>
    <w:rsid w:val="187A665E"/>
    <w:rsid w:val="187C210F"/>
    <w:rsid w:val="188F46B1"/>
    <w:rsid w:val="188F6EFF"/>
    <w:rsid w:val="18A14670"/>
    <w:rsid w:val="18AB1F57"/>
    <w:rsid w:val="18BF5A03"/>
    <w:rsid w:val="18DA6CE0"/>
    <w:rsid w:val="18E95311"/>
    <w:rsid w:val="190E2D54"/>
    <w:rsid w:val="19150708"/>
    <w:rsid w:val="19263CD4"/>
    <w:rsid w:val="19393A07"/>
    <w:rsid w:val="193957B5"/>
    <w:rsid w:val="19397563"/>
    <w:rsid w:val="193B694A"/>
    <w:rsid w:val="197E141A"/>
    <w:rsid w:val="19891B44"/>
    <w:rsid w:val="198C1D89"/>
    <w:rsid w:val="19BF7295"/>
    <w:rsid w:val="19C92FDD"/>
    <w:rsid w:val="19E37FA1"/>
    <w:rsid w:val="19EF40C6"/>
    <w:rsid w:val="19F33BB6"/>
    <w:rsid w:val="1A004525"/>
    <w:rsid w:val="1A1A3838"/>
    <w:rsid w:val="1A2A15A2"/>
    <w:rsid w:val="1A3760C8"/>
    <w:rsid w:val="1A586B42"/>
    <w:rsid w:val="1A642D06"/>
    <w:rsid w:val="1A6D1DE9"/>
    <w:rsid w:val="1A6F016E"/>
    <w:rsid w:val="1A7F5449"/>
    <w:rsid w:val="1A926B26"/>
    <w:rsid w:val="1AAB623F"/>
    <w:rsid w:val="1AB33345"/>
    <w:rsid w:val="1AC83294"/>
    <w:rsid w:val="1ADA4D76"/>
    <w:rsid w:val="1AE300CE"/>
    <w:rsid w:val="1AEA2BE5"/>
    <w:rsid w:val="1AEA73B9"/>
    <w:rsid w:val="1AEE342A"/>
    <w:rsid w:val="1AFE6CB6"/>
    <w:rsid w:val="1B0462E3"/>
    <w:rsid w:val="1B0B3181"/>
    <w:rsid w:val="1B143435"/>
    <w:rsid w:val="1B2E0C1E"/>
    <w:rsid w:val="1B430B6D"/>
    <w:rsid w:val="1B593EEC"/>
    <w:rsid w:val="1B5E1503"/>
    <w:rsid w:val="1B666609"/>
    <w:rsid w:val="1B6F441F"/>
    <w:rsid w:val="1B6F54BE"/>
    <w:rsid w:val="1B7E2ED7"/>
    <w:rsid w:val="1B8A054A"/>
    <w:rsid w:val="1BCC2910"/>
    <w:rsid w:val="1BE952E4"/>
    <w:rsid w:val="1BEA2D97"/>
    <w:rsid w:val="1BEC2FB3"/>
    <w:rsid w:val="1C220782"/>
    <w:rsid w:val="1C295FB5"/>
    <w:rsid w:val="1C2A3ADB"/>
    <w:rsid w:val="1C2C7853"/>
    <w:rsid w:val="1C2F2E9F"/>
    <w:rsid w:val="1C3C502D"/>
    <w:rsid w:val="1C502276"/>
    <w:rsid w:val="1C550B58"/>
    <w:rsid w:val="1C56667E"/>
    <w:rsid w:val="1C5C2AF3"/>
    <w:rsid w:val="1C6F246D"/>
    <w:rsid w:val="1C705992"/>
    <w:rsid w:val="1C730FDE"/>
    <w:rsid w:val="1C760CAC"/>
    <w:rsid w:val="1C7663AE"/>
    <w:rsid w:val="1C840E30"/>
    <w:rsid w:val="1C847E13"/>
    <w:rsid w:val="1C876837"/>
    <w:rsid w:val="1C8E7BC6"/>
    <w:rsid w:val="1C9871D4"/>
    <w:rsid w:val="1C9961A4"/>
    <w:rsid w:val="1C9B0EC5"/>
    <w:rsid w:val="1CA32066"/>
    <w:rsid w:val="1CB42B02"/>
    <w:rsid w:val="1CB6536F"/>
    <w:rsid w:val="1CB6711D"/>
    <w:rsid w:val="1CC63804"/>
    <w:rsid w:val="1CDB7F58"/>
    <w:rsid w:val="1CE56411"/>
    <w:rsid w:val="1CEC2B3E"/>
    <w:rsid w:val="1D063C00"/>
    <w:rsid w:val="1D077978"/>
    <w:rsid w:val="1D1522F2"/>
    <w:rsid w:val="1D23360C"/>
    <w:rsid w:val="1D317F46"/>
    <w:rsid w:val="1D3249F5"/>
    <w:rsid w:val="1D5038FF"/>
    <w:rsid w:val="1D8A2164"/>
    <w:rsid w:val="1D94745E"/>
    <w:rsid w:val="1D9E0B53"/>
    <w:rsid w:val="1DA358F3"/>
    <w:rsid w:val="1DA8010B"/>
    <w:rsid w:val="1DB70C3A"/>
    <w:rsid w:val="1DD11478"/>
    <w:rsid w:val="1DD62C34"/>
    <w:rsid w:val="1DE026A3"/>
    <w:rsid w:val="1DE877AA"/>
    <w:rsid w:val="1E140822"/>
    <w:rsid w:val="1E181E7C"/>
    <w:rsid w:val="1E1A42FF"/>
    <w:rsid w:val="1E401394"/>
    <w:rsid w:val="1E983160"/>
    <w:rsid w:val="1E9F255E"/>
    <w:rsid w:val="1EAB5CA8"/>
    <w:rsid w:val="1ECA0C2F"/>
    <w:rsid w:val="1ECE074D"/>
    <w:rsid w:val="1EDA46D4"/>
    <w:rsid w:val="1F047D4E"/>
    <w:rsid w:val="1F066139"/>
    <w:rsid w:val="1F1A1BE5"/>
    <w:rsid w:val="1F26058A"/>
    <w:rsid w:val="1F2E743E"/>
    <w:rsid w:val="1F43738D"/>
    <w:rsid w:val="1F570A81"/>
    <w:rsid w:val="1F61233D"/>
    <w:rsid w:val="1F69491A"/>
    <w:rsid w:val="1FA34B99"/>
    <w:rsid w:val="1FA70967"/>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B3E66"/>
    <w:rsid w:val="201C373B"/>
    <w:rsid w:val="202111B2"/>
    <w:rsid w:val="203B1E13"/>
    <w:rsid w:val="2040567B"/>
    <w:rsid w:val="204D5FEA"/>
    <w:rsid w:val="20670E5A"/>
    <w:rsid w:val="20814A37"/>
    <w:rsid w:val="20847C5E"/>
    <w:rsid w:val="20970344"/>
    <w:rsid w:val="209C5541"/>
    <w:rsid w:val="20B61DE1"/>
    <w:rsid w:val="20B87907"/>
    <w:rsid w:val="20C067BC"/>
    <w:rsid w:val="20D73FFA"/>
    <w:rsid w:val="20DA5ACF"/>
    <w:rsid w:val="20E4203F"/>
    <w:rsid w:val="20FB47E7"/>
    <w:rsid w:val="210A2CE1"/>
    <w:rsid w:val="210F504D"/>
    <w:rsid w:val="21194443"/>
    <w:rsid w:val="211B39F2"/>
    <w:rsid w:val="213571AA"/>
    <w:rsid w:val="213836B0"/>
    <w:rsid w:val="213B4094"/>
    <w:rsid w:val="214E7D12"/>
    <w:rsid w:val="21690C01"/>
    <w:rsid w:val="21791684"/>
    <w:rsid w:val="21871C2A"/>
    <w:rsid w:val="21893052"/>
    <w:rsid w:val="21934DFE"/>
    <w:rsid w:val="219E4C0D"/>
    <w:rsid w:val="21BF4CC5"/>
    <w:rsid w:val="21DF2D22"/>
    <w:rsid w:val="21E0502A"/>
    <w:rsid w:val="21E0526C"/>
    <w:rsid w:val="21EE1107"/>
    <w:rsid w:val="22016465"/>
    <w:rsid w:val="22237002"/>
    <w:rsid w:val="222D1C2F"/>
    <w:rsid w:val="22317902"/>
    <w:rsid w:val="22397841"/>
    <w:rsid w:val="224156DA"/>
    <w:rsid w:val="22456F79"/>
    <w:rsid w:val="224C47AB"/>
    <w:rsid w:val="224C6559"/>
    <w:rsid w:val="225243A2"/>
    <w:rsid w:val="22695B2D"/>
    <w:rsid w:val="226D64CF"/>
    <w:rsid w:val="227B0BEC"/>
    <w:rsid w:val="227F2611"/>
    <w:rsid w:val="22937CE6"/>
    <w:rsid w:val="22B67F62"/>
    <w:rsid w:val="22B81E40"/>
    <w:rsid w:val="22CF093F"/>
    <w:rsid w:val="22CF2CE6"/>
    <w:rsid w:val="22D57132"/>
    <w:rsid w:val="22D64BAD"/>
    <w:rsid w:val="22F20137"/>
    <w:rsid w:val="22FD42C4"/>
    <w:rsid w:val="2309444A"/>
    <w:rsid w:val="23476D20"/>
    <w:rsid w:val="23503E27"/>
    <w:rsid w:val="23517B9F"/>
    <w:rsid w:val="235F71C6"/>
    <w:rsid w:val="23694EE9"/>
    <w:rsid w:val="23713D9D"/>
    <w:rsid w:val="237750EB"/>
    <w:rsid w:val="237815D0"/>
    <w:rsid w:val="238179BB"/>
    <w:rsid w:val="23A26D7D"/>
    <w:rsid w:val="23BA5744"/>
    <w:rsid w:val="23DA7B95"/>
    <w:rsid w:val="23E40A13"/>
    <w:rsid w:val="23F01166"/>
    <w:rsid w:val="23F24EDE"/>
    <w:rsid w:val="23F82635"/>
    <w:rsid w:val="240B5FA0"/>
    <w:rsid w:val="241F37F9"/>
    <w:rsid w:val="245222E6"/>
    <w:rsid w:val="24613C0B"/>
    <w:rsid w:val="24651B54"/>
    <w:rsid w:val="246F453D"/>
    <w:rsid w:val="24711BFF"/>
    <w:rsid w:val="248144B4"/>
    <w:rsid w:val="2490190B"/>
    <w:rsid w:val="24904744"/>
    <w:rsid w:val="2497134E"/>
    <w:rsid w:val="24B86FB5"/>
    <w:rsid w:val="24BB79C6"/>
    <w:rsid w:val="24E0742D"/>
    <w:rsid w:val="24F212CA"/>
    <w:rsid w:val="25096983"/>
    <w:rsid w:val="250C0222"/>
    <w:rsid w:val="251315B0"/>
    <w:rsid w:val="251956B6"/>
    <w:rsid w:val="251D242F"/>
    <w:rsid w:val="25205A7B"/>
    <w:rsid w:val="25283888"/>
    <w:rsid w:val="25323DC4"/>
    <w:rsid w:val="25324D05"/>
    <w:rsid w:val="253908EB"/>
    <w:rsid w:val="253B28B5"/>
    <w:rsid w:val="25472113"/>
    <w:rsid w:val="254C6870"/>
    <w:rsid w:val="25643BBA"/>
    <w:rsid w:val="256C0CC0"/>
    <w:rsid w:val="257D4C7B"/>
    <w:rsid w:val="25853B30"/>
    <w:rsid w:val="25873D4C"/>
    <w:rsid w:val="25A3141D"/>
    <w:rsid w:val="25B71060"/>
    <w:rsid w:val="25BF3AFF"/>
    <w:rsid w:val="25D8182D"/>
    <w:rsid w:val="25D953CB"/>
    <w:rsid w:val="25E42F4C"/>
    <w:rsid w:val="26145D3D"/>
    <w:rsid w:val="261D32FC"/>
    <w:rsid w:val="262275D1"/>
    <w:rsid w:val="263F0E09"/>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104DCE"/>
    <w:rsid w:val="27196C26"/>
    <w:rsid w:val="272827F6"/>
    <w:rsid w:val="274912B9"/>
    <w:rsid w:val="27541A0C"/>
    <w:rsid w:val="27547C5E"/>
    <w:rsid w:val="275639D6"/>
    <w:rsid w:val="276C31F9"/>
    <w:rsid w:val="276E6F72"/>
    <w:rsid w:val="276F4A98"/>
    <w:rsid w:val="279A1B15"/>
    <w:rsid w:val="27B84C56"/>
    <w:rsid w:val="27BA1634"/>
    <w:rsid w:val="27BD3A55"/>
    <w:rsid w:val="27D03788"/>
    <w:rsid w:val="27D112AE"/>
    <w:rsid w:val="28497097"/>
    <w:rsid w:val="28575C58"/>
    <w:rsid w:val="287265EE"/>
    <w:rsid w:val="2875030A"/>
    <w:rsid w:val="287F4DA2"/>
    <w:rsid w:val="28C8445F"/>
    <w:rsid w:val="28D01566"/>
    <w:rsid w:val="28D450EA"/>
    <w:rsid w:val="28D5055F"/>
    <w:rsid w:val="28ED2B95"/>
    <w:rsid w:val="28FC39E6"/>
    <w:rsid w:val="29080D00"/>
    <w:rsid w:val="29162311"/>
    <w:rsid w:val="291C5438"/>
    <w:rsid w:val="292A6EC8"/>
    <w:rsid w:val="29314DC9"/>
    <w:rsid w:val="297457A6"/>
    <w:rsid w:val="29895F83"/>
    <w:rsid w:val="29982084"/>
    <w:rsid w:val="29D80EB5"/>
    <w:rsid w:val="2A047719"/>
    <w:rsid w:val="2A0C5265"/>
    <w:rsid w:val="2A157B78"/>
    <w:rsid w:val="2A1831C5"/>
    <w:rsid w:val="2A344869"/>
    <w:rsid w:val="2A3B5C65"/>
    <w:rsid w:val="2A471949"/>
    <w:rsid w:val="2A581813"/>
    <w:rsid w:val="2A64640A"/>
    <w:rsid w:val="2A782684"/>
    <w:rsid w:val="2A7D74CC"/>
    <w:rsid w:val="2A89150D"/>
    <w:rsid w:val="2A930039"/>
    <w:rsid w:val="2AA841F2"/>
    <w:rsid w:val="2AD64354"/>
    <w:rsid w:val="2AE337D3"/>
    <w:rsid w:val="2AF43C32"/>
    <w:rsid w:val="2B0A5203"/>
    <w:rsid w:val="2B2E2991"/>
    <w:rsid w:val="2B342280"/>
    <w:rsid w:val="2B494EE0"/>
    <w:rsid w:val="2B515F65"/>
    <w:rsid w:val="2B603075"/>
    <w:rsid w:val="2B681190"/>
    <w:rsid w:val="2BA967CA"/>
    <w:rsid w:val="2BBF5FEE"/>
    <w:rsid w:val="2BC8116D"/>
    <w:rsid w:val="2BCA04EF"/>
    <w:rsid w:val="2BCE6231"/>
    <w:rsid w:val="2BD7408F"/>
    <w:rsid w:val="2BDD0222"/>
    <w:rsid w:val="2BFD08C4"/>
    <w:rsid w:val="2BFD4C22"/>
    <w:rsid w:val="2C083572"/>
    <w:rsid w:val="2C0E487F"/>
    <w:rsid w:val="2C0F5A5F"/>
    <w:rsid w:val="2C5030EA"/>
    <w:rsid w:val="2C723060"/>
    <w:rsid w:val="2C725028"/>
    <w:rsid w:val="2C7C5C8D"/>
    <w:rsid w:val="2C934D84"/>
    <w:rsid w:val="2CB216AE"/>
    <w:rsid w:val="2CB843AF"/>
    <w:rsid w:val="2CC413E2"/>
    <w:rsid w:val="2CC47634"/>
    <w:rsid w:val="2CC51EB1"/>
    <w:rsid w:val="2CC53664"/>
    <w:rsid w:val="2CCF6074"/>
    <w:rsid w:val="2CD31625"/>
    <w:rsid w:val="2CD47877"/>
    <w:rsid w:val="2CE028C6"/>
    <w:rsid w:val="2CEB2E12"/>
    <w:rsid w:val="2CF55646"/>
    <w:rsid w:val="2D012F66"/>
    <w:rsid w:val="2D057F88"/>
    <w:rsid w:val="2D2B320F"/>
    <w:rsid w:val="2D2D342B"/>
    <w:rsid w:val="2D5E5392"/>
    <w:rsid w:val="2D771923"/>
    <w:rsid w:val="2D776454"/>
    <w:rsid w:val="2D7B5F44"/>
    <w:rsid w:val="2D875411"/>
    <w:rsid w:val="2D990AC0"/>
    <w:rsid w:val="2D9B2143"/>
    <w:rsid w:val="2DA709E8"/>
    <w:rsid w:val="2DA84860"/>
    <w:rsid w:val="2DAF3E40"/>
    <w:rsid w:val="2DC51834"/>
    <w:rsid w:val="2DDD09AD"/>
    <w:rsid w:val="2DDD44E2"/>
    <w:rsid w:val="2DE81100"/>
    <w:rsid w:val="2DEC299E"/>
    <w:rsid w:val="2DFB5908"/>
    <w:rsid w:val="2E0065CE"/>
    <w:rsid w:val="2E0221C2"/>
    <w:rsid w:val="2E0C1292"/>
    <w:rsid w:val="2E2C5491"/>
    <w:rsid w:val="2E312AA7"/>
    <w:rsid w:val="2E426A62"/>
    <w:rsid w:val="2E4B1DBB"/>
    <w:rsid w:val="2E556795"/>
    <w:rsid w:val="2E7330DD"/>
    <w:rsid w:val="2E746294"/>
    <w:rsid w:val="2EA80FBB"/>
    <w:rsid w:val="2EBF315F"/>
    <w:rsid w:val="2EBF3CB1"/>
    <w:rsid w:val="2EC07B78"/>
    <w:rsid w:val="2EC90F31"/>
    <w:rsid w:val="2EC93975"/>
    <w:rsid w:val="2ED0406E"/>
    <w:rsid w:val="2ED34A1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666780"/>
    <w:rsid w:val="2F7075FF"/>
    <w:rsid w:val="2F8C1E45"/>
    <w:rsid w:val="2F9C21A2"/>
    <w:rsid w:val="2FA15A0A"/>
    <w:rsid w:val="2FA63021"/>
    <w:rsid w:val="2FAA2B11"/>
    <w:rsid w:val="2FB614B6"/>
    <w:rsid w:val="2FD347CB"/>
    <w:rsid w:val="2FD7142C"/>
    <w:rsid w:val="2FF23827"/>
    <w:rsid w:val="2FF41FDE"/>
    <w:rsid w:val="2FF43D8C"/>
    <w:rsid w:val="2FFB511A"/>
    <w:rsid w:val="300F0BC6"/>
    <w:rsid w:val="301218E6"/>
    <w:rsid w:val="30136908"/>
    <w:rsid w:val="30151978"/>
    <w:rsid w:val="30155912"/>
    <w:rsid w:val="30240B15"/>
    <w:rsid w:val="302503E9"/>
    <w:rsid w:val="306B6B6C"/>
    <w:rsid w:val="3070283C"/>
    <w:rsid w:val="307D6477"/>
    <w:rsid w:val="307F5D4C"/>
    <w:rsid w:val="309818CF"/>
    <w:rsid w:val="309A4933"/>
    <w:rsid w:val="30A12166"/>
    <w:rsid w:val="30AE6631"/>
    <w:rsid w:val="30C9346B"/>
    <w:rsid w:val="30E738F1"/>
    <w:rsid w:val="30F32296"/>
    <w:rsid w:val="30F84CE1"/>
    <w:rsid w:val="30FD0529"/>
    <w:rsid w:val="30FF50DE"/>
    <w:rsid w:val="31072960"/>
    <w:rsid w:val="31091AB9"/>
    <w:rsid w:val="3115220C"/>
    <w:rsid w:val="31197F4E"/>
    <w:rsid w:val="311D7312"/>
    <w:rsid w:val="313E79B5"/>
    <w:rsid w:val="314174A5"/>
    <w:rsid w:val="314D409C"/>
    <w:rsid w:val="3163417D"/>
    <w:rsid w:val="317C04DD"/>
    <w:rsid w:val="318A49A8"/>
    <w:rsid w:val="31C33917"/>
    <w:rsid w:val="31C51E84"/>
    <w:rsid w:val="31D644AB"/>
    <w:rsid w:val="31E242A6"/>
    <w:rsid w:val="31E9393C"/>
    <w:rsid w:val="31FB326A"/>
    <w:rsid w:val="3216448E"/>
    <w:rsid w:val="322A618B"/>
    <w:rsid w:val="322C0915"/>
    <w:rsid w:val="323E5B9E"/>
    <w:rsid w:val="324E00CB"/>
    <w:rsid w:val="32554509"/>
    <w:rsid w:val="326951F3"/>
    <w:rsid w:val="326E42CA"/>
    <w:rsid w:val="32A24300"/>
    <w:rsid w:val="32A35833"/>
    <w:rsid w:val="32A61AD2"/>
    <w:rsid w:val="32AE46C6"/>
    <w:rsid w:val="32CC0FF0"/>
    <w:rsid w:val="32CD7638"/>
    <w:rsid w:val="32D3678F"/>
    <w:rsid w:val="32DD144F"/>
    <w:rsid w:val="32DF6F75"/>
    <w:rsid w:val="32E40B1B"/>
    <w:rsid w:val="32E92FB9"/>
    <w:rsid w:val="32FC18D5"/>
    <w:rsid w:val="33150101"/>
    <w:rsid w:val="331704BD"/>
    <w:rsid w:val="3317670F"/>
    <w:rsid w:val="334E2397"/>
    <w:rsid w:val="33526CEF"/>
    <w:rsid w:val="33631954"/>
    <w:rsid w:val="338418CB"/>
    <w:rsid w:val="338C5702"/>
    <w:rsid w:val="33AD30C5"/>
    <w:rsid w:val="33BC1065"/>
    <w:rsid w:val="33C64D45"/>
    <w:rsid w:val="33CB12A8"/>
    <w:rsid w:val="33EC0EFE"/>
    <w:rsid w:val="33F64119"/>
    <w:rsid w:val="33F8661C"/>
    <w:rsid w:val="34003BD4"/>
    <w:rsid w:val="340604EA"/>
    <w:rsid w:val="341F3A1B"/>
    <w:rsid w:val="342015F4"/>
    <w:rsid w:val="3454129D"/>
    <w:rsid w:val="34561DF7"/>
    <w:rsid w:val="345968B4"/>
    <w:rsid w:val="347100A1"/>
    <w:rsid w:val="348025C6"/>
    <w:rsid w:val="3492069F"/>
    <w:rsid w:val="34945433"/>
    <w:rsid w:val="349F4C0E"/>
    <w:rsid w:val="34A2025B"/>
    <w:rsid w:val="34A90E05"/>
    <w:rsid w:val="34C53F49"/>
    <w:rsid w:val="34E940DB"/>
    <w:rsid w:val="34F36F75"/>
    <w:rsid w:val="350D601C"/>
    <w:rsid w:val="351A6043"/>
    <w:rsid w:val="35204032"/>
    <w:rsid w:val="35233101"/>
    <w:rsid w:val="352A25E8"/>
    <w:rsid w:val="35497CBA"/>
    <w:rsid w:val="354B627A"/>
    <w:rsid w:val="355A1D8A"/>
    <w:rsid w:val="35602E42"/>
    <w:rsid w:val="356814A4"/>
    <w:rsid w:val="356909C2"/>
    <w:rsid w:val="35773071"/>
    <w:rsid w:val="357C0AAC"/>
    <w:rsid w:val="357C6CFE"/>
    <w:rsid w:val="35885E60"/>
    <w:rsid w:val="358B2E3D"/>
    <w:rsid w:val="358E3D56"/>
    <w:rsid w:val="35926DCC"/>
    <w:rsid w:val="35AB313F"/>
    <w:rsid w:val="35E93C67"/>
    <w:rsid w:val="35EA1EB9"/>
    <w:rsid w:val="35EB3E83"/>
    <w:rsid w:val="36015455"/>
    <w:rsid w:val="360311CD"/>
    <w:rsid w:val="3628478F"/>
    <w:rsid w:val="36435665"/>
    <w:rsid w:val="36441C39"/>
    <w:rsid w:val="3647730B"/>
    <w:rsid w:val="367C49A1"/>
    <w:rsid w:val="369C0E0A"/>
    <w:rsid w:val="36B576F9"/>
    <w:rsid w:val="36C26992"/>
    <w:rsid w:val="36D52B69"/>
    <w:rsid w:val="36D55C7A"/>
    <w:rsid w:val="36E6103A"/>
    <w:rsid w:val="36EA0095"/>
    <w:rsid w:val="36EF34FF"/>
    <w:rsid w:val="3710594F"/>
    <w:rsid w:val="37364480"/>
    <w:rsid w:val="374B6987"/>
    <w:rsid w:val="37545800"/>
    <w:rsid w:val="375D66BB"/>
    <w:rsid w:val="37677539"/>
    <w:rsid w:val="376B702A"/>
    <w:rsid w:val="376E2791"/>
    <w:rsid w:val="379A346B"/>
    <w:rsid w:val="37C26C87"/>
    <w:rsid w:val="37D526F5"/>
    <w:rsid w:val="37D95311"/>
    <w:rsid w:val="37E1553E"/>
    <w:rsid w:val="38007D90"/>
    <w:rsid w:val="3801529B"/>
    <w:rsid w:val="380F3E59"/>
    <w:rsid w:val="381474C6"/>
    <w:rsid w:val="38183E1B"/>
    <w:rsid w:val="38207E14"/>
    <w:rsid w:val="38295077"/>
    <w:rsid w:val="382B6D50"/>
    <w:rsid w:val="382F0057"/>
    <w:rsid w:val="383C5781"/>
    <w:rsid w:val="384D08D4"/>
    <w:rsid w:val="3851701B"/>
    <w:rsid w:val="38613F89"/>
    <w:rsid w:val="388D1222"/>
    <w:rsid w:val="3895243A"/>
    <w:rsid w:val="38A10829"/>
    <w:rsid w:val="38B00000"/>
    <w:rsid w:val="38BB18EB"/>
    <w:rsid w:val="38C2047C"/>
    <w:rsid w:val="38D37AC3"/>
    <w:rsid w:val="38E30E42"/>
    <w:rsid w:val="38F66DC7"/>
    <w:rsid w:val="391060DB"/>
    <w:rsid w:val="39287D16"/>
    <w:rsid w:val="392C04C3"/>
    <w:rsid w:val="39317DFF"/>
    <w:rsid w:val="39377035"/>
    <w:rsid w:val="396C2352"/>
    <w:rsid w:val="39706B79"/>
    <w:rsid w:val="39904B26"/>
    <w:rsid w:val="39A409AB"/>
    <w:rsid w:val="39AB195F"/>
    <w:rsid w:val="39D35282"/>
    <w:rsid w:val="39E5380A"/>
    <w:rsid w:val="3A1439A9"/>
    <w:rsid w:val="3A357A7E"/>
    <w:rsid w:val="3A5E4C24"/>
    <w:rsid w:val="3A6B10EF"/>
    <w:rsid w:val="3A775214"/>
    <w:rsid w:val="3A801F6F"/>
    <w:rsid w:val="3A8F494D"/>
    <w:rsid w:val="3AAA7E69"/>
    <w:rsid w:val="3AAD7959"/>
    <w:rsid w:val="3ABE56C2"/>
    <w:rsid w:val="3ACA050B"/>
    <w:rsid w:val="3ACF5B21"/>
    <w:rsid w:val="3AD06868"/>
    <w:rsid w:val="3AD82705"/>
    <w:rsid w:val="3AEB650A"/>
    <w:rsid w:val="3AF5356F"/>
    <w:rsid w:val="3AF61300"/>
    <w:rsid w:val="3AF9494C"/>
    <w:rsid w:val="3B22691D"/>
    <w:rsid w:val="3B3460C0"/>
    <w:rsid w:val="3B3616FD"/>
    <w:rsid w:val="3B3779FE"/>
    <w:rsid w:val="3B6076B2"/>
    <w:rsid w:val="3B691AD2"/>
    <w:rsid w:val="3B6A75F8"/>
    <w:rsid w:val="3B755158"/>
    <w:rsid w:val="3B7A3CDF"/>
    <w:rsid w:val="3B837F8F"/>
    <w:rsid w:val="3B842468"/>
    <w:rsid w:val="3B862684"/>
    <w:rsid w:val="3B885799"/>
    <w:rsid w:val="3B892174"/>
    <w:rsid w:val="3B9B404F"/>
    <w:rsid w:val="3BA90120"/>
    <w:rsid w:val="3BB42217"/>
    <w:rsid w:val="3BCE402B"/>
    <w:rsid w:val="3BD31B4C"/>
    <w:rsid w:val="3BD56240"/>
    <w:rsid w:val="3BE23632"/>
    <w:rsid w:val="3BEB0739"/>
    <w:rsid w:val="3BF5780A"/>
    <w:rsid w:val="3BFF2436"/>
    <w:rsid w:val="3C045336"/>
    <w:rsid w:val="3C0E4427"/>
    <w:rsid w:val="3C241E9D"/>
    <w:rsid w:val="3C485465"/>
    <w:rsid w:val="3C4E5B21"/>
    <w:rsid w:val="3C5203FE"/>
    <w:rsid w:val="3C540EF7"/>
    <w:rsid w:val="3C5462DE"/>
    <w:rsid w:val="3C7060DA"/>
    <w:rsid w:val="3C8B7826"/>
    <w:rsid w:val="3C917BA0"/>
    <w:rsid w:val="3CB46D7D"/>
    <w:rsid w:val="3CBA010B"/>
    <w:rsid w:val="3CC01BC6"/>
    <w:rsid w:val="3CC11038"/>
    <w:rsid w:val="3CD236A7"/>
    <w:rsid w:val="3CE31550"/>
    <w:rsid w:val="3CE32F55"/>
    <w:rsid w:val="3D001FC2"/>
    <w:rsid w:val="3D22720B"/>
    <w:rsid w:val="3D255ECD"/>
    <w:rsid w:val="3D2F0AF9"/>
    <w:rsid w:val="3D346474"/>
    <w:rsid w:val="3D3B2FFA"/>
    <w:rsid w:val="3D566086"/>
    <w:rsid w:val="3D695EAF"/>
    <w:rsid w:val="3D7824A0"/>
    <w:rsid w:val="3D785FFC"/>
    <w:rsid w:val="3D860CE5"/>
    <w:rsid w:val="3D8F7BCA"/>
    <w:rsid w:val="3D932E36"/>
    <w:rsid w:val="3DA60DBB"/>
    <w:rsid w:val="3DAD20DD"/>
    <w:rsid w:val="3DB72FC9"/>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7289"/>
    <w:rsid w:val="3E7964D0"/>
    <w:rsid w:val="3E7D36F7"/>
    <w:rsid w:val="3E810EE1"/>
    <w:rsid w:val="3E891DA4"/>
    <w:rsid w:val="3E933797"/>
    <w:rsid w:val="3E976956"/>
    <w:rsid w:val="3EA52668"/>
    <w:rsid w:val="3EBD0EE2"/>
    <w:rsid w:val="3EF94F1B"/>
    <w:rsid w:val="3EFE0783"/>
    <w:rsid w:val="3EFE4C27"/>
    <w:rsid w:val="3F125C8C"/>
    <w:rsid w:val="3F141D55"/>
    <w:rsid w:val="3F1735F3"/>
    <w:rsid w:val="3F183D8F"/>
    <w:rsid w:val="3F222FE0"/>
    <w:rsid w:val="3F312907"/>
    <w:rsid w:val="3F3441A5"/>
    <w:rsid w:val="3F3D5750"/>
    <w:rsid w:val="3F4B6BF0"/>
    <w:rsid w:val="3F623B08"/>
    <w:rsid w:val="3F682C26"/>
    <w:rsid w:val="3F6D16D7"/>
    <w:rsid w:val="3F747261"/>
    <w:rsid w:val="3F8769CB"/>
    <w:rsid w:val="3F8F3AD1"/>
    <w:rsid w:val="3F8F7490"/>
    <w:rsid w:val="3F94000D"/>
    <w:rsid w:val="3F9B4224"/>
    <w:rsid w:val="3FA330D9"/>
    <w:rsid w:val="3FAF7CCF"/>
    <w:rsid w:val="3FC27A03"/>
    <w:rsid w:val="3FC96FE3"/>
    <w:rsid w:val="3FE32A90"/>
    <w:rsid w:val="3FE43E1D"/>
    <w:rsid w:val="3FE47979"/>
    <w:rsid w:val="3FE8319B"/>
    <w:rsid w:val="3FFA719D"/>
    <w:rsid w:val="4004305D"/>
    <w:rsid w:val="400870B8"/>
    <w:rsid w:val="40153FD6"/>
    <w:rsid w:val="40155D85"/>
    <w:rsid w:val="401D10DD"/>
    <w:rsid w:val="40442B0E"/>
    <w:rsid w:val="405C7E57"/>
    <w:rsid w:val="406D3E12"/>
    <w:rsid w:val="40752AFC"/>
    <w:rsid w:val="408353E4"/>
    <w:rsid w:val="40890521"/>
    <w:rsid w:val="40C003E6"/>
    <w:rsid w:val="40CE2673"/>
    <w:rsid w:val="40DA6FCE"/>
    <w:rsid w:val="40EE65D6"/>
    <w:rsid w:val="40EF750C"/>
    <w:rsid w:val="40FB7670"/>
    <w:rsid w:val="410F2FC5"/>
    <w:rsid w:val="410F45E7"/>
    <w:rsid w:val="4134048C"/>
    <w:rsid w:val="41362456"/>
    <w:rsid w:val="4158794C"/>
    <w:rsid w:val="416F7716"/>
    <w:rsid w:val="419B49AF"/>
    <w:rsid w:val="41A73354"/>
    <w:rsid w:val="41BD2B78"/>
    <w:rsid w:val="41C23CEA"/>
    <w:rsid w:val="41C31810"/>
    <w:rsid w:val="41C757A4"/>
    <w:rsid w:val="41CE376B"/>
    <w:rsid w:val="41D41C6F"/>
    <w:rsid w:val="41DD1214"/>
    <w:rsid w:val="41E974C9"/>
    <w:rsid w:val="41F84884"/>
    <w:rsid w:val="42074D81"/>
    <w:rsid w:val="42162288"/>
    <w:rsid w:val="421A0B83"/>
    <w:rsid w:val="42277FF1"/>
    <w:rsid w:val="422C3859"/>
    <w:rsid w:val="424B4AFF"/>
    <w:rsid w:val="424C7A58"/>
    <w:rsid w:val="42586B9E"/>
    <w:rsid w:val="425A03C6"/>
    <w:rsid w:val="42755843"/>
    <w:rsid w:val="428B1AA5"/>
    <w:rsid w:val="428F200F"/>
    <w:rsid w:val="429531AD"/>
    <w:rsid w:val="429D02B3"/>
    <w:rsid w:val="429F1251"/>
    <w:rsid w:val="42A33B1C"/>
    <w:rsid w:val="42AC04F6"/>
    <w:rsid w:val="42F223AD"/>
    <w:rsid w:val="42F36125"/>
    <w:rsid w:val="42F62490"/>
    <w:rsid w:val="43000978"/>
    <w:rsid w:val="43004B7A"/>
    <w:rsid w:val="43012E27"/>
    <w:rsid w:val="43094BE2"/>
    <w:rsid w:val="430F539D"/>
    <w:rsid w:val="43160791"/>
    <w:rsid w:val="43212C92"/>
    <w:rsid w:val="432D7889"/>
    <w:rsid w:val="432F3601"/>
    <w:rsid w:val="43374264"/>
    <w:rsid w:val="43394480"/>
    <w:rsid w:val="433E2020"/>
    <w:rsid w:val="43501FEC"/>
    <w:rsid w:val="43574906"/>
    <w:rsid w:val="435E5C94"/>
    <w:rsid w:val="435E718F"/>
    <w:rsid w:val="436A63E7"/>
    <w:rsid w:val="43784FA8"/>
    <w:rsid w:val="438A480E"/>
    <w:rsid w:val="43972F54"/>
    <w:rsid w:val="43994193"/>
    <w:rsid w:val="43996CCD"/>
    <w:rsid w:val="439F6C52"/>
    <w:rsid w:val="43BC14A4"/>
    <w:rsid w:val="43CC0E50"/>
    <w:rsid w:val="43D16466"/>
    <w:rsid w:val="43F108B7"/>
    <w:rsid w:val="44112D07"/>
    <w:rsid w:val="441445A5"/>
    <w:rsid w:val="4416031D"/>
    <w:rsid w:val="442212E6"/>
    <w:rsid w:val="44222F08"/>
    <w:rsid w:val="442514B7"/>
    <w:rsid w:val="443A0129"/>
    <w:rsid w:val="445B21D4"/>
    <w:rsid w:val="447E126A"/>
    <w:rsid w:val="448C3CC5"/>
    <w:rsid w:val="448C6831"/>
    <w:rsid w:val="449F47B6"/>
    <w:rsid w:val="44A0729C"/>
    <w:rsid w:val="44B24732"/>
    <w:rsid w:val="44BA4149"/>
    <w:rsid w:val="44BE2E8F"/>
    <w:rsid w:val="44CD4E80"/>
    <w:rsid w:val="44E81CBA"/>
    <w:rsid w:val="44ED3CA5"/>
    <w:rsid w:val="450308A1"/>
    <w:rsid w:val="45131232"/>
    <w:rsid w:val="452F12F5"/>
    <w:rsid w:val="453549B1"/>
    <w:rsid w:val="453B44DF"/>
    <w:rsid w:val="45401AF6"/>
    <w:rsid w:val="4541044F"/>
    <w:rsid w:val="455C6204"/>
    <w:rsid w:val="457804D5"/>
    <w:rsid w:val="45A50CD5"/>
    <w:rsid w:val="45B7168C"/>
    <w:rsid w:val="45DA5C68"/>
    <w:rsid w:val="45EC3A2B"/>
    <w:rsid w:val="45EC7588"/>
    <w:rsid w:val="45F20916"/>
    <w:rsid w:val="45FD1795"/>
    <w:rsid w:val="46026DAB"/>
    <w:rsid w:val="460839C1"/>
    <w:rsid w:val="46222FA9"/>
    <w:rsid w:val="463236F2"/>
    <w:rsid w:val="463D7DE3"/>
    <w:rsid w:val="464473C4"/>
    <w:rsid w:val="464B69A4"/>
    <w:rsid w:val="464D2557"/>
    <w:rsid w:val="465A6BE7"/>
    <w:rsid w:val="465E764C"/>
    <w:rsid w:val="466B634C"/>
    <w:rsid w:val="4694464B"/>
    <w:rsid w:val="46954ED9"/>
    <w:rsid w:val="46A61E2C"/>
    <w:rsid w:val="46AC6D17"/>
    <w:rsid w:val="46B32138"/>
    <w:rsid w:val="46D86BA4"/>
    <w:rsid w:val="46E255B6"/>
    <w:rsid w:val="46EB5A91"/>
    <w:rsid w:val="46F22218"/>
    <w:rsid w:val="46F72688"/>
    <w:rsid w:val="46FA3F26"/>
    <w:rsid w:val="46FB5788"/>
    <w:rsid w:val="471A0124"/>
    <w:rsid w:val="47412EAE"/>
    <w:rsid w:val="474358CD"/>
    <w:rsid w:val="47487D3C"/>
    <w:rsid w:val="474A6C5C"/>
    <w:rsid w:val="475A2C17"/>
    <w:rsid w:val="47A02FEE"/>
    <w:rsid w:val="47A80F1E"/>
    <w:rsid w:val="47A83982"/>
    <w:rsid w:val="47AB6999"/>
    <w:rsid w:val="47C66AE7"/>
    <w:rsid w:val="47D26C51"/>
    <w:rsid w:val="47DE55F6"/>
    <w:rsid w:val="47E04ECA"/>
    <w:rsid w:val="47E524E0"/>
    <w:rsid w:val="47EB3E1C"/>
    <w:rsid w:val="47F170D7"/>
    <w:rsid w:val="47F60E93"/>
    <w:rsid w:val="48027536"/>
    <w:rsid w:val="481E3AAF"/>
    <w:rsid w:val="48205C0E"/>
    <w:rsid w:val="483B47F6"/>
    <w:rsid w:val="483D056E"/>
    <w:rsid w:val="483D1893"/>
    <w:rsid w:val="484A61BF"/>
    <w:rsid w:val="485422E0"/>
    <w:rsid w:val="48547666"/>
    <w:rsid w:val="486C49B0"/>
    <w:rsid w:val="486F10A5"/>
    <w:rsid w:val="487565D5"/>
    <w:rsid w:val="48C26CC5"/>
    <w:rsid w:val="48C42A3E"/>
    <w:rsid w:val="48D03190"/>
    <w:rsid w:val="48D16F09"/>
    <w:rsid w:val="48E82D4D"/>
    <w:rsid w:val="48EF6B60"/>
    <w:rsid w:val="48F36E7F"/>
    <w:rsid w:val="48FD385A"/>
    <w:rsid w:val="49107A31"/>
    <w:rsid w:val="4921579A"/>
    <w:rsid w:val="493354CD"/>
    <w:rsid w:val="49341FF9"/>
    <w:rsid w:val="493556E9"/>
    <w:rsid w:val="49382AE4"/>
    <w:rsid w:val="493B1243"/>
    <w:rsid w:val="4941264A"/>
    <w:rsid w:val="49725FF6"/>
    <w:rsid w:val="49900B72"/>
    <w:rsid w:val="49911548"/>
    <w:rsid w:val="49A32653"/>
    <w:rsid w:val="49A5461D"/>
    <w:rsid w:val="49AF5A14"/>
    <w:rsid w:val="49B120BE"/>
    <w:rsid w:val="49B32E40"/>
    <w:rsid w:val="49D71785"/>
    <w:rsid w:val="49DD71DE"/>
    <w:rsid w:val="49DF1D43"/>
    <w:rsid w:val="49ED7E21"/>
    <w:rsid w:val="49F04DE4"/>
    <w:rsid w:val="49F17862"/>
    <w:rsid w:val="49F64E79"/>
    <w:rsid w:val="4A0B01F8"/>
    <w:rsid w:val="4A1649E3"/>
    <w:rsid w:val="4A175E73"/>
    <w:rsid w:val="4A1C545E"/>
    <w:rsid w:val="4A216F8B"/>
    <w:rsid w:val="4A2512BA"/>
    <w:rsid w:val="4A2A4B22"/>
    <w:rsid w:val="4A532C46"/>
    <w:rsid w:val="4A560560"/>
    <w:rsid w:val="4A9201C5"/>
    <w:rsid w:val="4A946169"/>
    <w:rsid w:val="4A954A5F"/>
    <w:rsid w:val="4AAA7A11"/>
    <w:rsid w:val="4ADF3B5F"/>
    <w:rsid w:val="4ADF52C2"/>
    <w:rsid w:val="4AFB026D"/>
    <w:rsid w:val="4B1355B6"/>
    <w:rsid w:val="4B2253A3"/>
    <w:rsid w:val="4B275B29"/>
    <w:rsid w:val="4B2E23F0"/>
    <w:rsid w:val="4B3774F7"/>
    <w:rsid w:val="4B482FE8"/>
    <w:rsid w:val="4B5A712B"/>
    <w:rsid w:val="4B687A43"/>
    <w:rsid w:val="4B7676A2"/>
    <w:rsid w:val="4B7E2B72"/>
    <w:rsid w:val="4B8244EA"/>
    <w:rsid w:val="4B861CB1"/>
    <w:rsid w:val="4B897627"/>
    <w:rsid w:val="4BA1327D"/>
    <w:rsid w:val="4BA17066"/>
    <w:rsid w:val="4BBF1D08"/>
    <w:rsid w:val="4BDE5BC4"/>
    <w:rsid w:val="4BE225CF"/>
    <w:rsid w:val="4BE64A79"/>
    <w:rsid w:val="4BF076A6"/>
    <w:rsid w:val="4BF533FE"/>
    <w:rsid w:val="4C225B2C"/>
    <w:rsid w:val="4C464A47"/>
    <w:rsid w:val="4C4C1669"/>
    <w:rsid w:val="4C567E51"/>
    <w:rsid w:val="4C600CB1"/>
    <w:rsid w:val="4C667968"/>
    <w:rsid w:val="4C8C4B93"/>
    <w:rsid w:val="4C9E7102"/>
    <w:rsid w:val="4CA010CC"/>
    <w:rsid w:val="4CD73417"/>
    <w:rsid w:val="4CE64A52"/>
    <w:rsid w:val="4CEC6287"/>
    <w:rsid w:val="4D16313C"/>
    <w:rsid w:val="4D241CFD"/>
    <w:rsid w:val="4D317F76"/>
    <w:rsid w:val="4D5325E2"/>
    <w:rsid w:val="4D6A7124"/>
    <w:rsid w:val="4D6E6AAF"/>
    <w:rsid w:val="4D7C761C"/>
    <w:rsid w:val="4D891B60"/>
    <w:rsid w:val="4D9401D6"/>
    <w:rsid w:val="4D9A3D6D"/>
    <w:rsid w:val="4DA33696"/>
    <w:rsid w:val="4DAE16EB"/>
    <w:rsid w:val="4DC5444C"/>
    <w:rsid w:val="4DD23507"/>
    <w:rsid w:val="4DD454D1"/>
    <w:rsid w:val="4DD73A22"/>
    <w:rsid w:val="4DD76D6F"/>
    <w:rsid w:val="4DDD3C5A"/>
    <w:rsid w:val="4DE1199C"/>
    <w:rsid w:val="4DF0398D"/>
    <w:rsid w:val="4DF60C80"/>
    <w:rsid w:val="4DFE3442"/>
    <w:rsid w:val="4E125FF9"/>
    <w:rsid w:val="4E185B3D"/>
    <w:rsid w:val="4E2D757C"/>
    <w:rsid w:val="4E323FA5"/>
    <w:rsid w:val="4E3F66C2"/>
    <w:rsid w:val="4E50224A"/>
    <w:rsid w:val="4E755A1A"/>
    <w:rsid w:val="4E775E5C"/>
    <w:rsid w:val="4E824F2D"/>
    <w:rsid w:val="4E881E17"/>
    <w:rsid w:val="4E9D50CF"/>
    <w:rsid w:val="4EA053B3"/>
    <w:rsid w:val="4EAB2916"/>
    <w:rsid w:val="4EBF4055"/>
    <w:rsid w:val="4EC05A55"/>
    <w:rsid w:val="4EC07803"/>
    <w:rsid w:val="4EC372F3"/>
    <w:rsid w:val="4ED908C5"/>
    <w:rsid w:val="4F053A58"/>
    <w:rsid w:val="4F1D4C56"/>
    <w:rsid w:val="4F231B40"/>
    <w:rsid w:val="4F2628C7"/>
    <w:rsid w:val="4F2F6737"/>
    <w:rsid w:val="4F471CD3"/>
    <w:rsid w:val="4F4A6F0B"/>
    <w:rsid w:val="4F5246ED"/>
    <w:rsid w:val="4F590025"/>
    <w:rsid w:val="4F692A95"/>
    <w:rsid w:val="4F7725B8"/>
    <w:rsid w:val="4F8922EB"/>
    <w:rsid w:val="4F907234"/>
    <w:rsid w:val="4F960564"/>
    <w:rsid w:val="4F980780"/>
    <w:rsid w:val="4F9D5D96"/>
    <w:rsid w:val="4FC652ED"/>
    <w:rsid w:val="4FCD6C7A"/>
    <w:rsid w:val="4FFC486B"/>
    <w:rsid w:val="4FFF2A2C"/>
    <w:rsid w:val="500951DA"/>
    <w:rsid w:val="501F435C"/>
    <w:rsid w:val="50200DCA"/>
    <w:rsid w:val="503264DF"/>
    <w:rsid w:val="503F0BFC"/>
    <w:rsid w:val="505F1651"/>
    <w:rsid w:val="506D5769"/>
    <w:rsid w:val="50897A4F"/>
    <w:rsid w:val="50924895"/>
    <w:rsid w:val="50A76ECD"/>
    <w:rsid w:val="50C01D3C"/>
    <w:rsid w:val="50D6330E"/>
    <w:rsid w:val="50DB14A2"/>
    <w:rsid w:val="50F73284"/>
    <w:rsid w:val="51087240"/>
    <w:rsid w:val="510C08F5"/>
    <w:rsid w:val="511E69A0"/>
    <w:rsid w:val="512236AA"/>
    <w:rsid w:val="512C508C"/>
    <w:rsid w:val="512E185C"/>
    <w:rsid w:val="512F2A1E"/>
    <w:rsid w:val="51375377"/>
    <w:rsid w:val="51475FBA"/>
    <w:rsid w:val="51552C9C"/>
    <w:rsid w:val="5179348D"/>
    <w:rsid w:val="517A638F"/>
    <w:rsid w:val="51AC22C1"/>
    <w:rsid w:val="51AF590D"/>
    <w:rsid w:val="51D04201"/>
    <w:rsid w:val="51EA3CB4"/>
    <w:rsid w:val="51F63CF8"/>
    <w:rsid w:val="52025B23"/>
    <w:rsid w:val="52027454"/>
    <w:rsid w:val="520B6FE7"/>
    <w:rsid w:val="5224663F"/>
    <w:rsid w:val="523A5B1F"/>
    <w:rsid w:val="52552958"/>
    <w:rsid w:val="52687391"/>
    <w:rsid w:val="52792ECE"/>
    <w:rsid w:val="527E5B61"/>
    <w:rsid w:val="528A2602"/>
    <w:rsid w:val="52976ACD"/>
    <w:rsid w:val="52EB11E0"/>
    <w:rsid w:val="52EE362E"/>
    <w:rsid w:val="53086608"/>
    <w:rsid w:val="53526EAE"/>
    <w:rsid w:val="53536310"/>
    <w:rsid w:val="536912CC"/>
    <w:rsid w:val="536C09D1"/>
    <w:rsid w:val="536F5815"/>
    <w:rsid w:val="537C0FCE"/>
    <w:rsid w:val="53871B01"/>
    <w:rsid w:val="53963CFA"/>
    <w:rsid w:val="53B228D0"/>
    <w:rsid w:val="53C47D96"/>
    <w:rsid w:val="53E1679D"/>
    <w:rsid w:val="540C0A08"/>
    <w:rsid w:val="54382383"/>
    <w:rsid w:val="543B5442"/>
    <w:rsid w:val="544D1B39"/>
    <w:rsid w:val="544F3B03"/>
    <w:rsid w:val="54684BC5"/>
    <w:rsid w:val="54751090"/>
    <w:rsid w:val="547A0454"/>
    <w:rsid w:val="54A93FE9"/>
    <w:rsid w:val="54B716A8"/>
    <w:rsid w:val="54BB7713"/>
    <w:rsid w:val="54CD4A28"/>
    <w:rsid w:val="54DA7145"/>
    <w:rsid w:val="54DC69F7"/>
    <w:rsid w:val="54E12D87"/>
    <w:rsid w:val="54EB4C35"/>
    <w:rsid w:val="54F03763"/>
    <w:rsid w:val="55055F70"/>
    <w:rsid w:val="55124B31"/>
    <w:rsid w:val="551A02CC"/>
    <w:rsid w:val="551E34D6"/>
    <w:rsid w:val="552B174F"/>
    <w:rsid w:val="552D4350"/>
    <w:rsid w:val="55521AF8"/>
    <w:rsid w:val="555B2034"/>
    <w:rsid w:val="555D3FFE"/>
    <w:rsid w:val="556829A3"/>
    <w:rsid w:val="556E620B"/>
    <w:rsid w:val="557A3281"/>
    <w:rsid w:val="558D41B7"/>
    <w:rsid w:val="55B139E6"/>
    <w:rsid w:val="55CE0A58"/>
    <w:rsid w:val="55CE6156"/>
    <w:rsid w:val="55D50038"/>
    <w:rsid w:val="55E32A1C"/>
    <w:rsid w:val="55FE011D"/>
    <w:rsid w:val="561603B2"/>
    <w:rsid w:val="561641AD"/>
    <w:rsid w:val="561F5757"/>
    <w:rsid w:val="56290384"/>
    <w:rsid w:val="563F1955"/>
    <w:rsid w:val="56464A92"/>
    <w:rsid w:val="564B20A8"/>
    <w:rsid w:val="565753CA"/>
    <w:rsid w:val="567C24C2"/>
    <w:rsid w:val="56AB0D99"/>
    <w:rsid w:val="56B0015D"/>
    <w:rsid w:val="56B57E6A"/>
    <w:rsid w:val="56C360E3"/>
    <w:rsid w:val="56C85EF8"/>
    <w:rsid w:val="56CD6F61"/>
    <w:rsid w:val="56D96AA1"/>
    <w:rsid w:val="56E60023"/>
    <w:rsid w:val="570341F8"/>
    <w:rsid w:val="5705494D"/>
    <w:rsid w:val="570861EB"/>
    <w:rsid w:val="571D6A2B"/>
    <w:rsid w:val="57201A20"/>
    <w:rsid w:val="572648C3"/>
    <w:rsid w:val="572D5C52"/>
    <w:rsid w:val="57345792"/>
    <w:rsid w:val="57346FE0"/>
    <w:rsid w:val="57475C4D"/>
    <w:rsid w:val="575B27BF"/>
    <w:rsid w:val="576F40E4"/>
    <w:rsid w:val="57750F02"/>
    <w:rsid w:val="57835872"/>
    <w:rsid w:val="578C4726"/>
    <w:rsid w:val="57AC45D0"/>
    <w:rsid w:val="57AE1241"/>
    <w:rsid w:val="57B273E9"/>
    <w:rsid w:val="57B27F05"/>
    <w:rsid w:val="57B67C8D"/>
    <w:rsid w:val="57BA2943"/>
    <w:rsid w:val="57C00874"/>
    <w:rsid w:val="57D40540"/>
    <w:rsid w:val="57E04A72"/>
    <w:rsid w:val="57E5236D"/>
    <w:rsid w:val="57EE718F"/>
    <w:rsid w:val="57EF4CB5"/>
    <w:rsid w:val="58346B6C"/>
    <w:rsid w:val="58372C70"/>
    <w:rsid w:val="583E1656"/>
    <w:rsid w:val="584E5E80"/>
    <w:rsid w:val="58675193"/>
    <w:rsid w:val="588065AF"/>
    <w:rsid w:val="589D1393"/>
    <w:rsid w:val="58B55EFF"/>
    <w:rsid w:val="58C3061C"/>
    <w:rsid w:val="58E70221"/>
    <w:rsid w:val="58F22CAF"/>
    <w:rsid w:val="59007A6C"/>
    <w:rsid w:val="5908019E"/>
    <w:rsid w:val="591B7FEB"/>
    <w:rsid w:val="59314975"/>
    <w:rsid w:val="59550740"/>
    <w:rsid w:val="596279B4"/>
    <w:rsid w:val="5966544B"/>
    <w:rsid w:val="597436C4"/>
    <w:rsid w:val="59814033"/>
    <w:rsid w:val="59B60181"/>
    <w:rsid w:val="59C10AB4"/>
    <w:rsid w:val="59C3202D"/>
    <w:rsid w:val="59D56296"/>
    <w:rsid w:val="59D95C1D"/>
    <w:rsid w:val="59DE3233"/>
    <w:rsid w:val="59DE62A0"/>
    <w:rsid w:val="59E6060A"/>
    <w:rsid w:val="59EA1BD8"/>
    <w:rsid w:val="59EF5441"/>
    <w:rsid w:val="59F80C76"/>
    <w:rsid w:val="5A026F22"/>
    <w:rsid w:val="5A162DC3"/>
    <w:rsid w:val="5A1D1FAE"/>
    <w:rsid w:val="5A2F2F5F"/>
    <w:rsid w:val="5A57029D"/>
    <w:rsid w:val="5A90452E"/>
    <w:rsid w:val="5AA004E9"/>
    <w:rsid w:val="5AA955EF"/>
    <w:rsid w:val="5AB3646E"/>
    <w:rsid w:val="5AD61FA7"/>
    <w:rsid w:val="5AE568F8"/>
    <w:rsid w:val="5AE605F2"/>
    <w:rsid w:val="5AE64A95"/>
    <w:rsid w:val="5AEB5C08"/>
    <w:rsid w:val="5AEE74A6"/>
    <w:rsid w:val="5AF251E8"/>
    <w:rsid w:val="5AF54CD9"/>
    <w:rsid w:val="5AFD593B"/>
    <w:rsid w:val="5B0171D9"/>
    <w:rsid w:val="5B225A37"/>
    <w:rsid w:val="5B4F0440"/>
    <w:rsid w:val="5B5B3298"/>
    <w:rsid w:val="5B5E287E"/>
    <w:rsid w:val="5B6A1223"/>
    <w:rsid w:val="5B722965"/>
    <w:rsid w:val="5B7E6A7C"/>
    <w:rsid w:val="5B8A42EF"/>
    <w:rsid w:val="5B9A7FFC"/>
    <w:rsid w:val="5BA20634"/>
    <w:rsid w:val="5BA76E58"/>
    <w:rsid w:val="5BB03038"/>
    <w:rsid w:val="5BBC1352"/>
    <w:rsid w:val="5BED16CF"/>
    <w:rsid w:val="5BFB631F"/>
    <w:rsid w:val="5BFE2260"/>
    <w:rsid w:val="5C003935"/>
    <w:rsid w:val="5C0351D3"/>
    <w:rsid w:val="5C11169E"/>
    <w:rsid w:val="5C3E4412"/>
    <w:rsid w:val="5C3F3891"/>
    <w:rsid w:val="5C484871"/>
    <w:rsid w:val="5C4A2E02"/>
    <w:rsid w:val="5C602626"/>
    <w:rsid w:val="5C60665C"/>
    <w:rsid w:val="5C7659A5"/>
    <w:rsid w:val="5C81323B"/>
    <w:rsid w:val="5C875E04"/>
    <w:rsid w:val="5C8D658A"/>
    <w:rsid w:val="5C967DF5"/>
    <w:rsid w:val="5CA729BF"/>
    <w:rsid w:val="5CA83399"/>
    <w:rsid w:val="5CAF3A11"/>
    <w:rsid w:val="5CB53FD1"/>
    <w:rsid w:val="5CBF734C"/>
    <w:rsid w:val="5CC33E1F"/>
    <w:rsid w:val="5CDD5A24"/>
    <w:rsid w:val="5CFF1E3E"/>
    <w:rsid w:val="5D1134E3"/>
    <w:rsid w:val="5D3B5199"/>
    <w:rsid w:val="5D4E06D0"/>
    <w:rsid w:val="5D6B3030"/>
    <w:rsid w:val="5D6F2B20"/>
    <w:rsid w:val="5D706AD4"/>
    <w:rsid w:val="5D72616D"/>
    <w:rsid w:val="5D7A3273"/>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394EDC"/>
    <w:rsid w:val="5E4D4235"/>
    <w:rsid w:val="5E504395"/>
    <w:rsid w:val="5E5B4E53"/>
    <w:rsid w:val="5E602469"/>
    <w:rsid w:val="5E677C9B"/>
    <w:rsid w:val="5E6F283B"/>
    <w:rsid w:val="5EA22A81"/>
    <w:rsid w:val="5ED21F55"/>
    <w:rsid w:val="5ED22BFF"/>
    <w:rsid w:val="5EDA6D5D"/>
    <w:rsid w:val="5EE035AA"/>
    <w:rsid w:val="5EE05174"/>
    <w:rsid w:val="5EE412EC"/>
    <w:rsid w:val="5EED717C"/>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93061C"/>
    <w:rsid w:val="5FAB0CC9"/>
    <w:rsid w:val="5FAD7930"/>
    <w:rsid w:val="5FC829BC"/>
    <w:rsid w:val="5FCF3D4A"/>
    <w:rsid w:val="5FE21654"/>
    <w:rsid w:val="5FEA2B00"/>
    <w:rsid w:val="5FF22E45"/>
    <w:rsid w:val="60172FFB"/>
    <w:rsid w:val="602D6CC3"/>
    <w:rsid w:val="6042451C"/>
    <w:rsid w:val="607641C6"/>
    <w:rsid w:val="60883EF9"/>
    <w:rsid w:val="608A3882"/>
    <w:rsid w:val="608B2C81"/>
    <w:rsid w:val="608F34D9"/>
    <w:rsid w:val="609805E0"/>
    <w:rsid w:val="60AA0313"/>
    <w:rsid w:val="60AF3879"/>
    <w:rsid w:val="60C56EFB"/>
    <w:rsid w:val="60D0769B"/>
    <w:rsid w:val="60EE6452"/>
    <w:rsid w:val="60EF149E"/>
    <w:rsid w:val="613C0A62"/>
    <w:rsid w:val="615200E1"/>
    <w:rsid w:val="61693230"/>
    <w:rsid w:val="61972B6A"/>
    <w:rsid w:val="61B52ACC"/>
    <w:rsid w:val="61B84B09"/>
    <w:rsid w:val="61B84E22"/>
    <w:rsid w:val="61D45514"/>
    <w:rsid w:val="61F30033"/>
    <w:rsid w:val="61FD5295"/>
    <w:rsid w:val="62031A89"/>
    <w:rsid w:val="623065F6"/>
    <w:rsid w:val="624502F4"/>
    <w:rsid w:val="62561697"/>
    <w:rsid w:val="626802E1"/>
    <w:rsid w:val="62791D4B"/>
    <w:rsid w:val="62840A77"/>
    <w:rsid w:val="628D3A49"/>
    <w:rsid w:val="62CD2127"/>
    <w:rsid w:val="62CF5E0F"/>
    <w:rsid w:val="62D277D9"/>
    <w:rsid w:val="62E35572"/>
    <w:rsid w:val="62E83E16"/>
    <w:rsid w:val="62E95123"/>
    <w:rsid w:val="62E96ED1"/>
    <w:rsid w:val="62F35FA1"/>
    <w:rsid w:val="630261E5"/>
    <w:rsid w:val="63067FD3"/>
    <w:rsid w:val="631F28F3"/>
    <w:rsid w:val="6320028C"/>
    <w:rsid w:val="632443AD"/>
    <w:rsid w:val="633839B4"/>
    <w:rsid w:val="6354674F"/>
    <w:rsid w:val="636E387A"/>
    <w:rsid w:val="636E5E0F"/>
    <w:rsid w:val="637349EC"/>
    <w:rsid w:val="6374344C"/>
    <w:rsid w:val="6390559E"/>
    <w:rsid w:val="639C3F43"/>
    <w:rsid w:val="63A45A71"/>
    <w:rsid w:val="63A66B70"/>
    <w:rsid w:val="63C35974"/>
    <w:rsid w:val="63DF2082"/>
    <w:rsid w:val="63ED0C43"/>
    <w:rsid w:val="63ED479F"/>
    <w:rsid w:val="63F10999"/>
    <w:rsid w:val="63FD075A"/>
    <w:rsid w:val="63FE35FF"/>
    <w:rsid w:val="640815D9"/>
    <w:rsid w:val="641F4B74"/>
    <w:rsid w:val="642B587D"/>
    <w:rsid w:val="643367BB"/>
    <w:rsid w:val="64460353"/>
    <w:rsid w:val="645206D0"/>
    <w:rsid w:val="645E6CBF"/>
    <w:rsid w:val="646B1B68"/>
    <w:rsid w:val="64820ABF"/>
    <w:rsid w:val="64AA08E2"/>
    <w:rsid w:val="64D37E39"/>
    <w:rsid w:val="65002A2C"/>
    <w:rsid w:val="6502427A"/>
    <w:rsid w:val="6509385A"/>
    <w:rsid w:val="65382F87"/>
    <w:rsid w:val="653D1756"/>
    <w:rsid w:val="653E102A"/>
    <w:rsid w:val="65442AE4"/>
    <w:rsid w:val="654B78CA"/>
    <w:rsid w:val="65577BA6"/>
    <w:rsid w:val="65624D19"/>
    <w:rsid w:val="656C55D4"/>
    <w:rsid w:val="657607C4"/>
    <w:rsid w:val="65986A82"/>
    <w:rsid w:val="65AD4482"/>
    <w:rsid w:val="65B25CA0"/>
    <w:rsid w:val="65C07C91"/>
    <w:rsid w:val="65D8322D"/>
    <w:rsid w:val="65DC4ACB"/>
    <w:rsid w:val="65F8567D"/>
    <w:rsid w:val="65FA13F5"/>
    <w:rsid w:val="66013B8E"/>
    <w:rsid w:val="660202AA"/>
    <w:rsid w:val="66304E17"/>
    <w:rsid w:val="66326DE1"/>
    <w:rsid w:val="663D12E2"/>
    <w:rsid w:val="66504D19"/>
    <w:rsid w:val="665243A2"/>
    <w:rsid w:val="66552ACF"/>
    <w:rsid w:val="665533E3"/>
    <w:rsid w:val="665B6338"/>
    <w:rsid w:val="665E1984"/>
    <w:rsid w:val="66660838"/>
    <w:rsid w:val="667411A7"/>
    <w:rsid w:val="66742F55"/>
    <w:rsid w:val="6680605A"/>
    <w:rsid w:val="66837ED2"/>
    <w:rsid w:val="668C58AE"/>
    <w:rsid w:val="66A7157D"/>
    <w:rsid w:val="66AF32B2"/>
    <w:rsid w:val="66B5531C"/>
    <w:rsid w:val="66BC37E2"/>
    <w:rsid w:val="66CE332E"/>
    <w:rsid w:val="66DB2FD4"/>
    <w:rsid w:val="66F44096"/>
    <w:rsid w:val="670562A3"/>
    <w:rsid w:val="670B7AEA"/>
    <w:rsid w:val="671E1113"/>
    <w:rsid w:val="672A3F5C"/>
    <w:rsid w:val="6756421A"/>
    <w:rsid w:val="67630CEF"/>
    <w:rsid w:val="67780EDA"/>
    <w:rsid w:val="67825B46"/>
    <w:rsid w:val="678A67A9"/>
    <w:rsid w:val="679C7611"/>
    <w:rsid w:val="67A4786A"/>
    <w:rsid w:val="67A81366"/>
    <w:rsid w:val="67B9759D"/>
    <w:rsid w:val="67D11A4E"/>
    <w:rsid w:val="67D143D7"/>
    <w:rsid w:val="67D46CDE"/>
    <w:rsid w:val="67D87514"/>
    <w:rsid w:val="67FA392E"/>
    <w:rsid w:val="6819475B"/>
    <w:rsid w:val="681A3DE2"/>
    <w:rsid w:val="683F7593"/>
    <w:rsid w:val="685F3791"/>
    <w:rsid w:val="68637725"/>
    <w:rsid w:val="688A7DAC"/>
    <w:rsid w:val="689B5EB5"/>
    <w:rsid w:val="68A5389A"/>
    <w:rsid w:val="68AF1D6D"/>
    <w:rsid w:val="68B161D3"/>
    <w:rsid w:val="68CF43EA"/>
    <w:rsid w:val="68D93544"/>
    <w:rsid w:val="68DC63DC"/>
    <w:rsid w:val="68E1070E"/>
    <w:rsid w:val="68F62120"/>
    <w:rsid w:val="690B56C7"/>
    <w:rsid w:val="690C3CE7"/>
    <w:rsid w:val="691B3B5C"/>
    <w:rsid w:val="693F160F"/>
    <w:rsid w:val="69416EAD"/>
    <w:rsid w:val="694C3FC0"/>
    <w:rsid w:val="696D1D00"/>
    <w:rsid w:val="69765D89"/>
    <w:rsid w:val="697D4F6A"/>
    <w:rsid w:val="698C6808"/>
    <w:rsid w:val="699163F6"/>
    <w:rsid w:val="699F653B"/>
    <w:rsid w:val="69C16928"/>
    <w:rsid w:val="69CD7914"/>
    <w:rsid w:val="69D47128"/>
    <w:rsid w:val="69DA5DFE"/>
    <w:rsid w:val="69EC374B"/>
    <w:rsid w:val="69F25583"/>
    <w:rsid w:val="69F66377"/>
    <w:rsid w:val="6A1F767C"/>
    <w:rsid w:val="6A2627B9"/>
    <w:rsid w:val="6A462E5B"/>
    <w:rsid w:val="6A49294B"/>
    <w:rsid w:val="6A503CD9"/>
    <w:rsid w:val="6A692CB7"/>
    <w:rsid w:val="6A696B49"/>
    <w:rsid w:val="6A8952C2"/>
    <w:rsid w:val="6A906D98"/>
    <w:rsid w:val="6AA6423E"/>
    <w:rsid w:val="6AB57FE0"/>
    <w:rsid w:val="6AC344AB"/>
    <w:rsid w:val="6AC65D4A"/>
    <w:rsid w:val="6AD46A66"/>
    <w:rsid w:val="6AED37F2"/>
    <w:rsid w:val="6AEF7DCE"/>
    <w:rsid w:val="6B3A1E2C"/>
    <w:rsid w:val="6B3C7DBA"/>
    <w:rsid w:val="6B621F16"/>
    <w:rsid w:val="6B6F4633"/>
    <w:rsid w:val="6B7B2FD8"/>
    <w:rsid w:val="6B7D161D"/>
    <w:rsid w:val="6B9023FF"/>
    <w:rsid w:val="6B9F5BAD"/>
    <w:rsid w:val="6BA442DD"/>
    <w:rsid w:val="6BA46BE1"/>
    <w:rsid w:val="6BA936A1"/>
    <w:rsid w:val="6BC04E8F"/>
    <w:rsid w:val="6BC06C3D"/>
    <w:rsid w:val="6BC26511"/>
    <w:rsid w:val="6BC404DB"/>
    <w:rsid w:val="6BC95AF1"/>
    <w:rsid w:val="6BCA6224"/>
    <w:rsid w:val="6BD41C61"/>
    <w:rsid w:val="6BE91CF0"/>
    <w:rsid w:val="6BF32B6E"/>
    <w:rsid w:val="6C0A614D"/>
    <w:rsid w:val="6C1D4188"/>
    <w:rsid w:val="6C303DC2"/>
    <w:rsid w:val="6C3952AC"/>
    <w:rsid w:val="6C5D448C"/>
    <w:rsid w:val="6C692E30"/>
    <w:rsid w:val="6C8C114B"/>
    <w:rsid w:val="6CA672D2"/>
    <w:rsid w:val="6CAD71C1"/>
    <w:rsid w:val="6CF21078"/>
    <w:rsid w:val="6CF9407C"/>
    <w:rsid w:val="6D002DFC"/>
    <w:rsid w:val="6D194017"/>
    <w:rsid w:val="6D1B05CF"/>
    <w:rsid w:val="6D2A6A64"/>
    <w:rsid w:val="6D364163"/>
    <w:rsid w:val="6D571889"/>
    <w:rsid w:val="6D592EA5"/>
    <w:rsid w:val="6D837F22"/>
    <w:rsid w:val="6D8E5551"/>
    <w:rsid w:val="6DB56E82"/>
    <w:rsid w:val="6DBD6517"/>
    <w:rsid w:val="6DC132D7"/>
    <w:rsid w:val="6DC76061"/>
    <w:rsid w:val="6DD10C8D"/>
    <w:rsid w:val="6DEF55B7"/>
    <w:rsid w:val="6DFA6436"/>
    <w:rsid w:val="6E22773B"/>
    <w:rsid w:val="6E5D0773"/>
    <w:rsid w:val="6E602011"/>
    <w:rsid w:val="6E711527"/>
    <w:rsid w:val="6E751F61"/>
    <w:rsid w:val="6E761835"/>
    <w:rsid w:val="6E79211E"/>
    <w:rsid w:val="6E8126B3"/>
    <w:rsid w:val="6E82467D"/>
    <w:rsid w:val="6E8439ED"/>
    <w:rsid w:val="6E9323E7"/>
    <w:rsid w:val="6E9C573F"/>
    <w:rsid w:val="6EA6211A"/>
    <w:rsid w:val="6EAD16FA"/>
    <w:rsid w:val="6EC23191"/>
    <w:rsid w:val="6EC93EB4"/>
    <w:rsid w:val="6ED85841"/>
    <w:rsid w:val="6EEC3440"/>
    <w:rsid w:val="6F255735"/>
    <w:rsid w:val="6F3C65DA"/>
    <w:rsid w:val="6F5837CB"/>
    <w:rsid w:val="6F6D5423"/>
    <w:rsid w:val="6F7C0E3D"/>
    <w:rsid w:val="6F7F4023"/>
    <w:rsid w:val="6F82185F"/>
    <w:rsid w:val="6F886353"/>
    <w:rsid w:val="6F887838"/>
    <w:rsid w:val="6F8E41A4"/>
    <w:rsid w:val="6FA32AFD"/>
    <w:rsid w:val="6FB7179E"/>
    <w:rsid w:val="6FB940CF"/>
    <w:rsid w:val="6FBD3BBF"/>
    <w:rsid w:val="6FDD600F"/>
    <w:rsid w:val="6FE4739E"/>
    <w:rsid w:val="6FE86762"/>
    <w:rsid w:val="6FEC0000"/>
    <w:rsid w:val="6FEE70E9"/>
    <w:rsid w:val="6FF54D17"/>
    <w:rsid w:val="70096E04"/>
    <w:rsid w:val="700C2451"/>
    <w:rsid w:val="703235D5"/>
    <w:rsid w:val="70380103"/>
    <w:rsid w:val="703A3D0A"/>
    <w:rsid w:val="703D6AAE"/>
    <w:rsid w:val="704E2AC7"/>
    <w:rsid w:val="70634139"/>
    <w:rsid w:val="70705949"/>
    <w:rsid w:val="70744007"/>
    <w:rsid w:val="708244C1"/>
    <w:rsid w:val="709C5DB4"/>
    <w:rsid w:val="70B236B4"/>
    <w:rsid w:val="70BF6642"/>
    <w:rsid w:val="70F53102"/>
    <w:rsid w:val="70FF075C"/>
    <w:rsid w:val="710650F2"/>
    <w:rsid w:val="71066EA0"/>
    <w:rsid w:val="711C4915"/>
    <w:rsid w:val="71237A52"/>
    <w:rsid w:val="71431EA2"/>
    <w:rsid w:val="71525070"/>
    <w:rsid w:val="715C2F64"/>
    <w:rsid w:val="7162598C"/>
    <w:rsid w:val="71804EA4"/>
    <w:rsid w:val="71983729"/>
    <w:rsid w:val="71F66F14"/>
    <w:rsid w:val="721455EC"/>
    <w:rsid w:val="722F68CA"/>
    <w:rsid w:val="723058B0"/>
    <w:rsid w:val="723143F0"/>
    <w:rsid w:val="724D08F0"/>
    <w:rsid w:val="72534367"/>
    <w:rsid w:val="725D51E5"/>
    <w:rsid w:val="72605EE6"/>
    <w:rsid w:val="72807126"/>
    <w:rsid w:val="728B1DE3"/>
    <w:rsid w:val="728C1627"/>
    <w:rsid w:val="728E1843"/>
    <w:rsid w:val="729C5939"/>
    <w:rsid w:val="72A4584D"/>
    <w:rsid w:val="72A5093A"/>
    <w:rsid w:val="72BF2E76"/>
    <w:rsid w:val="72D51220"/>
    <w:rsid w:val="72E75D66"/>
    <w:rsid w:val="72ED47BB"/>
    <w:rsid w:val="72F9401A"/>
    <w:rsid w:val="731E3A64"/>
    <w:rsid w:val="733221CE"/>
    <w:rsid w:val="73497518"/>
    <w:rsid w:val="734E4B2E"/>
    <w:rsid w:val="73634A7D"/>
    <w:rsid w:val="73682094"/>
    <w:rsid w:val="73740A39"/>
    <w:rsid w:val="737C169B"/>
    <w:rsid w:val="73805E5E"/>
    <w:rsid w:val="73814F04"/>
    <w:rsid w:val="7388084A"/>
    <w:rsid w:val="73922C6D"/>
    <w:rsid w:val="73944C37"/>
    <w:rsid w:val="739C3AEB"/>
    <w:rsid w:val="73BA5622"/>
    <w:rsid w:val="73C25DD5"/>
    <w:rsid w:val="73C343E4"/>
    <w:rsid w:val="73CD19B2"/>
    <w:rsid w:val="73E56BC8"/>
    <w:rsid w:val="73E831D5"/>
    <w:rsid w:val="73F25E01"/>
    <w:rsid w:val="73F506D6"/>
    <w:rsid w:val="73FC0A2E"/>
    <w:rsid w:val="740B2A1F"/>
    <w:rsid w:val="740E335C"/>
    <w:rsid w:val="74117C8D"/>
    <w:rsid w:val="741713C4"/>
    <w:rsid w:val="74220923"/>
    <w:rsid w:val="743E2DF5"/>
    <w:rsid w:val="744A79EB"/>
    <w:rsid w:val="745708AE"/>
    <w:rsid w:val="74806F69"/>
    <w:rsid w:val="74852401"/>
    <w:rsid w:val="749F1AE5"/>
    <w:rsid w:val="749F7D37"/>
    <w:rsid w:val="74AE1D28"/>
    <w:rsid w:val="74B471B3"/>
    <w:rsid w:val="74E03EAC"/>
    <w:rsid w:val="7501454E"/>
    <w:rsid w:val="75022074"/>
    <w:rsid w:val="751B27D2"/>
    <w:rsid w:val="75221B04"/>
    <w:rsid w:val="75510906"/>
    <w:rsid w:val="75717E89"/>
    <w:rsid w:val="757A6A57"/>
    <w:rsid w:val="757D1115"/>
    <w:rsid w:val="758331B5"/>
    <w:rsid w:val="75AB270C"/>
    <w:rsid w:val="75F419BD"/>
    <w:rsid w:val="761C4031"/>
    <w:rsid w:val="762878B8"/>
    <w:rsid w:val="762A27DA"/>
    <w:rsid w:val="76312C11"/>
    <w:rsid w:val="763E0E8A"/>
    <w:rsid w:val="76430936"/>
    <w:rsid w:val="76524935"/>
    <w:rsid w:val="765336FE"/>
    <w:rsid w:val="76740D50"/>
    <w:rsid w:val="76764AC8"/>
    <w:rsid w:val="76816FC9"/>
    <w:rsid w:val="76832D41"/>
    <w:rsid w:val="76A50965"/>
    <w:rsid w:val="76A6461F"/>
    <w:rsid w:val="76B80C3C"/>
    <w:rsid w:val="76C53359"/>
    <w:rsid w:val="76DE441B"/>
    <w:rsid w:val="76EB3A50"/>
    <w:rsid w:val="76F679B7"/>
    <w:rsid w:val="77132317"/>
    <w:rsid w:val="77356731"/>
    <w:rsid w:val="773D1603"/>
    <w:rsid w:val="77400C32"/>
    <w:rsid w:val="774A6156"/>
    <w:rsid w:val="776E3C1A"/>
    <w:rsid w:val="777803CC"/>
    <w:rsid w:val="77C11D73"/>
    <w:rsid w:val="77D71596"/>
    <w:rsid w:val="77EB35FA"/>
    <w:rsid w:val="780D320A"/>
    <w:rsid w:val="781D3B03"/>
    <w:rsid w:val="781F6205"/>
    <w:rsid w:val="783F6BF7"/>
    <w:rsid w:val="78434E7D"/>
    <w:rsid w:val="786A41B8"/>
    <w:rsid w:val="7871660D"/>
    <w:rsid w:val="78987C84"/>
    <w:rsid w:val="789E20B4"/>
    <w:rsid w:val="78C4148F"/>
    <w:rsid w:val="78C961F4"/>
    <w:rsid w:val="78E21FA1"/>
    <w:rsid w:val="78EE4DE9"/>
    <w:rsid w:val="790901FF"/>
    <w:rsid w:val="791B1956"/>
    <w:rsid w:val="7924080B"/>
    <w:rsid w:val="79254583"/>
    <w:rsid w:val="792D540E"/>
    <w:rsid w:val="794609F9"/>
    <w:rsid w:val="794F07DE"/>
    <w:rsid w:val="796919EA"/>
    <w:rsid w:val="797F5A41"/>
    <w:rsid w:val="798B088A"/>
    <w:rsid w:val="798F3644"/>
    <w:rsid w:val="79933102"/>
    <w:rsid w:val="7993773F"/>
    <w:rsid w:val="799A287B"/>
    <w:rsid w:val="79C142AC"/>
    <w:rsid w:val="79D10450"/>
    <w:rsid w:val="79DC2E94"/>
    <w:rsid w:val="79E9124E"/>
    <w:rsid w:val="7A056BAC"/>
    <w:rsid w:val="7A0860A5"/>
    <w:rsid w:val="7A245426"/>
    <w:rsid w:val="7A286917"/>
    <w:rsid w:val="7A290118"/>
    <w:rsid w:val="7A3053BF"/>
    <w:rsid w:val="7A5C2227"/>
    <w:rsid w:val="7A601D17"/>
    <w:rsid w:val="7A6376BF"/>
    <w:rsid w:val="7A756E44"/>
    <w:rsid w:val="7A82542A"/>
    <w:rsid w:val="7A97688D"/>
    <w:rsid w:val="7A9814B1"/>
    <w:rsid w:val="7AA65250"/>
    <w:rsid w:val="7AB43E11"/>
    <w:rsid w:val="7AD06D06"/>
    <w:rsid w:val="7AF256B6"/>
    <w:rsid w:val="7AF449C4"/>
    <w:rsid w:val="7B051225"/>
    <w:rsid w:val="7B0846E3"/>
    <w:rsid w:val="7B486307"/>
    <w:rsid w:val="7B4C229B"/>
    <w:rsid w:val="7B4C4049"/>
    <w:rsid w:val="7B4C5DF7"/>
    <w:rsid w:val="7B670E83"/>
    <w:rsid w:val="7B7F7F7B"/>
    <w:rsid w:val="7B914268"/>
    <w:rsid w:val="7B965AB3"/>
    <w:rsid w:val="7BA75723"/>
    <w:rsid w:val="7BBC1AD5"/>
    <w:rsid w:val="7BC2255D"/>
    <w:rsid w:val="7BEF7850"/>
    <w:rsid w:val="7C036DFE"/>
    <w:rsid w:val="7C280612"/>
    <w:rsid w:val="7C3074C7"/>
    <w:rsid w:val="7C444D20"/>
    <w:rsid w:val="7C5C650E"/>
    <w:rsid w:val="7C7C0DEA"/>
    <w:rsid w:val="7CAA7279"/>
    <w:rsid w:val="7CB00608"/>
    <w:rsid w:val="7CD442F6"/>
    <w:rsid w:val="7CD6006E"/>
    <w:rsid w:val="7CF14EA8"/>
    <w:rsid w:val="7CF718EF"/>
    <w:rsid w:val="7D07647A"/>
    <w:rsid w:val="7D31799A"/>
    <w:rsid w:val="7D3704A9"/>
    <w:rsid w:val="7D3935CB"/>
    <w:rsid w:val="7D5316BF"/>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F84014"/>
    <w:rsid w:val="7DFA4423"/>
    <w:rsid w:val="7E0105AB"/>
    <w:rsid w:val="7E0503B7"/>
    <w:rsid w:val="7E074257"/>
    <w:rsid w:val="7E0E55E6"/>
    <w:rsid w:val="7E1C7D03"/>
    <w:rsid w:val="7E384472"/>
    <w:rsid w:val="7E795155"/>
    <w:rsid w:val="7E841FE0"/>
    <w:rsid w:val="7E843AFA"/>
    <w:rsid w:val="7E885398"/>
    <w:rsid w:val="7E9F4667"/>
    <w:rsid w:val="7EAD3051"/>
    <w:rsid w:val="7EB20667"/>
    <w:rsid w:val="7EE55250"/>
    <w:rsid w:val="7EF94618"/>
    <w:rsid w:val="7F054C3B"/>
    <w:rsid w:val="7F076A8B"/>
    <w:rsid w:val="7F1430D0"/>
    <w:rsid w:val="7F211349"/>
    <w:rsid w:val="7F2B19DA"/>
    <w:rsid w:val="7F2C21C7"/>
    <w:rsid w:val="7F3217A8"/>
    <w:rsid w:val="7F405C73"/>
    <w:rsid w:val="7F460DAF"/>
    <w:rsid w:val="7F4736ED"/>
    <w:rsid w:val="7F4946CE"/>
    <w:rsid w:val="7F5D6825"/>
    <w:rsid w:val="7F631B2A"/>
    <w:rsid w:val="7F65392B"/>
    <w:rsid w:val="7F743B6E"/>
    <w:rsid w:val="7F98785D"/>
    <w:rsid w:val="7FA501CC"/>
    <w:rsid w:val="7FAE52D2"/>
    <w:rsid w:val="7FBB354B"/>
    <w:rsid w:val="7FC66C16"/>
    <w:rsid w:val="7FC9626B"/>
    <w:rsid w:val="7FD0349B"/>
    <w:rsid w:val="7FDD1714"/>
    <w:rsid w:val="7FE505C8"/>
    <w:rsid w:val="7FEC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autoRedefine/>
    <w:qFormat/>
    <w:uiPriority w:val="0"/>
    <w:rPr>
      <w:b/>
    </w:rPr>
  </w:style>
  <w:style w:type="character" w:styleId="10">
    <w:name w:val="Hyperlink"/>
    <w:basedOn w:val="8"/>
    <w:autoRedefine/>
    <w:qFormat/>
    <w:uiPriority w:val="0"/>
    <w:rPr>
      <w:color w:val="0000FF"/>
      <w:u w:val="single"/>
    </w:rPr>
  </w:style>
  <w:style w:type="paragraph" w:customStyle="1" w:styleId="11">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2">
    <w:name w:val="Table Normal"/>
    <w:autoRedefine/>
    <w:semiHidden/>
    <w:unhideWhenUsed/>
    <w:qFormat/>
    <w:uiPriority w:val="0"/>
    <w:tblPr>
      <w:tblCellMar>
        <w:top w:w="0" w:type="dxa"/>
        <w:left w:w="0" w:type="dxa"/>
        <w:bottom w:w="0" w:type="dxa"/>
        <w:right w:w="0" w:type="dxa"/>
      </w:tblCellMar>
    </w:tblPr>
  </w:style>
  <w:style w:type="paragraph" w:customStyle="1" w:styleId="13">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3507</Words>
  <Characters>4281</Characters>
  <Lines>0</Lines>
  <Paragraphs>0</Paragraphs>
  <TotalTime>0</TotalTime>
  <ScaleCrop>false</ScaleCrop>
  <LinksUpToDate>false</LinksUpToDate>
  <CharactersWithSpaces>4340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2024-04-25T01:19:01Z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D23AE21371AD4B2A936F48373C5D0EDD_13</vt:lpwstr>
  </property>
</Properties>
</file>