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A83" w:rsidRDefault="00FF1A83" w:rsidP="00FF1A83">
      <w:pPr>
        <w:spacing w:line="360" w:lineRule="auto"/>
        <w:ind w:firstLineChars="200" w:firstLine="480"/>
        <w:jc w:val="center"/>
        <w:rPr>
          <w:rFonts w:hint="eastAsia"/>
          <w:b/>
          <w:sz w:val="24"/>
        </w:rPr>
      </w:pPr>
      <w:r w:rsidRPr="00FF1A83">
        <w:rPr>
          <w:rFonts w:hint="eastAsia"/>
          <w:b/>
          <w:sz w:val="24"/>
        </w:rPr>
        <w:t>港股势如破竹，</w:t>
      </w:r>
      <w:r w:rsidRPr="00FF1A83">
        <w:rPr>
          <w:b/>
          <w:sz w:val="24"/>
        </w:rPr>
        <w:t>A</w:t>
      </w:r>
      <w:r>
        <w:rPr>
          <w:b/>
          <w:sz w:val="24"/>
        </w:rPr>
        <w:t>股接棒上行</w:t>
      </w:r>
    </w:p>
    <w:p w:rsidR="00050B86" w:rsidRDefault="0016666A" w:rsidP="0016666A">
      <w:pPr>
        <w:spacing w:line="360" w:lineRule="auto"/>
        <w:ind w:firstLineChars="200" w:firstLine="420"/>
      </w:pPr>
      <w:r>
        <w:rPr>
          <w:rFonts w:hint="eastAsia"/>
        </w:rPr>
        <w:t>五一假期期间，海外市场表现普遍较佳。美股三大股指周五交易日大幅收涨，其中中国资产表现亮眼，纳斯达克中国金</w:t>
      </w:r>
      <w:proofErr w:type="gramStart"/>
      <w:r>
        <w:rPr>
          <w:rFonts w:hint="eastAsia"/>
        </w:rPr>
        <w:t>龙指数</w:t>
      </w:r>
      <w:proofErr w:type="gramEnd"/>
      <w:r>
        <w:rPr>
          <w:rFonts w:hint="eastAsia"/>
        </w:rPr>
        <w:t>5月1日至3日期间累计涨幅高达8</w:t>
      </w:r>
      <w:r>
        <w:t>.47%</w:t>
      </w:r>
      <w:r>
        <w:rPr>
          <w:rFonts w:hint="eastAsia"/>
        </w:rPr>
        <w:t>。港股同样延续上涨态势，恒生指数与恒生科技指数累计涨幅分别为4</w:t>
      </w:r>
      <w:r>
        <w:t>.01%</w:t>
      </w:r>
      <w:r>
        <w:rPr>
          <w:rFonts w:hint="eastAsia"/>
        </w:rPr>
        <w:t>，7</w:t>
      </w:r>
      <w:r>
        <w:t>.31%</w:t>
      </w:r>
      <w:r>
        <w:rPr>
          <w:rFonts w:hint="eastAsia"/>
        </w:rPr>
        <w:t>。</w:t>
      </w:r>
      <w:r w:rsidRPr="0016666A">
        <w:rPr>
          <w:rFonts w:hint="eastAsia"/>
        </w:rPr>
        <w:t>值得注意的是，</w:t>
      </w:r>
      <w:bookmarkStart w:id="0" w:name="_GoBack"/>
      <w:bookmarkEnd w:id="0"/>
      <w:r w:rsidRPr="0016666A">
        <w:rPr>
          <w:rFonts w:hint="eastAsia"/>
        </w:rPr>
        <w:t>恒生指数</w:t>
      </w:r>
      <w:r>
        <w:rPr>
          <w:rFonts w:hint="eastAsia"/>
        </w:rPr>
        <w:t>截至目前已经实现九连阳，且自年初低位拉升以来，</w:t>
      </w:r>
      <w:r w:rsidRPr="0016666A">
        <w:rPr>
          <w:rFonts w:hint="eastAsia"/>
        </w:rPr>
        <w:t>期间最高涨幅超过</w:t>
      </w:r>
      <w:r w:rsidRPr="0016666A">
        <w:t>25%</w:t>
      </w:r>
      <w:r>
        <w:rPr>
          <w:rFonts w:hint="eastAsia"/>
        </w:rPr>
        <w:t>，</w:t>
      </w:r>
      <w:r w:rsidR="00836E7C">
        <w:rPr>
          <w:rFonts w:hint="eastAsia"/>
        </w:rPr>
        <w:t>AH股溢价跌破1</w:t>
      </w:r>
      <w:r w:rsidR="00836E7C">
        <w:t>45</w:t>
      </w:r>
      <w:r w:rsidR="00836E7C">
        <w:rPr>
          <w:rFonts w:hint="eastAsia"/>
        </w:rPr>
        <w:t>点，</w:t>
      </w:r>
      <w:r>
        <w:rPr>
          <w:rFonts w:hint="eastAsia"/>
        </w:rPr>
        <w:t>港股或已步入技术性牛市。节前外围中国资产的高昂情绪于预期内感染A股节后开盘的做多氛围，</w:t>
      </w:r>
      <w:r w:rsidRPr="0016666A">
        <w:t>A股三大指数集体高开，沪指高开0.89%，深成指高开1.55%，创业板指高开2.07%</w:t>
      </w:r>
      <w:r>
        <w:rPr>
          <w:rFonts w:hint="eastAsia"/>
        </w:rPr>
        <w:t>。</w:t>
      </w:r>
    </w:p>
    <w:p w:rsidR="00D70AAC" w:rsidRDefault="008459C2" w:rsidP="0016666A">
      <w:pPr>
        <w:spacing w:line="360" w:lineRule="auto"/>
        <w:ind w:firstLineChars="200" w:firstLine="420"/>
      </w:pPr>
      <w:r>
        <w:rPr>
          <w:rFonts w:hint="eastAsia"/>
        </w:rPr>
        <w:t>上证综指</w:t>
      </w:r>
      <w:r w:rsidR="002203CD">
        <w:rPr>
          <w:rFonts w:hint="eastAsia"/>
        </w:rPr>
        <w:t>目前突破3</w:t>
      </w:r>
      <w:r w:rsidR="002203CD">
        <w:t>100</w:t>
      </w:r>
      <w:r w:rsidR="002203CD">
        <w:rPr>
          <w:rFonts w:hint="eastAsia"/>
        </w:rPr>
        <w:t>点震荡上沿，周线级别亦呈现较强势突破信号。</w:t>
      </w:r>
      <w:r w:rsidR="00CB5374">
        <w:rPr>
          <w:rFonts w:hint="eastAsia"/>
        </w:rPr>
        <w:t>从节前五个交易日来看，</w:t>
      </w:r>
      <w:r w:rsidR="00CB5374" w:rsidRPr="00CB5374">
        <w:rPr>
          <w:rFonts w:hint="eastAsia"/>
        </w:rPr>
        <w:t>北上资金期间累计净流入</w:t>
      </w:r>
      <w:r w:rsidR="00CB5374" w:rsidRPr="00CB5374">
        <w:t>297亿元</w:t>
      </w:r>
      <w:r w:rsidR="00CB5374">
        <w:rPr>
          <w:rFonts w:hint="eastAsia"/>
        </w:rPr>
        <w:t>，</w:t>
      </w:r>
      <w:r w:rsidR="00CB5374" w:rsidRPr="00CB5374">
        <w:t>4月26日单日净流入超200亿元</w:t>
      </w:r>
      <w:r w:rsidR="00CB5374">
        <w:rPr>
          <w:rFonts w:hint="eastAsia"/>
        </w:rPr>
        <w:t>，成交量连续位于万亿上方，诸多市场面数据展现出当下A股市场交投火热的信号。二季度市场在盈利阶段性触底，乐观政策预期的主导下，</w:t>
      </w:r>
      <w:proofErr w:type="gramStart"/>
      <w:r w:rsidR="00CB5374">
        <w:rPr>
          <w:rFonts w:hint="eastAsia"/>
        </w:rPr>
        <w:t>主要宽基指数</w:t>
      </w:r>
      <w:proofErr w:type="gramEnd"/>
      <w:r w:rsidR="00CB5374">
        <w:rPr>
          <w:rFonts w:hint="eastAsia"/>
        </w:rPr>
        <w:t>或仍延续积极行情。</w:t>
      </w:r>
    </w:p>
    <w:p w:rsidR="000A28A8" w:rsidRDefault="000A28A8" w:rsidP="000A28A8">
      <w:pPr>
        <w:spacing w:line="360" w:lineRule="auto"/>
        <w:jc w:val="center"/>
      </w:pPr>
      <w:r>
        <w:rPr>
          <w:rFonts w:hint="eastAsia"/>
        </w:rPr>
        <w:t>图1：中国权益资产代表指数涨跌幅（节前一周，%）</w:t>
      </w:r>
    </w:p>
    <w:p w:rsidR="000A28A8" w:rsidRDefault="000A28A8" w:rsidP="000A28A8">
      <w:pPr>
        <w:spacing w:line="360" w:lineRule="auto"/>
      </w:pPr>
      <w:r>
        <w:rPr>
          <w:noProof/>
        </w:rPr>
        <w:drawing>
          <wp:inline distT="0" distB="0" distL="0" distR="0" wp14:anchorId="4A2D452E" wp14:editId="52592878">
            <wp:extent cx="4967654" cy="2347546"/>
            <wp:effectExtent l="0" t="0" r="4445" b="152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0A28A8" w:rsidRDefault="000A28A8" w:rsidP="000A28A8">
      <w:pPr>
        <w:spacing w:line="360" w:lineRule="auto"/>
        <w:rPr>
          <w:i/>
        </w:rPr>
      </w:pPr>
      <w:r w:rsidRPr="000A28A8">
        <w:rPr>
          <w:rFonts w:hint="eastAsia"/>
          <w:i/>
        </w:rPr>
        <w:t>资料来源：wind，瑞达期货研究院</w:t>
      </w:r>
    </w:p>
    <w:p w:rsidR="00705E43" w:rsidRPr="00705E43" w:rsidRDefault="00705E43" w:rsidP="00705E43">
      <w:pPr>
        <w:spacing w:line="360" w:lineRule="auto"/>
        <w:jc w:val="center"/>
      </w:pPr>
      <w:r w:rsidRPr="00705E43">
        <w:rPr>
          <w:rFonts w:hint="eastAsia"/>
        </w:rPr>
        <w:t>图2：恒生沪深港通</w:t>
      </w:r>
      <w:r w:rsidRPr="00705E43">
        <w:t>AH股溢价</w:t>
      </w:r>
      <w:r w:rsidR="002B54FD">
        <w:rPr>
          <w:rFonts w:hint="eastAsia"/>
        </w:rPr>
        <w:t>创新低</w:t>
      </w:r>
    </w:p>
    <w:p w:rsidR="00705E43" w:rsidRDefault="00705E43" w:rsidP="000A28A8">
      <w:pPr>
        <w:spacing w:line="360" w:lineRule="auto"/>
        <w:rPr>
          <w:i/>
        </w:rPr>
      </w:pPr>
      <w:r>
        <w:rPr>
          <w:noProof/>
        </w:rPr>
        <w:lastRenderedPageBreak/>
        <w:drawing>
          <wp:inline distT="0" distB="0" distL="0" distR="0" wp14:anchorId="39010D9D" wp14:editId="190E982E">
            <wp:extent cx="5134708" cy="2162810"/>
            <wp:effectExtent l="0" t="0" r="8890" b="889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05E43" w:rsidRPr="00705E43" w:rsidRDefault="00705E43" w:rsidP="000A28A8">
      <w:pPr>
        <w:spacing w:line="360" w:lineRule="auto"/>
        <w:rPr>
          <w:i/>
        </w:rPr>
      </w:pPr>
      <w:r w:rsidRPr="000A28A8">
        <w:rPr>
          <w:rFonts w:hint="eastAsia"/>
          <w:i/>
        </w:rPr>
        <w:t>资料来源：wind，瑞达期货研究院</w:t>
      </w:r>
    </w:p>
    <w:p w:rsidR="0016666A" w:rsidRDefault="00CB5FD5" w:rsidP="0016666A">
      <w:pPr>
        <w:spacing w:line="360" w:lineRule="auto"/>
        <w:rPr>
          <w:b/>
        </w:rPr>
      </w:pPr>
      <w:r>
        <w:rPr>
          <w:rFonts w:hint="eastAsia"/>
          <w:b/>
        </w:rPr>
        <w:t>一、</w:t>
      </w:r>
      <w:r w:rsidR="0016666A">
        <w:rPr>
          <w:rFonts w:hint="eastAsia"/>
          <w:b/>
        </w:rPr>
        <w:t>积极政策定调符合市场预期</w:t>
      </w:r>
    </w:p>
    <w:p w:rsidR="00D70AAC" w:rsidRDefault="0016666A" w:rsidP="0016666A">
      <w:pPr>
        <w:spacing w:line="360" w:lineRule="auto"/>
        <w:ind w:firstLineChars="200" w:firstLine="420"/>
      </w:pPr>
      <w:r>
        <w:rPr>
          <w:rFonts w:hint="eastAsia"/>
        </w:rPr>
        <w:t>首先，</w:t>
      </w:r>
      <w:r w:rsidRPr="0016666A">
        <w:rPr>
          <w:rFonts w:hint="eastAsia"/>
        </w:rPr>
        <w:t>中央政治局于</w:t>
      </w:r>
      <w:r w:rsidRPr="0016666A">
        <w:t>4月30日召开会议，宣布决定7月份召开中共三中全会，重点研究中国“进一步全面深化改革”等问题。会议</w:t>
      </w:r>
      <w:r w:rsidR="002203CD" w:rsidRPr="002203CD">
        <w:rPr>
          <w:rFonts w:hint="eastAsia"/>
        </w:rPr>
        <w:t>肯定一季度</w:t>
      </w:r>
      <w:r w:rsidR="002203CD">
        <w:rPr>
          <w:rFonts w:hint="eastAsia"/>
        </w:rPr>
        <w:t>经济</w:t>
      </w:r>
      <w:r w:rsidR="002203CD" w:rsidRPr="002203CD">
        <w:rPr>
          <w:rFonts w:hint="eastAsia"/>
        </w:rPr>
        <w:t>良好开局，政策基调整体积极</w:t>
      </w:r>
      <w:r w:rsidRPr="0016666A">
        <w:t>。</w:t>
      </w:r>
      <w:r w:rsidR="002203CD">
        <w:rPr>
          <w:rFonts w:hint="eastAsia"/>
        </w:rPr>
        <w:t>中央态度上着眼靠前发力有效落实已确定宏观政策，特别国债有望及早发行，</w:t>
      </w:r>
      <w:proofErr w:type="gramStart"/>
      <w:r w:rsidR="002203CD">
        <w:rPr>
          <w:rFonts w:hint="eastAsia"/>
        </w:rPr>
        <w:t>降准降息</w:t>
      </w:r>
      <w:proofErr w:type="gramEnd"/>
      <w:r w:rsidR="002203CD">
        <w:rPr>
          <w:rFonts w:hint="eastAsia"/>
        </w:rPr>
        <w:t>未来仍然可以期待</w:t>
      </w:r>
      <w:r w:rsidRPr="0016666A">
        <w:t>。此外，会议还提及了市场关注的新质生产力、房地产、财政政策、内需等多个热点</w:t>
      </w:r>
      <w:r w:rsidR="003F25A8">
        <w:rPr>
          <w:rFonts w:hint="eastAsia"/>
        </w:rPr>
        <w:t>，态度符合</w:t>
      </w:r>
      <w:r w:rsidR="002203CD">
        <w:rPr>
          <w:rFonts w:hint="eastAsia"/>
        </w:rPr>
        <w:t>市场</w:t>
      </w:r>
      <w:r w:rsidR="003F25A8">
        <w:rPr>
          <w:rFonts w:hint="eastAsia"/>
        </w:rPr>
        <w:t>预期</w:t>
      </w:r>
      <w:r w:rsidRPr="0016666A">
        <w:t>。</w:t>
      </w:r>
    </w:p>
    <w:p w:rsidR="00D70AAC" w:rsidRDefault="0016666A" w:rsidP="0016666A">
      <w:pPr>
        <w:spacing w:line="360" w:lineRule="auto"/>
        <w:ind w:firstLineChars="200" w:firstLine="420"/>
      </w:pPr>
      <w:r w:rsidRPr="0016666A">
        <w:rPr>
          <w:rFonts w:hint="eastAsia"/>
        </w:rPr>
        <w:t>其次，假期房地产市场也迎来诸多利好政策</w:t>
      </w:r>
      <w:r w:rsidRPr="0016666A">
        <w:rPr>
          <w:rFonts w:hint="eastAsia"/>
          <w:b/>
        </w:rPr>
        <w:t>。</w:t>
      </w:r>
      <w:r w:rsidRPr="0016666A">
        <w:rPr>
          <w:rFonts w:hint="eastAsia"/>
        </w:rPr>
        <w:t>其中包括，北京宣布京籍家庭可在五环外新购一套房，天津取消本地户籍</w:t>
      </w:r>
      <w:r w:rsidRPr="0016666A">
        <w:t>120平以上新房限购，上海宣布“以旧换新”活动，南京</w:t>
      </w:r>
      <w:proofErr w:type="gramStart"/>
      <w:r w:rsidRPr="0016666A">
        <w:t>都市圈九城</w:t>
      </w:r>
      <w:proofErr w:type="gramEnd"/>
      <w:r w:rsidRPr="0016666A">
        <w:t>公积金</w:t>
      </w:r>
      <w:proofErr w:type="gramStart"/>
      <w:r w:rsidRPr="0016666A">
        <w:t>互认互贷等</w:t>
      </w:r>
      <w:proofErr w:type="gramEnd"/>
      <w:r w:rsidRPr="0016666A">
        <w:t>。</w:t>
      </w:r>
      <w:r w:rsidR="00CB5374">
        <w:rPr>
          <w:rFonts w:hint="eastAsia"/>
        </w:rPr>
        <w:t>后续</w:t>
      </w:r>
      <w:r w:rsidR="00CB5374" w:rsidRPr="00CB5374">
        <w:rPr>
          <w:rFonts w:hint="eastAsia"/>
        </w:rPr>
        <w:t>地方楼市以旧换新实践模式及中央财政及货币资金配套是重点</w:t>
      </w:r>
      <w:r w:rsidR="00CB5374">
        <w:rPr>
          <w:rFonts w:hint="eastAsia"/>
        </w:rPr>
        <w:t>，具体政策落地有望持续稳定经济增长预期。</w:t>
      </w:r>
    </w:p>
    <w:p w:rsidR="0016666A" w:rsidRDefault="00D70AAC" w:rsidP="0016666A">
      <w:pPr>
        <w:spacing w:line="360" w:lineRule="auto"/>
        <w:ind w:firstLineChars="200" w:firstLine="420"/>
        <w:rPr>
          <w:b/>
        </w:rPr>
      </w:pPr>
      <w:r>
        <w:rPr>
          <w:rFonts w:hint="eastAsia"/>
        </w:rPr>
        <w:t>再次，</w:t>
      </w:r>
      <w:r w:rsidRPr="00D70AAC">
        <w:rPr>
          <w:rFonts w:hint="eastAsia"/>
        </w:rPr>
        <w:t>沪深京三大交易所密集发布，退市、</w:t>
      </w:r>
      <w:r w:rsidRPr="00D70AAC">
        <w:t>IPO、分红、重组多项相关规则修订</w:t>
      </w:r>
      <w:r>
        <w:rPr>
          <w:rFonts w:hint="eastAsia"/>
        </w:rPr>
        <w:t>。私募方面</w:t>
      </w:r>
      <w:r w:rsidRPr="00D70AAC">
        <w:rPr>
          <w:rFonts w:hint="eastAsia"/>
        </w:rPr>
        <w:t>规范了程序化交易、</w:t>
      </w:r>
      <w:r w:rsidRPr="00D70AAC">
        <w:t>DMA和雪球衍生品交易安排，</w:t>
      </w:r>
      <w:r>
        <w:rPr>
          <w:rFonts w:hint="eastAsia"/>
        </w:rPr>
        <w:t>降低极端行情下衍生品</w:t>
      </w:r>
      <w:r w:rsidRPr="00D70AAC">
        <w:t>对市场造成</w:t>
      </w:r>
      <w:r>
        <w:rPr>
          <w:rFonts w:hint="eastAsia"/>
        </w:rPr>
        <w:t>的</w:t>
      </w:r>
      <w:r w:rsidRPr="00D70AAC">
        <w:t>影响。</w:t>
      </w:r>
      <w:r w:rsidR="0016666A" w:rsidRPr="00D70AAC">
        <w:rPr>
          <w:rFonts w:hint="eastAsia"/>
          <w:b/>
        </w:rPr>
        <w:t>整体来说，</w:t>
      </w:r>
      <w:r w:rsidR="002203CD" w:rsidRPr="002203CD">
        <w:rPr>
          <w:rFonts w:hint="eastAsia"/>
          <w:b/>
        </w:rPr>
        <w:t>新“国九条”</w:t>
      </w:r>
      <w:r w:rsidR="002203CD">
        <w:rPr>
          <w:rFonts w:hint="eastAsia"/>
          <w:b/>
        </w:rPr>
        <w:t>后</w:t>
      </w:r>
      <w:r w:rsidR="002203CD" w:rsidRPr="002203CD">
        <w:rPr>
          <w:rFonts w:hint="eastAsia"/>
          <w:b/>
        </w:rPr>
        <w:t>的“</w:t>
      </w:r>
      <w:r w:rsidR="002203CD" w:rsidRPr="002203CD">
        <w:rPr>
          <w:b/>
        </w:rPr>
        <w:t>1+N”政策体系密集落地</w:t>
      </w:r>
      <w:r w:rsidR="002203CD">
        <w:rPr>
          <w:rFonts w:hint="eastAsia"/>
          <w:b/>
        </w:rPr>
        <w:t>，</w:t>
      </w:r>
      <w:r w:rsidRPr="00D70AAC">
        <w:rPr>
          <w:rFonts w:hint="eastAsia"/>
          <w:b/>
        </w:rPr>
        <w:t>资本市场规则修订进一步利好A股中长期高质量发展，</w:t>
      </w:r>
      <w:r>
        <w:rPr>
          <w:rFonts w:hint="eastAsia"/>
          <w:b/>
        </w:rPr>
        <w:t>此外</w:t>
      </w:r>
      <w:r w:rsidR="0016666A" w:rsidRPr="0016666A">
        <w:rPr>
          <w:rFonts w:hint="eastAsia"/>
          <w:b/>
        </w:rPr>
        <w:t>市场对包括楼市、</w:t>
      </w:r>
      <w:proofErr w:type="gramStart"/>
      <w:r w:rsidR="0016666A" w:rsidRPr="0016666A">
        <w:rPr>
          <w:rFonts w:hint="eastAsia"/>
          <w:b/>
        </w:rPr>
        <w:t>央行购债等</w:t>
      </w:r>
      <w:proofErr w:type="gramEnd"/>
      <w:r w:rsidR="0016666A" w:rsidRPr="0016666A">
        <w:rPr>
          <w:rFonts w:hint="eastAsia"/>
          <w:b/>
        </w:rPr>
        <w:t>重大</w:t>
      </w:r>
      <w:r>
        <w:rPr>
          <w:rFonts w:hint="eastAsia"/>
          <w:b/>
        </w:rPr>
        <w:t>宏观</w:t>
      </w:r>
      <w:r w:rsidR="0016666A" w:rsidRPr="0016666A">
        <w:rPr>
          <w:rFonts w:hint="eastAsia"/>
          <w:b/>
        </w:rPr>
        <w:t>政策的预期</w:t>
      </w:r>
      <w:r w:rsidR="0016666A">
        <w:rPr>
          <w:rFonts w:hint="eastAsia"/>
          <w:b/>
        </w:rPr>
        <w:t>较</w:t>
      </w:r>
      <w:r w:rsidR="0016666A" w:rsidRPr="0016666A">
        <w:rPr>
          <w:rFonts w:hint="eastAsia"/>
          <w:b/>
        </w:rPr>
        <w:t>为乐观，政策定调基本符合预期，这也缓释了节前一周资金对政策不及预期的担忧，</w:t>
      </w:r>
      <w:r w:rsidR="0016666A" w:rsidRPr="0016666A">
        <w:rPr>
          <w:b/>
        </w:rPr>
        <w:t>A股市场的积极因素</w:t>
      </w:r>
      <w:r w:rsidR="0016666A" w:rsidRPr="0016666A">
        <w:rPr>
          <w:rFonts w:hint="eastAsia"/>
          <w:b/>
        </w:rPr>
        <w:t>持续</w:t>
      </w:r>
      <w:r w:rsidR="0016666A" w:rsidRPr="0016666A">
        <w:rPr>
          <w:b/>
        </w:rPr>
        <w:t>积累。</w:t>
      </w:r>
    </w:p>
    <w:p w:rsidR="00CB5FD5" w:rsidRDefault="00CB5FD5" w:rsidP="00CB5FD5">
      <w:pPr>
        <w:spacing w:line="360" w:lineRule="auto"/>
        <w:rPr>
          <w:b/>
        </w:rPr>
      </w:pPr>
      <w:r>
        <w:rPr>
          <w:rFonts w:hint="eastAsia"/>
          <w:b/>
        </w:rPr>
        <w:t>二、</w:t>
      </w:r>
      <w:proofErr w:type="gramStart"/>
      <w:r>
        <w:rPr>
          <w:rFonts w:hint="eastAsia"/>
          <w:b/>
        </w:rPr>
        <w:t>财报季</w:t>
      </w:r>
      <w:proofErr w:type="gramEnd"/>
      <w:r>
        <w:rPr>
          <w:rFonts w:hint="eastAsia"/>
          <w:b/>
        </w:rPr>
        <w:t>落幕缓释资金博弈格局</w:t>
      </w:r>
    </w:p>
    <w:p w:rsidR="00CB5FD5" w:rsidRDefault="00CB5FD5" w:rsidP="00CB5FD5">
      <w:pPr>
        <w:spacing w:line="360" w:lineRule="auto"/>
        <w:ind w:firstLineChars="200" w:firstLine="420"/>
        <w:rPr>
          <w:b/>
        </w:rPr>
      </w:pPr>
      <w:r w:rsidRPr="00CB5FD5">
        <w:rPr>
          <w:rFonts w:hint="eastAsia"/>
        </w:rPr>
        <w:t>四月份市场位于震荡区间，很大程度上受到业绩披露对预期验证的影响，随着2</w:t>
      </w:r>
      <w:r w:rsidRPr="00CB5FD5">
        <w:t>023</w:t>
      </w:r>
      <w:r w:rsidRPr="00CB5FD5">
        <w:rPr>
          <w:rFonts w:hint="eastAsia"/>
        </w:rPr>
        <w:t>年年报业绩逐步披露完毕，</w:t>
      </w:r>
      <w:r w:rsidRPr="00CB5FD5">
        <w:t>2024</w:t>
      </w:r>
      <w:r w:rsidRPr="00CB5FD5">
        <w:rPr>
          <w:rFonts w:hint="eastAsia"/>
        </w:rPr>
        <w:t>年一季度业绩进一步明朗，资金预期趋于稳定</w:t>
      </w:r>
      <w:r>
        <w:rPr>
          <w:rFonts w:hint="eastAsia"/>
        </w:rPr>
        <w:t>。整体来看，</w:t>
      </w:r>
      <w:r w:rsidRPr="00CB5FD5">
        <w:t>A股</w:t>
      </w:r>
      <w:r>
        <w:t xml:space="preserve"> 2023</w:t>
      </w:r>
      <w:r w:rsidRPr="00CB5FD5">
        <w:t>年盈利增速回升，但2024Q1盈利增速再次回落，A股业绩修复过程</w:t>
      </w:r>
      <w:r>
        <w:rPr>
          <w:rFonts w:hint="eastAsia"/>
        </w:rPr>
        <w:t>相对较为曲折</w:t>
      </w:r>
      <w:r w:rsidRPr="00CB5FD5">
        <w:t>。</w:t>
      </w:r>
      <w:r w:rsidR="003F25A8">
        <w:rPr>
          <w:rFonts w:hint="eastAsia"/>
        </w:rPr>
        <w:t>值得关注的是，上市公司盈利增长或与名义GDP增速同趋势，一季度企业盈利能力受到物</w:t>
      </w:r>
      <w:r w:rsidR="003F25A8">
        <w:rPr>
          <w:rFonts w:hint="eastAsia"/>
        </w:rPr>
        <w:lastRenderedPageBreak/>
        <w:t>价走弱的制衡，</w:t>
      </w:r>
      <w:r w:rsidR="003F25A8" w:rsidRPr="003F25A8">
        <w:rPr>
          <w:rFonts w:hint="eastAsia"/>
        </w:rPr>
        <w:t>从去年二季度以来</w:t>
      </w:r>
      <w:r w:rsidR="003F25A8" w:rsidRPr="003F25A8">
        <w:t>GDP名义增速一直偏低且名义与实际增速间的缺口持续扩大，</w:t>
      </w:r>
      <w:r w:rsidR="003F25A8">
        <w:rPr>
          <w:rFonts w:hint="eastAsia"/>
        </w:rPr>
        <w:t>GDP平减指数持续负向扩张，</w:t>
      </w:r>
      <w:r w:rsidR="003F25A8" w:rsidRPr="003F25A8">
        <w:t>物价水</w:t>
      </w:r>
      <w:r w:rsidR="003F25A8">
        <w:t>平持续在低位徘徊</w:t>
      </w:r>
      <w:r w:rsidR="003F25A8">
        <w:rPr>
          <w:rFonts w:hint="eastAsia"/>
        </w:rPr>
        <w:t>对</w:t>
      </w:r>
      <w:r w:rsidR="003F25A8" w:rsidRPr="003F25A8">
        <w:rPr>
          <w:rFonts w:hint="eastAsia"/>
        </w:rPr>
        <w:t>经济整体呈现量增价减的趋势</w:t>
      </w:r>
      <w:r w:rsidR="003F25A8">
        <w:rPr>
          <w:rFonts w:hint="eastAsia"/>
        </w:rPr>
        <w:t>形成影响。</w:t>
      </w:r>
      <w:r w:rsidR="003F25A8" w:rsidRPr="003F25A8">
        <w:rPr>
          <w:rFonts w:hint="eastAsia"/>
          <w:b/>
        </w:rPr>
        <w:t>后续来看，</w:t>
      </w:r>
      <w:r w:rsidR="00CB5374">
        <w:rPr>
          <w:rFonts w:hint="eastAsia"/>
          <w:b/>
        </w:rPr>
        <w:t>若PPI同比增速保持</w:t>
      </w:r>
      <w:r w:rsidR="00CB5374" w:rsidRPr="00CB5374">
        <w:rPr>
          <w:rFonts w:hint="eastAsia"/>
          <w:b/>
        </w:rPr>
        <w:t>回升</w:t>
      </w:r>
      <w:r w:rsidR="00CB5374">
        <w:rPr>
          <w:rFonts w:hint="eastAsia"/>
          <w:b/>
        </w:rPr>
        <w:t>趋势，价格因素对于企业盈利的压制逐步减弱。</w:t>
      </w:r>
      <w:r w:rsidR="003F25A8" w:rsidRPr="003F25A8">
        <w:rPr>
          <w:rFonts w:hint="eastAsia"/>
          <w:b/>
        </w:rPr>
        <w:t>在业绩波动</w:t>
      </w:r>
      <w:r w:rsidR="00CB5374">
        <w:rPr>
          <w:rFonts w:hint="eastAsia"/>
          <w:b/>
        </w:rPr>
        <w:t>以及</w:t>
      </w:r>
      <w:r w:rsidR="003F25A8" w:rsidRPr="003F25A8">
        <w:rPr>
          <w:rFonts w:hint="eastAsia"/>
          <w:b/>
        </w:rPr>
        <w:t>基本面复苏趋势较弱的周期中，回报稳定的资产或成为资金关注的重点，大盘蓝</w:t>
      </w:r>
      <w:proofErr w:type="gramStart"/>
      <w:r w:rsidR="003F25A8" w:rsidRPr="003F25A8">
        <w:rPr>
          <w:rFonts w:hint="eastAsia"/>
          <w:b/>
        </w:rPr>
        <w:t>筹显示</w:t>
      </w:r>
      <w:proofErr w:type="gramEnd"/>
      <w:r w:rsidR="003F25A8" w:rsidRPr="003F25A8">
        <w:rPr>
          <w:rFonts w:hint="eastAsia"/>
          <w:b/>
        </w:rPr>
        <w:t>出更高安全性。</w:t>
      </w:r>
    </w:p>
    <w:p w:rsidR="000A28A8" w:rsidRPr="000A28A8" w:rsidRDefault="000A28A8" w:rsidP="000A28A8">
      <w:pPr>
        <w:spacing w:line="360" w:lineRule="auto"/>
        <w:jc w:val="center"/>
      </w:pPr>
      <w:r>
        <w:rPr>
          <w:rFonts w:hint="eastAsia"/>
        </w:rPr>
        <w:t>图</w:t>
      </w:r>
      <w:r w:rsidR="00705E43">
        <w:t>3</w:t>
      </w:r>
      <w:r>
        <w:rPr>
          <w:rFonts w:hint="eastAsia"/>
        </w:rPr>
        <w:t>：全A历年</w:t>
      </w:r>
      <w:proofErr w:type="gramStart"/>
      <w:r>
        <w:rPr>
          <w:rFonts w:hint="eastAsia"/>
        </w:rPr>
        <w:t>归母净利润</w:t>
      </w:r>
      <w:proofErr w:type="gramEnd"/>
      <w:r>
        <w:rPr>
          <w:rFonts w:hint="eastAsia"/>
        </w:rPr>
        <w:t>同比（%）</w:t>
      </w:r>
      <w:r w:rsidRPr="000A28A8">
        <w:rPr>
          <w:rFonts w:hint="eastAsia"/>
        </w:rPr>
        <w:t xml:space="preserve"> </w:t>
      </w:r>
    </w:p>
    <w:p w:rsidR="00C546FF" w:rsidRDefault="00C546FF" w:rsidP="00C546FF">
      <w:pPr>
        <w:spacing w:line="360" w:lineRule="auto"/>
        <w:jc w:val="left"/>
        <w:rPr>
          <w:b/>
        </w:rPr>
      </w:pPr>
      <w:r>
        <w:rPr>
          <w:noProof/>
        </w:rPr>
        <w:drawing>
          <wp:inline distT="0" distB="0" distL="0" distR="0" wp14:anchorId="235E53D1" wp14:editId="76E234BE">
            <wp:extent cx="5274310" cy="264033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640330"/>
                    </a:xfrm>
                    <a:prstGeom prst="rect">
                      <a:avLst/>
                    </a:prstGeom>
                  </pic:spPr>
                </pic:pic>
              </a:graphicData>
            </a:graphic>
          </wp:inline>
        </w:drawing>
      </w:r>
    </w:p>
    <w:p w:rsidR="000A28A8" w:rsidRPr="000A28A8" w:rsidRDefault="000A28A8" w:rsidP="000A28A8">
      <w:pPr>
        <w:spacing w:line="360" w:lineRule="auto"/>
        <w:rPr>
          <w:i/>
        </w:rPr>
      </w:pPr>
      <w:r w:rsidRPr="000A28A8">
        <w:rPr>
          <w:rFonts w:hint="eastAsia"/>
          <w:i/>
        </w:rPr>
        <w:t>资料来源：wind，瑞达期货研究院</w:t>
      </w:r>
    </w:p>
    <w:p w:rsidR="0016666A" w:rsidRDefault="00CB5FD5" w:rsidP="0016666A">
      <w:pPr>
        <w:spacing w:line="360" w:lineRule="auto"/>
        <w:rPr>
          <w:b/>
        </w:rPr>
      </w:pPr>
      <w:r>
        <w:rPr>
          <w:rFonts w:hint="eastAsia"/>
          <w:b/>
        </w:rPr>
        <w:t>三、</w:t>
      </w:r>
      <w:r w:rsidR="0016666A">
        <w:rPr>
          <w:rFonts w:hint="eastAsia"/>
          <w:b/>
        </w:rPr>
        <w:t>外围市场不确定性下降</w:t>
      </w:r>
    </w:p>
    <w:p w:rsidR="00C546FF" w:rsidRDefault="0016666A" w:rsidP="00D70AAC">
      <w:pPr>
        <w:spacing w:line="360" w:lineRule="auto"/>
        <w:ind w:firstLineChars="200" w:firstLine="420"/>
        <w:rPr>
          <w:b/>
        </w:rPr>
      </w:pPr>
      <w:r w:rsidRPr="0016666A">
        <w:rPr>
          <w:rFonts w:hint="eastAsia"/>
        </w:rPr>
        <w:t>美国日前公布数据，</w:t>
      </w:r>
      <w:r w:rsidRPr="0016666A">
        <w:t>4月非农就业人口增加17.5万人，大幅低于预期的24万人，也大幅不及3月的增长30.3万人；美国4月的失业率为3.9%，高于预期的3.8%。</w:t>
      </w:r>
      <w:r>
        <w:rPr>
          <w:rFonts w:hint="eastAsia"/>
        </w:rPr>
        <w:t>在就业市场降温的影响下</w:t>
      </w:r>
      <w:r w:rsidRPr="0016666A">
        <w:t>，</w:t>
      </w:r>
      <w:r>
        <w:rPr>
          <w:rFonts w:hint="eastAsia"/>
        </w:rPr>
        <w:t>市场预期</w:t>
      </w:r>
      <w:r w:rsidRPr="0016666A">
        <w:t>美联储首次降息时间预期从今年11月提前至9月，美联储年内将降息2次</w:t>
      </w:r>
      <w:r>
        <w:rPr>
          <w:rFonts w:hint="eastAsia"/>
        </w:rPr>
        <w:t>的概率上升。</w:t>
      </w:r>
      <w:r w:rsidR="00405611">
        <w:rPr>
          <w:rFonts w:hint="eastAsia"/>
        </w:rPr>
        <w:t>5月美联储议</w:t>
      </w:r>
      <w:proofErr w:type="gramStart"/>
      <w:r w:rsidR="00405611">
        <w:rPr>
          <w:rFonts w:hint="eastAsia"/>
        </w:rPr>
        <w:t>息会议</w:t>
      </w:r>
      <w:proofErr w:type="gramEnd"/>
      <w:r w:rsidR="00405611">
        <w:rPr>
          <w:rFonts w:hint="eastAsia"/>
        </w:rPr>
        <w:t>表述相较于3月份整体</w:t>
      </w:r>
      <w:proofErr w:type="gramStart"/>
      <w:r w:rsidR="00405611">
        <w:rPr>
          <w:rFonts w:hint="eastAsia"/>
        </w:rPr>
        <w:t>偏鸽且</w:t>
      </w:r>
      <w:proofErr w:type="gramEnd"/>
      <w:r w:rsidR="00405611">
        <w:rPr>
          <w:rFonts w:hint="eastAsia"/>
        </w:rPr>
        <w:t>超出市场预期，一方面</w:t>
      </w:r>
      <w:r w:rsidR="00405611" w:rsidRPr="00405611">
        <w:rPr>
          <w:rFonts w:hint="eastAsia"/>
        </w:rPr>
        <w:t>兑现了鲍威尔在</w:t>
      </w:r>
      <w:r w:rsidR="00405611" w:rsidRPr="00405611">
        <w:t>3月会议上“预计很快放缓缩表”的表态</w:t>
      </w:r>
      <w:r w:rsidR="00405611">
        <w:rPr>
          <w:rFonts w:hint="eastAsia"/>
        </w:rPr>
        <w:t>，另一方面对于重启加息予以否定的表态。仍需关注到的是，美国</w:t>
      </w:r>
      <w:r w:rsidR="00405611" w:rsidRPr="00405611">
        <w:rPr>
          <w:rFonts w:hint="eastAsia"/>
        </w:rPr>
        <w:t>通胀粘性的风险仍高，叠加美国大选带来的再通胀风险预期，后续围绕</w:t>
      </w:r>
      <w:r w:rsidR="00405611">
        <w:rPr>
          <w:rFonts w:hint="eastAsia"/>
        </w:rPr>
        <w:t>降息时点</w:t>
      </w:r>
      <w:r w:rsidR="00405611" w:rsidRPr="00405611">
        <w:rPr>
          <w:rFonts w:hint="eastAsia"/>
        </w:rPr>
        <w:t>的反复博弈仍是资本市场的显著特征。</w:t>
      </w:r>
      <w:r w:rsidR="00405611" w:rsidRPr="00405611">
        <w:rPr>
          <w:rFonts w:hint="eastAsia"/>
          <w:b/>
        </w:rPr>
        <w:t>对于中国资产而言，</w:t>
      </w:r>
      <w:r w:rsidR="00405611" w:rsidRPr="00405611">
        <w:rPr>
          <w:b/>
        </w:rPr>
        <w:t>A股和港股目前的估值仍处在较低区间，本轮美元走</w:t>
      </w:r>
      <w:proofErr w:type="gramStart"/>
      <w:r w:rsidR="00405611" w:rsidRPr="00405611">
        <w:rPr>
          <w:b/>
        </w:rPr>
        <w:t>强过程</w:t>
      </w:r>
      <w:proofErr w:type="gramEnd"/>
      <w:r w:rsidR="00405611" w:rsidRPr="00405611">
        <w:rPr>
          <w:b/>
        </w:rPr>
        <w:t>中人民币相对其他非美货币表现出的</w:t>
      </w:r>
      <w:r w:rsidR="00405611" w:rsidRPr="00405611">
        <w:rPr>
          <w:rFonts w:hint="eastAsia"/>
          <w:b/>
        </w:rPr>
        <w:t>稳定性</w:t>
      </w:r>
      <w:r w:rsidR="00405611" w:rsidRPr="00405611">
        <w:rPr>
          <w:b/>
        </w:rPr>
        <w:t>势有利于</w:t>
      </w:r>
      <w:r w:rsidR="00405611" w:rsidRPr="00405611">
        <w:rPr>
          <w:rFonts w:hint="eastAsia"/>
          <w:b/>
        </w:rPr>
        <w:t>提升中国资产在全球范围的</w:t>
      </w:r>
      <w:r w:rsidR="00CB5374">
        <w:rPr>
          <w:rFonts w:hint="eastAsia"/>
          <w:b/>
        </w:rPr>
        <w:t>吸引力，A股市</w:t>
      </w:r>
      <w:proofErr w:type="gramStart"/>
      <w:r w:rsidR="00CB5374">
        <w:rPr>
          <w:rFonts w:hint="eastAsia"/>
          <w:b/>
        </w:rPr>
        <w:t>场受到</w:t>
      </w:r>
      <w:proofErr w:type="gramEnd"/>
      <w:r w:rsidR="00CB5374">
        <w:rPr>
          <w:rFonts w:hint="eastAsia"/>
          <w:b/>
        </w:rPr>
        <w:t>消极影响的概率仍然较小。</w:t>
      </w:r>
    </w:p>
    <w:p w:rsidR="000A28A8" w:rsidRPr="000A28A8" w:rsidRDefault="000A28A8" w:rsidP="000A28A8">
      <w:pPr>
        <w:spacing w:line="360" w:lineRule="auto"/>
        <w:jc w:val="center"/>
      </w:pPr>
      <w:r>
        <w:rPr>
          <w:rFonts w:hint="eastAsia"/>
        </w:rPr>
        <w:t>图</w:t>
      </w:r>
      <w:r w:rsidR="00705E43">
        <w:t>4</w:t>
      </w:r>
      <w:r>
        <w:rPr>
          <w:rFonts w:hint="eastAsia"/>
        </w:rPr>
        <w:t>：2</w:t>
      </w:r>
      <w:r>
        <w:t>024</w:t>
      </w:r>
      <w:r>
        <w:rPr>
          <w:rFonts w:hint="eastAsia"/>
        </w:rPr>
        <w:t>年5月FOMC会议联邦基金利率期货预期</w:t>
      </w:r>
      <w:r w:rsidRPr="000A28A8">
        <w:rPr>
          <w:rFonts w:hint="eastAsia"/>
        </w:rPr>
        <w:t xml:space="preserve"> </w:t>
      </w:r>
    </w:p>
    <w:p w:rsidR="00C546FF" w:rsidRDefault="00C546FF" w:rsidP="000A28A8">
      <w:pPr>
        <w:spacing w:line="360" w:lineRule="auto"/>
        <w:jc w:val="center"/>
      </w:pPr>
      <w:r>
        <w:rPr>
          <w:noProof/>
        </w:rPr>
        <w:lastRenderedPageBreak/>
        <w:drawing>
          <wp:inline distT="0" distB="0" distL="0" distR="0">
            <wp:extent cx="5027578" cy="2593730"/>
            <wp:effectExtent l="0" t="0" r="1905"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rotWithShape="1">
                    <a:blip r:embed="rId7">
                      <a:extLst>
                        <a:ext uri="{28A0092B-C50C-407E-A947-70E740481C1C}">
                          <a14:useLocalDpi xmlns:a14="http://schemas.microsoft.com/office/drawing/2010/main" val="0"/>
                        </a:ext>
                      </a:extLst>
                    </a:blip>
                    <a:srcRect l="1834" t="9410" r="2779" b="9577"/>
                    <a:stretch/>
                  </pic:blipFill>
                  <pic:spPr bwMode="auto">
                    <a:xfrm>
                      <a:off x="0" y="0"/>
                      <a:ext cx="5032277" cy="2596154"/>
                    </a:xfrm>
                    <a:prstGeom prst="rect">
                      <a:avLst/>
                    </a:prstGeom>
                    <a:noFill/>
                    <a:ln>
                      <a:noFill/>
                    </a:ln>
                    <a:extLst>
                      <a:ext uri="{53640926-AAD7-44D8-BBD7-CCE9431645EC}">
                        <a14:shadowObscured xmlns:a14="http://schemas.microsoft.com/office/drawing/2010/main"/>
                      </a:ext>
                    </a:extLst>
                  </pic:spPr>
                </pic:pic>
              </a:graphicData>
            </a:graphic>
          </wp:inline>
        </w:drawing>
      </w:r>
    </w:p>
    <w:p w:rsidR="000A28A8" w:rsidRPr="000A28A8" w:rsidRDefault="000A28A8" w:rsidP="000A28A8">
      <w:pPr>
        <w:spacing w:line="360" w:lineRule="auto"/>
        <w:rPr>
          <w:i/>
        </w:rPr>
      </w:pPr>
      <w:r w:rsidRPr="000A28A8">
        <w:rPr>
          <w:rFonts w:hint="eastAsia"/>
          <w:i/>
        </w:rPr>
        <w:t>资料来源：</w:t>
      </w:r>
      <w:r>
        <w:rPr>
          <w:rFonts w:hint="eastAsia"/>
          <w:i/>
        </w:rPr>
        <w:t>CME</w:t>
      </w:r>
      <w:r>
        <w:rPr>
          <w:i/>
        </w:rPr>
        <w:t xml:space="preserve"> </w:t>
      </w:r>
      <w:proofErr w:type="spellStart"/>
      <w:r>
        <w:rPr>
          <w:rFonts w:hint="eastAsia"/>
          <w:i/>
        </w:rPr>
        <w:t>FedWatch</w:t>
      </w:r>
      <w:proofErr w:type="spellEnd"/>
      <w:r w:rsidRPr="000A28A8">
        <w:rPr>
          <w:rFonts w:hint="eastAsia"/>
          <w:i/>
        </w:rPr>
        <w:t>，瑞达期货研究院</w:t>
      </w:r>
    </w:p>
    <w:p w:rsidR="00405611" w:rsidRDefault="003F25A8" w:rsidP="000A28A8">
      <w:pPr>
        <w:spacing w:line="360" w:lineRule="auto"/>
        <w:ind w:firstLineChars="200" w:firstLine="420"/>
      </w:pPr>
      <w:r>
        <w:rPr>
          <w:rFonts w:hint="eastAsia"/>
        </w:rPr>
        <w:t>整体来看，五一</w:t>
      </w:r>
      <w:r w:rsidR="000A28A8">
        <w:rPr>
          <w:rFonts w:hint="eastAsia"/>
        </w:rPr>
        <w:t>假期期间</w:t>
      </w:r>
      <w:r w:rsidR="000A28A8" w:rsidRPr="000A28A8">
        <w:t>A股市场的利好消息不断</w:t>
      </w:r>
      <w:r w:rsidR="000A28A8">
        <w:rPr>
          <w:rFonts w:hint="eastAsia"/>
        </w:rPr>
        <w:t>，催化了</w:t>
      </w:r>
      <w:r w:rsidR="008459C2">
        <w:rPr>
          <w:rFonts w:hint="eastAsia"/>
        </w:rPr>
        <w:t>A</w:t>
      </w:r>
      <w:r w:rsidR="008459C2">
        <w:t>50</w:t>
      </w:r>
      <w:r w:rsidR="008459C2">
        <w:rPr>
          <w:rFonts w:hint="eastAsia"/>
        </w:rPr>
        <w:t>的</w:t>
      </w:r>
      <w:r w:rsidR="000A28A8">
        <w:rPr>
          <w:rFonts w:hint="eastAsia"/>
        </w:rPr>
        <w:t>行情</w:t>
      </w:r>
      <w:r w:rsidR="000A28A8" w:rsidRPr="000A28A8">
        <w:t>。</w:t>
      </w:r>
      <w:r w:rsidR="000A28A8">
        <w:rPr>
          <w:rFonts w:hint="eastAsia"/>
        </w:rPr>
        <w:t>积极因素</w:t>
      </w:r>
      <w:r w:rsidR="000A28A8" w:rsidRPr="000A28A8">
        <w:t>包括，中共中央政治局召开会议</w:t>
      </w:r>
      <w:r w:rsidR="000A28A8">
        <w:t>，提及了市场关注的新质生产力、房地产、财政政策、内需等多个热点</w:t>
      </w:r>
      <w:r w:rsidR="000A28A8">
        <w:rPr>
          <w:rFonts w:hint="eastAsia"/>
        </w:rPr>
        <w:t>，</w:t>
      </w:r>
      <w:r w:rsidR="000A28A8">
        <w:t>楼市密集迎来利好政策</w:t>
      </w:r>
      <w:r w:rsidR="000A28A8">
        <w:rPr>
          <w:rFonts w:hint="eastAsia"/>
        </w:rPr>
        <w:t>，资本市场规范落地，</w:t>
      </w:r>
      <w:r w:rsidR="000A28A8" w:rsidRPr="000A28A8">
        <w:t>海外流动性改善，外围市场不确定性下降</w:t>
      </w:r>
      <w:r w:rsidR="000A28A8">
        <w:rPr>
          <w:rFonts w:hint="eastAsia"/>
        </w:rPr>
        <w:t>等</w:t>
      </w:r>
      <w:r w:rsidR="000A28A8" w:rsidRPr="000A28A8">
        <w:t>。</w:t>
      </w:r>
      <w:r w:rsidR="000A28A8">
        <w:rPr>
          <w:rFonts w:hint="eastAsia"/>
        </w:rPr>
        <w:t>随着外资持续加码</w:t>
      </w:r>
      <w:r w:rsidR="008459C2">
        <w:rPr>
          <w:rFonts w:hint="eastAsia"/>
        </w:rPr>
        <w:t>A</w:t>
      </w:r>
      <w:r w:rsidR="008459C2">
        <w:t>50</w:t>
      </w:r>
      <w:r w:rsidR="000A28A8">
        <w:rPr>
          <w:rFonts w:hint="eastAsia"/>
        </w:rPr>
        <w:t>，人民币定价资产有望重拾吸引力，内部资金博弈</w:t>
      </w:r>
      <w:proofErr w:type="gramStart"/>
      <w:r w:rsidR="000A28A8">
        <w:rPr>
          <w:rFonts w:hint="eastAsia"/>
        </w:rPr>
        <w:t>告一段</w:t>
      </w:r>
      <w:proofErr w:type="gramEnd"/>
      <w:r w:rsidR="000A28A8">
        <w:rPr>
          <w:rFonts w:hint="eastAsia"/>
        </w:rPr>
        <w:t>路，整体资金风险偏好持续回升，二季度行情可期。</w:t>
      </w:r>
      <w:r w:rsidR="004F1B94">
        <w:rPr>
          <w:rFonts w:hint="eastAsia"/>
        </w:rPr>
        <w:t>对于港股而言，</w:t>
      </w:r>
      <w:r w:rsidR="004F1B94" w:rsidRPr="004F1B94">
        <w:rPr>
          <w:rFonts w:hint="eastAsia"/>
        </w:rPr>
        <w:t>恒生指数持续上涨反应出此前对于港股估值压制的外部因素已经逐步解除，全球资本或正向中美关系持续发展的方向定价，港股或成为中国风险资产的领先指标，</w:t>
      </w:r>
      <w:r w:rsidR="004F1B94">
        <w:rPr>
          <w:rFonts w:hint="eastAsia"/>
        </w:rPr>
        <w:t>考虑到内外不确定性因素尚存，</w:t>
      </w:r>
      <w:r w:rsidR="00E73FD9">
        <w:rPr>
          <w:rFonts w:hint="eastAsia"/>
        </w:rPr>
        <w:t>市场风险</w:t>
      </w:r>
      <w:proofErr w:type="gramStart"/>
      <w:r w:rsidR="00E73FD9">
        <w:rPr>
          <w:rFonts w:hint="eastAsia"/>
        </w:rPr>
        <w:t>偏好仍</w:t>
      </w:r>
      <w:proofErr w:type="gramEnd"/>
      <w:r w:rsidR="00E73FD9">
        <w:rPr>
          <w:rFonts w:hint="eastAsia"/>
        </w:rPr>
        <w:t>有待进一步改善，因此港股全球估值洼地以及高股息特征有望持续推高港股估值。</w:t>
      </w:r>
      <w:r w:rsidR="004F1B94" w:rsidRPr="004F1B94">
        <w:rPr>
          <w:rFonts w:hint="eastAsia"/>
        </w:rPr>
        <w:t>。</w:t>
      </w:r>
    </w:p>
    <w:p w:rsidR="004F1B94" w:rsidRDefault="004F1B94" w:rsidP="004F1B94">
      <w:pPr>
        <w:spacing w:line="360" w:lineRule="auto"/>
        <w:jc w:val="center"/>
      </w:pPr>
      <w:r>
        <w:rPr>
          <w:rFonts w:hint="eastAsia"/>
        </w:rPr>
        <w:t>图5：A</w:t>
      </w:r>
      <w:r>
        <w:t>50</w:t>
      </w:r>
      <w:r>
        <w:rPr>
          <w:rFonts w:hint="eastAsia"/>
        </w:rPr>
        <w:t>主力合约K线</w:t>
      </w:r>
    </w:p>
    <w:p w:rsidR="004F1B94" w:rsidRDefault="004F1B94" w:rsidP="004F1B94">
      <w:pPr>
        <w:spacing w:line="360" w:lineRule="auto"/>
      </w:pPr>
      <w:r>
        <w:rPr>
          <w:noProof/>
        </w:rPr>
        <w:drawing>
          <wp:inline distT="0" distB="0" distL="0" distR="0" wp14:anchorId="524FAAFB" wp14:editId="503899CE">
            <wp:extent cx="5274310" cy="179070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790700"/>
                    </a:xfrm>
                    <a:prstGeom prst="rect">
                      <a:avLst/>
                    </a:prstGeom>
                  </pic:spPr>
                </pic:pic>
              </a:graphicData>
            </a:graphic>
          </wp:inline>
        </w:drawing>
      </w:r>
    </w:p>
    <w:p w:rsidR="004F1B94" w:rsidRDefault="004F1B94" w:rsidP="004F1B94">
      <w:pPr>
        <w:spacing w:line="360" w:lineRule="auto"/>
        <w:rPr>
          <w:i/>
        </w:rPr>
      </w:pPr>
      <w:r w:rsidRPr="000A28A8">
        <w:rPr>
          <w:rFonts w:hint="eastAsia"/>
          <w:i/>
        </w:rPr>
        <w:t>资料来源：wind，瑞达期货研究院</w:t>
      </w:r>
    </w:p>
    <w:p w:rsidR="004F1B94" w:rsidRDefault="004F1B94" w:rsidP="004F1B94">
      <w:pPr>
        <w:spacing w:line="360" w:lineRule="auto"/>
        <w:jc w:val="center"/>
      </w:pPr>
      <w:r w:rsidRPr="004F1B94">
        <w:rPr>
          <w:rFonts w:hint="eastAsia"/>
        </w:rPr>
        <w:t>图</w:t>
      </w:r>
      <w:r>
        <w:rPr>
          <w:rFonts w:hint="eastAsia"/>
        </w:rPr>
        <w:t>6：恒生指数K线</w:t>
      </w:r>
    </w:p>
    <w:p w:rsidR="004F1B94" w:rsidRDefault="004F1B94" w:rsidP="004F1B94">
      <w:pPr>
        <w:spacing w:line="360" w:lineRule="auto"/>
        <w:jc w:val="center"/>
      </w:pPr>
      <w:r>
        <w:rPr>
          <w:noProof/>
        </w:rPr>
        <w:lastRenderedPageBreak/>
        <w:drawing>
          <wp:inline distT="0" distB="0" distL="0" distR="0" wp14:anchorId="25325372" wp14:editId="54877887">
            <wp:extent cx="5274310" cy="221107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211070"/>
                    </a:xfrm>
                    <a:prstGeom prst="rect">
                      <a:avLst/>
                    </a:prstGeom>
                  </pic:spPr>
                </pic:pic>
              </a:graphicData>
            </a:graphic>
          </wp:inline>
        </w:drawing>
      </w:r>
    </w:p>
    <w:p w:rsidR="004F1B94" w:rsidRDefault="004F1B94" w:rsidP="004F1B94">
      <w:pPr>
        <w:spacing w:line="360" w:lineRule="auto"/>
        <w:rPr>
          <w:i/>
        </w:rPr>
      </w:pPr>
      <w:r w:rsidRPr="000A28A8">
        <w:rPr>
          <w:rFonts w:hint="eastAsia"/>
          <w:i/>
        </w:rPr>
        <w:t>资料来源：wind，瑞达期货研究院</w:t>
      </w:r>
    </w:p>
    <w:p w:rsidR="004F1B94" w:rsidRPr="004F1B94" w:rsidRDefault="004F1B94" w:rsidP="004F1B94">
      <w:pPr>
        <w:spacing w:line="360" w:lineRule="auto"/>
        <w:jc w:val="center"/>
      </w:pPr>
    </w:p>
    <w:sectPr w:rsidR="004F1B94" w:rsidRPr="004F1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DFD"/>
    <w:rsid w:val="000A28A8"/>
    <w:rsid w:val="000C2F7A"/>
    <w:rsid w:val="00163DD9"/>
    <w:rsid w:val="0016666A"/>
    <w:rsid w:val="001B5CC8"/>
    <w:rsid w:val="002203CD"/>
    <w:rsid w:val="002B54FD"/>
    <w:rsid w:val="002D209C"/>
    <w:rsid w:val="003F25A8"/>
    <w:rsid w:val="00405611"/>
    <w:rsid w:val="004F1B94"/>
    <w:rsid w:val="00623FDE"/>
    <w:rsid w:val="00705E43"/>
    <w:rsid w:val="007C0ABC"/>
    <w:rsid w:val="0083458B"/>
    <w:rsid w:val="00836E7C"/>
    <w:rsid w:val="008459C2"/>
    <w:rsid w:val="00C546FF"/>
    <w:rsid w:val="00CB5374"/>
    <w:rsid w:val="00CB5FD5"/>
    <w:rsid w:val="00D70AAC"/>
    <w:rsid w:val="00E73FD9"/>
    <w:rsid w:val="00FA299C"/>
    <w:rsid w:val="00FC6DFD"/>
    <w:rsid w:val="00FF1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DF90"/>
  <w15:chartTrackingRefBased/>
  <w15:docId w15:val="{D060028B-8492-4502-A841-78BDD0B2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B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8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chart" Target="charts/chart2.xml"/><Relationship Id="rId10" Type="http://schemas.openxmlformats.org/officeDocument/2006/relationships/fontTable" Target="fontTable.xml"/><Relationship Id="rId4" Type="http://schemas.openxmlformats.org/officeDocument/2006/relationships/chart" Target="charts/chart1.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E:\&#20551;&#30340;&#26700;&#38754;\&#25991;&#31456;\&#20116;&#19968;&#33410;&#21069;&#28072;&#2413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20551;&#30340;&#26700;&#38754;\&#25991;&#31456;\&#20116;&#19968;&#33410;&#21069;&#28072;&#2413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Sheet1!$D$15</c:f>
              <c:strCache>
                <c:ptCount val="1"/>
                <c:pt idx="0">
                  <c:v>2024-04-30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Sheet1!$C$16:$C$25</c:f>
              <c:strCache>
                <c:ptCount val="10"/>
                <c:pt idx="0">
                  <c:v>上证50</c:v>
                </c:pt>
                <c:pt idx="1">
                  <c:v>上证指数</c:v>
                </c:pt>
                <c:pt idx="2">
                  <c:v>沪深300</c:v>
                </c:pt>
                <c:pt idx="3">
                  <c:v>中证500</c:v>
                </c:pt>
                <c:pt idx="4">
                  <c:v>深证成指</c:v>
                </c:pt>
                <c:pt idx="5">
                  <c:v>中证1000</c:v>
                </c:pt>
                <c:pt idx="6">
                  <c:v>创业板指</c:v>
                </c:pt>
                <c:pt idx="7">
                  <c:v>恒生指数</c:v>
                </c:pt>
                <c:pt idx="8">
                  <c:v>纳斯达克中国金龙指数</c:v>
                </c:pt>
                <c:pt idx="9">
                  <c:v>恒生科技</c:v>
                </c:pt>
              </c:strCache>
            </c:strRef>
          </c:cat>
          <c:val>
            <c:numRef>
              <c:f>Sheet1!$D$16:$D$25</c:f>
              <c:numCache>
                <c:formatCode>0.00</c:formatCode>
                <c:ptCount val="10"/>
                <c:pt idx="0">
                  <c:v>9.6995940785493673E-2</c:v>
                </c:pt>
                <c:pt idx="1">
                  <c:v>0.52414080430398524</c:v>
                </c:pt>
                <c:pt idx="2">
                  <c:v>0.56150088751718563</c:v>
                </c:pt>
                <c:pt idx="3">
                  <c:v>1.2847849347545459</c:v>
                </c:pt>
                <c:pt idx="4">
                  <c:v>1.3019707124769742</c:v>
                </c:pt>
                <c:pt idx="5">
                  <c:v>1.5046775185513228</c:v>
                </c:pt>
                <c:pt idx="6">
                  <c:v>1.9000444964376806</c:v>
                </c:pt>
                <c:pt idx="7">
                  <c:v>4.6726133991269458</c:v>
                </c:pt>
                <c:pt idx="8">
                  <c:v>5.53</c:v>
                </c:pt>
                <c:pt idx="9">
                  <c:v>6.8047774906071945</c:v>
                </c:pt>
              </c:numCache>
            </c:numRef>
          </c:val>
          <c:extLst>
            <c:ext xmlns:c16="http://schemas.microsoft.com/office/drawing/2014/chart" uri="{C3380CC4-5D6E-409C-BE32-E72D297353CC}">
              <c16:uniqueId val="{00000000-7656-46C3-9E94-CA2AAFAC964F}"/>
            </c:ext>
          </c:extLst>
        </c:ser>
        <c:dLbls>
          <c:showLegendKey val="0"/>
          <c:showVal val="1"/>
          <c:showCatName val="0"/>
          <c:showSerName val="0"/>
          <c:showPercent val="0"/>
          <c:showBubbleSize val="0"/>
        </c:dLbls>
        <c:gapWidth val="150"/>
        <c:overlap val="-25"/>
        <c:axId val="1177909024"/>
        <c:axId val="1177903616"/>
      </c:barChart>
      <c:catAx>
        <c:axId val="117790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77903616"/>
        <c:crosses val="autoZero"/>
        <c:auto val="1"/>
        <c:lblAlgn val="ctr"/>
        <c:lblOffset val="100"/>
        <c:noMultiLvlLbl val="0"/>
      </c:catAx>
      <c:valAx>
        <c:axId val="1177903616"/>
        <c:scaling>
          <c:orientation val="minMax"/>
        </c:scaling>
        <c:delete val="1"/>
        <c:axPos val="l"/>
        <c:numFmt formatCode="0.00" sourceLinked="1"/>
        <c:majorTickMark val="none"/>
        <c:minorTickMark val="none"/>
        <c:tickLblPos val="nextTo"/>
        <c:crossAx val="11779090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恒生沪深港通AH股溢价</c:v>
                </c:pt>
              </c:strCache>
            </c:strRef>
          </c:tx>
          <c:spPr>
            <a:ln w="28575" cap="rnd">
              <a:solidFill>
                <a:schemeClr val="accent1"/>
              </a:solidFill>
              <a:round/>
            </a:ln>
            <a:effectLst/>
          </c:spPr>
          <c:marker>
            <c:symbol val="none"/>
          </c:marker>
          <c:cat>
            <c:numRef>
              <c:f>Sheet2!$A$2:$A$747</c:f>
              <c:numCache>
                <c:formatCode>m/d/yyyy</c:formatCode>
                <c:ptCount val="746"/>
                <c:pt idx="0">
                  <c:v>44292</c:v>
                </c:pt>
                <c:pt idx="1">
                  <c:v>44293</c:v>
                </c:pt>
                <c:pt idx="2">
                  <c:v>44294</c:v>
                </c:pt>
                <c:pt idx="3">
                  <c:v>44295</c:v>
                </c:pt>
                <c:pt idx="4">
                  <c:v>44298</c:v>
                </c:pt>
                <c:pt idx="5">
                  <c:v>44299</c:v>
                </c:pt>
                <c:pt idx="6">
                  <c:v>44300</c:v>
                </c:pt>
                <c:pt idx="7">
                  <c:v>44301</c:v>
                </c:pt>
                <c:pt idx="8">
                  <c:v>44302</c:v>
                </c:pt>
                <c:pt idx="9">
                  <c:v>44305</c:v>
                </c:pt>
                <c:pt idx="10">
                  <c:v>44306</c:v>
                </c:pt>
                <c:pt idx="11">
                  <c:v>44307</c:v>
                </c:pt>
                <c:pt idx="12">
                  <c:v>44308</c:v>
                </c:pt>
                <c:pt idx="13">
                  <c:v>44309</c:v>
                </c:pt>
                <c:pt idx="14">
                  <c:v>44312</c:v>
                </c:pt>
                <c:pt idx="15">
                  <c:v>44313</c:v>
                </c:pt>
                <c:pt idx="16">
                  <c:v>44314</c:v>
                </c:pt>
                <c:pt idx="17">
                  <c:v>44315</c:v>
                </c:pt>
                <c:pt idx="18">
                  <c:v>44316</c:v>
                </c:pt>
                <c:pt idx="19">
                  <c:v>44322</c:v>
                </c:pt>
                <c:pt idx="20">
                  <c:v>44323</c:v>
                </c:pt>
                <c:pt idx="21">
                  <c:v>44326</c:v>
                </c:pt>
                <c:pt idx="22">
                  <c:v>44327</c:v>
                </c:pt>
                <c:pt idx="23">
                  <c:v>44328</c:v>
                </c:pt>
                <c:pt idx="24">
                  <c:v>44329</c:v>
                </c:pt>
                <c:pt idx="25">
                  <c:v>44330</c:v>
                </c:pt>
                <c:pt idx="26">
                  <c:v>44333</c:v>
                </c:pt>
                <c:pt idx="27">
                  <c:v>44334</c:v>
                </c:pt>
                <c:pt idx="28">
                  <c:v>44335</c:v>
                </c:pt>
                <c:pt idx="29">
                  <c:v>44336</c:v>
                </c:pt>
                <c:pt idx="30">
                  <c:v>44337</c:v>
                </c:pt>
                <c:pt idx="31">
                  <c:v>44340</c:v>
                </c:pt>
                <c:pt idx="32">
                  <c:v>44341</c:v>
                </c:pt>
                <c:pt idx="33">
                  <c:v>44342</c:v>
                </c:pt>
                <c:pt idx="34">
                  <c:v>44343</c:v>
                </c:pt>
                <c:pt idx="35">
                  <c:v>44344</c:v>
                </c:pt>
                <c:pt idx="36">
                  <c:v>44347</c:v>
                </c:pt>
                <c:pt idx="37">
                  <c:v>44348</c:v>
                </c:pt>
                <c:pt idx="38">
                  <c:v>44349</c:v>
                </c:pt>
                <c:pt idx="39">
                  <c:v>44350</c:v>
                </c:pt>
                <c:pt idx="40">
                  <c:v>44351</c:v>
                </c:pt>
                <c:pt idx="41">
                  <c:v>44354</c:v>
                </c:pt>
                <c:pt idx="42">
                  <c:v>44355</c:v>
                </c:pt>
                <c:pt idx="43">
                  <c:v>44356</c:v>
                </c:pt>
                <c:pt idx="44">
                  <c:v>44357</c:v>
                </c:pt>
                <c:pt idx="45">
                  <c:v>44358</c:v>
                </c:pt>
                <c:pt idx="46">
                  <c:v>44362</c:v>
                </c:pt>
                <c:pt idx="47">
                  <c:v>44363</c:v>
                </c:pt>
                <c:pt idx="48">
                  <c:v>44364</c:v>
                </c:pt>
                <c:pt idx="49">
                  <c:v>44365</c:v>
                </c:pt>
                <c:pt idx="50">
                  <c:v>44368</c:v>
                </c:pt>
                <c:pt idx="51">
                  <c:v>44369</c:v>
                </c:pt>
                <c:pt idx="52">
                  <c:v>44370</c:v>
                </c:pt>
                <c:pt idx="53">
                  <c:v>44371</c:v>
                </c:pt>
                <c:pt idx="54">
                  <c:v>44372</c:v>
                </c:pt>
                <c:pt idx="55">
                  <c:v>44375</c:v>
                </c:pt>
                <c:pt idx="56">
                  <c:v>44376</c:v>
                </c:pt>
                <c:pt idx="57">
                  <c:v>44377</c:v>
                </c:pt>
                <c:pt idx="58">
                  <c:v>44378</c:v>
                </c:pt>
                <c:pt idx="59">
                  <c:v>44379</c:v>
                </c:pt>
                <c:pt idx="60">
                  <c:v>44382</c:v>
                </c:pt>
                <c:pt idx="61">
                  <c:v>44383</c:v>
                </c:pt>
                <c:pt idx="62">
                  <c:v>44384</c:v>
                </c:pt>
                <c:pt idx="63">
                  <c:v>44385</c:v>
                </c:pt>
                <c:pt idx="64">
                  <c:v>44386</c:v>
                </c:pt>
                <c:pt idx="65">
                  <c:v>44389</c:v>
                </c:pt>
                <c:pt idx="66">
                  <c:v>44390</c:v>
                </c:pt>
                <c:pt idx="67">
                  <c:v>44391</c:v>
                </c:pt>
                <c:pt idx="68">
                  <c:v>44392</c:v>
                </c:pt>
                <c:pt idx="69">
                  <c:v>44393</c:v>
                </c:pt>
                <c:pt idx="70">
                  <c:v>44396</c:v>
                </c:pt>
                <c:pt idx="71">
                  <c:v>44397</c:v>
                </c:pt>
                <c:pt idx="72">
                  <c:v>44398</c:v>
                </c:pt>
                <c:pt idx="73">
                  <c:v>44399</c:v>
                </c:pt>
                <c:pt idx="74">
                  <c:v>44400</c:v>
                </c:pt>
                <c:pt idx="75">
                  <c:v>44403</c:v>
                </c:pt>
                <c:pt idx="76">
                  <c:v>44404</c:v>
                </c:pt>
                <c:pt idx="77">
                  <c:v>44405</c:v>
                </c:pt>
                <c:pt idx="78">
                  <c:v>44406</c:v>
                </c:pt>
                <c:pt idx="79">
                  <c:v>44407</c:v>
                </c:pt>
                <c:pt idx="80">
                  <c:v>44410</c:v>
                </c:pt>
                <c:pt idx="81">
                  <c:v>44411</c:v>
                </c:pt>
                <c:pt idx="82">
                  <c:v>44412</c:v>
                </c:pt>
                <c:pt idx="83">
                  <c:v>44413</c:v>
                </c:pt>
                <c:pt idx="84">
                  <c:v>44414</c:v>
                </c:pt>
                <c:pt idx="85">
                  <c:v>44417</c:v>
                </c:pt>
                <c:pt idx="86">
                  <c:v>44418</c:v>
                </c:pt>
                <c:pt idx="87">
                  <c:v>44419</c:v>
                </c:pt>
                <c:pt idx="88">
                  <c:v>44420</c:v>
                </c:pt>
                <c:pt idx="89">
                  <c:v>44421</c:v>
                </c:pt>
                <c:pt idx="90">
                  <c:v>44424</c:v>
                </c:pt>
                <c:pt idx="91">
                  <c:v>44425</c:v>
                </c:pt>
                <c:pt idx="92">
                  <c:v>44426</c:v>
                </c:pt>
                <c:pt idx="93">
                  <c:v>44427</c:v>
                </c:pt>
                <c:pt idx="94">
                  <c:v>44428</c:v>
                </c:pt>
                <c:pt idx="95">
                  <c:v>44431</c:v>
                </c:pt>
                <c:pt idx="96">
                  <c:v>44432</c:v>
                </c:pt>
                <c:pt idx="97">
                  <c:v>44433</c:v>
                </c:pt>
                <c:pt idx="98">
                  <c:v>44434</c:v>
                </c:pt>
                <c:pt idx="99">
                  <c:v>44435</c:v>
                </c:pt>
                <c:pt idx="100">
                  <c:v>44438</c:v>
                </c:pt>
                <c:pt idx="101">
                  <c:v>44439</c:v>
                </c:pt>
                <c:pt idx="102">
                  <c:v>44440</c:v>
                </c:pt>
                <c:pt idx="103">
                  <c:v>44441</c:v>
                </c:pt>
                <c:pt idx="104">
                  <c:v>44442</c:v>
                </c:pt>
                <c:pt idx="105">
                  <c:v>44445</c:v>
                </c:pt>
                <c:pt idx="106">
                  <c:v>44446</c:v>
                </c:pt>
                <c:pt idx="107">
                  <c:v>44447</c:v>
                </c:pt>
                <c:pt idx="108">
                  <c:v>44448</c:v>
                </c:pt>
                <c:pt idx="109">
                  <c:v>44449</c:v>
                </c:pt>
                <c:pt idx="110">
                  <c:v>44452</c:v>
                </c:pt>
                <c:pt idx="111">
                  <c:v>44453</c:v>
                </c:pt>
                <c:pt idx="112">
                  <c:v>44454</c:v>
                </c:pt>
                <c:pt idx="113">
                  <c:v>44455</c:v>
                </c:pt>
                <c:pt idx="114">
                  <c:v>44456</c:v>
                </c:pt>
                <c:pt idx="115">
                  <c:v>44461</c:v>
                </c:pt>
                <c:pt idx="116">
                  <c:v>44462</c:v>
                </c:pt>
                <c:pt idx="117">
                  <c:v>44463</c:v>
                </c:pt>
                <c:pt idx="118">
                  <c:v>44466</c:v>
                </c:pt>
                <c:pt idx="119">
                  <c:v>44467</c:v>
                </c:pt>
                <c:pt idx="120">
                  <c:v>44468</c:v>
                </c:pt>
                <c:pt idx="121">
                  <c:v>44469</c:v>
                </c:pt>
                <c:pt idx="122">
                  <c:v>44477</c:v>
                </c:pt>
                <c:pt idx="123">
                  <c:v>44480</c:v>
                </c:pt>
                <c:pt idx="124">
                  <c:v>44481</c:v>
                </c:pt>
                <c:pt idx="125">
                  <c:v>44482</c:v>
                </c:pt>
                <c:pt idx="126">
                  <c:v>44483</c:v>
                </c:pt>
                <c:pt idx="127">
                  <c:v>44484</c:v>
                </c:pt>
                <c:pt idx="128">
                  <c:v>44487</c:v>
                </c:pt>
                <c:pt idx="129">
                  <c:v>44488</c:v>
                </c:pt>
                <c:pt idx="130">
                  <c:v>44489</c:v>
                </c:pt>
                <c:pt idx="131">
                  <c:v>44490</c:v>
                </c:pt>
                <c:pt idx="132">
                  <c:v>44491</c:v>
                </c:pt>
                <c:pt idx="133">
                  <c:v>44494</c:v>
                </c:pt>
                <c:pt idx="134">
                  <c:v>44495</c:v>
                </c:pt>
                <c:pt idx="135">
                  <c:v>44496</c:v>
                </c:pt>
                <c:pt idx="136">
                  <c:v>44497</c:v>
                </c:pt>
                <c:pt idx="137">
                  <c:v>44498</c:v>
                </c:pt>
                <c:pt idx="138">
                  <c:v>44501</c:v>
                </c:pt>
                <c:pt idx="139">
                  <c:v>44502</c:v>
                </c:pt>
                <c:pt idx="140">
                  <c:v>44503</c:v>
                </c:pt>
                <c:pt idx="141">
                  <c:v>44504</c:v>
                </c:pt>
                <c:pt idx="142">
                  <c:v>44505</c:v>
                </c:pt>
                <c:pt idx="143">
                  <c:v>44508</c:v>
                </c:pt>
                <c:pt idx="144">
                  <c:v>44509</c:v>
                </c:pt>
                <c:pt idx="145">
                  <c:v>44510</c:v>
                </c:pt>
                <c:pt idx="146">
                  <c:v>44511</c:v>
                </c:pt>
                <c:pt idx="147">
                  <c:v>44512</c:v>
                </c:pt>
                <c:pt idx="148">
                  <c:v>44515</c:v>
                </c:pt>
                <c:pt idx="149">
                  <c:v>44516</c:v>
                </c:pt>
                <c:pt idx="150">
                  <c:v>44517</c:v>
                </c:pt>
                <c:pt idx="151">
                  <c:v>44518</c:v>
                </c:pt>
                <c:pt idx="152">
                  <c:v>44519</c:v>
                </c:pt>
                <c:pt idx="153">
                  <c:v>44522</c:v>
                </c:pt>
                <c:pt idx="154">
                  <c:v>44523</c:v>
                </c:pt>
                <c:pt idx="155">
                  <c:v>44524</c:v>
                </c:pt>
                <c:pt idx="156">
                  <c:v>44525</c:v>
                </c:pt>
                <c:pt idx="157">
                  <c:v>44526</c:v>
                </c:pt>
                <c:pt idx="158">
                  <c:v>44529</c:v>
                </c:pt>
                <c:pt idx="159">
                  <c:v>44530</c:v>
                </c:pt>
                <c:pt idx="160">
                  <c:v>44531</c:v>
                </c:pt>
                <c:pt idx="161">
                  <c:v>44532</c:v>
                </c:pt>
                <c:pt idx="162">
                  <c:v>44533</c:v>
                </c:pt>
                <c:pt idx="163">
                  <c:v>44536</c:v>
                </c:pt>
                <c:pt idx="164">
                  <c:v>44537</c:v>
                </c:pt>
                <c:pt idx="165">
                  <c:v>44538</c:v>
                </c:pt>
                <c:pt idx="166">
                  <c:v>44539</c:v>
                </c:pt>
                <c:pt idx="167">
                  <c:v>44540</c:v>
                </c:pt>
                <c:pt idx="168">
                  <c:v>44543</c:v>
                </c:pt>
                <c:pt idx="169">
                  <c:v>44544</c:v>
                </c:pt>
                <c:pt idx="170">
                  <c:v>44545</c:v>
                </c:pt>
                <c:pt idx="171">
                  <c:v>44546</c:v>
                </c:pt>
                <c:pt idx="172">
                  <c:v>44547</c:v>
                </c:pt>
                <c:pt idx="173">
                  <c:v>44550</c:v>
                </c:pt>
                <c:pt idx="174">
                  <c:v>44551</c:v>
                </c:pt>
                <c:pt idx="175">
                  <c:v>44552</c:v>
                </c:pt>
                <c:pt idx="176">
                  <c:v>44553</c:v>
                </c:pt>
                <c:pt idx="177">
                  <c:v>44554</c:v>
                </c:pt>
                <c:pt idx="178">
                  <c:v>44557</c:v>
                </c:pt>
                <c:pt idx="179">
                  <c:v>44558</c:v>
                </c:pt>
                <c:pt idx="180">
                  <c:v>44559</c:v>
                </c:pt>
                <c:pt idx="181">
                  <c:v>44560</c:v>
                </c:pt>
                <c:pt idx="182">
                  <c:v>44561</c:v>
                </c:pt>
                <c:pt idx="183">
                  <c:v>44565</c:v>
                </c:pt>
                <c:pt idx="184">
                  <c:v>44566</c:v>
                </c:pt>
                <c:pt idx="185">
                  <c:v>44567</c:v>
                </c:pt>
                <c:pt idx="186">
                  <c:v>44568</c:v>
                </c:pt>
                <c:pt idx="187">
                  <c:v>44571</c:v>
                </c:pt>
                <c:pt idx="188">
                  <c:v>44572</c:v>
                </c:pt>
                <c:pt idx="189">
                  <c:v>44573</c:v>
                </c:pt>
                <c:pt idx="190">
                  <c:v>44574</c:v>
                </c:pt>
                <c:pt idx="191">
                  <c:v>44575</c:v>
                </c:pt>
                <c:pt idx="192">
                  <c:v>44578</c:v>
                </c:pt>
                <c:pt idx="193">
                  <c:v>44579</c:v>
                </c:pt>
                <c:pt idx="194">
                  <c:v>44580</c:v>
                </c:pt>
                <c:pt idx="195">
                  <c:v>44581</c:v>
                </c:pt>
                <c:pt idx="196">
                  <c:v>44582</c:v>
                </c:pt>
                <c:pt idx="197">
                  <c:v>44585</c:v>
                </c:pt>
                <c:pt idx="198">
                  <c:v>44586</c:v>
                </c:pt>
                <c:pt idx="199">
                  <c:v>44587</c:v>
                </c:pt>
                <c:pt idx="200">
                  <c:v>44588</c:v>
                </c:pt>
                <c:pt idx="201">
                  <c:v>44589</c:v>
                </c:pt>
                <c:pt idx="202">
                  <c:v>44599</c:v>
                </c:pt>
                <c:pt idx="203">
                  <c:v>44600</c:v>
                </c:pt>
                <c:pt idx="204">
                  <c:v>44601</c:v>
                </c:pt>
                <c:pt idx="205">
                  <c:v>44602</c:v>
                </c:pt>
                <c:pt idx="206">
                  <c:v>44603</c:v>
                </c:pt>
                <c:pt idx="207">
                  <c:v>44606</c:v>
                </c:pt>
                <c:pt idx="208">
                  <c:v>44607</c:v>
                </c:pt>
                <c:pt idx="209">
                  <c:v>44608</c:v>
                </c:pt>
                <c:pt idx="210">
                  <c:v>44609</c:v>
                </c:pt>
                <c:pt idx="211">
                  <c:v>44610</c:v>
                </c:pt>
                <c:pt idx="212">
                  <c:v>44613</c:v>
                </c:pt>
                <c:pt idx="213">
                  <c:v>44614</c:v>
                </c:pt>
                <c:pt idx="214">
                  <c:v>44615</c:v>
                </c:pt>
                <c:pt idx="215">
                  <c:v>44616</c:v>
                </c:pt>
                <c:pt idx="216">
                  <c:v>44617</c:v>
                </c:pt>
                <c:pt idx="217">
                  <c:v>44620</c:v>
                </c:pt>
                <c:pt idx="218">
                  <c:v>44621</c:v>
                </c:pt>
                <c:pt idx="219">
                  <c:v>44622</c:v>
                </c:pt>
                <c:pt idx="220">
                  <c:v>44623</c:v>
                </c:pt>
                <c:pt idx="221">
                  <c:v>44624</c:v>
                </c:pt>
                <c:pt idx="222">
                  <c:v>44627</c:v>
                </c:pt>
                <c:pt idx="223">
                  <c:v>44628</c:v>
                </c:pt>
                <c:pt idx="224">
                  <c:v>44629</c:v>
                </c:pt>
                <c:pt idx="225">
                  <c:v>44630</c:v>
                </c:pt>
                <c:pt idx="226">
                  <c:v>44631</c:v>
                </c:pt>
                <c:pt idx="227">
                  <c:v>44634</c:v>
                </c:pt>
                <c:pt idx="228">
                  <c:v>44635</c:v>
                </c:pt>
                <c:pt idx="229">
                  <c:v>44636</c:v>
                </c:pt>
                <c:pt idx="230">
                  <c:v>44637</c:v>
                </c:pt>
                <c:pt idx="231">
                  <c:v>44638</c:v>
                </c:pt>
                <c:pt idx="232">
                  <c:v>44641</c:v>
                </c:pt>
                <c:pt idx="233">
                  <c:v>44642</c:v>
                </c:pt>
                <c:pt idx="234">
                  <c:v>44643</c:v>
                </c:pt>
                <c:pt idx="235">
                  <c:v>44644</c:v>
                </c:pt>
                <c:pt idx="236">
                  <c:v>44645</c:v>
                </c:pt>
                <c:pt idx="237">
                  <c:v>44648</c:v>
                </c:pt>
                <c:pt idx="238">
                  <c:v>44649</c:v>
                </c:pt>
                <c:pt idx="239">
                  <c:v>44650</c:v>
                </c:pt>
                <c:pt idx="240">
                  <c:v>44651</c:v>
                </c:pt>
                <c:pt idx="241">
                  <c:v>44652</c:v>
                </c:pt>
                <c:pt idx="242">
                  <c:v>44657</c:v>
                </c:pt>
                <c:pt idx="243">
                  <c:v>44658</c:v>
                </c:pt>
                <c:pt idx="244">
                  <c:v>44659</c:v>
                </c:pt>
                <c:pt idx="245">
                  <c:v>44662</c:v>
                </c:pt>
                <c:pt idx="246">
                  <c:v>44663</c:v>
                </c:pt>
                <c:pt idx="247">
                  <c:v>44664</c:v>
                </c:pt>
                <c:pt idx="248">
                  <c:v>44665</c:v>
                </c:pt>
                <c:pt idx="249">
                  <c:v>44666</c:v>
                </c:pt>
                <c:pt idx="250">
                  <c:v>44669</c:v>
                </c:pt>
                <c:pt idx="251">
                  <c:v>44670</c:v>
                </c:pt>
                <c:pt idx="252">
                  <c:v>44671</c:v>
                </c:pt>
                <c:pt idx="253">
                  <c:v>44672</c:v>
                </c:pt>
                <c:pt idx="254">
                  <c:v>44673</c:v>
                </c:pt>
                <c:pt idx="255">
                  <c:v>44676</c:v>
                </c:pt>
                <c:pt idx="256">
                  <c:v>44677</c:v>
                </c:pt>
                <c:pt idx="257">
                  <c:v>44678</c:v>
                </c:pt>
                <c:pt idx="258">
                  <c:v>44679</c:v>
                </c:pt>
                <c:pt idx="259">
                  <c:v>44680</c:v>
                </c:pt>
                <c:pt idx="260">
                  <c:v>44686</c:v>
                </c:pt>
                <c:pt idx="261">
                  <c:v>44687</c:v>
                </c:pt>
                <c:pt idx="262">
                  <c:v>44690</c:v>
                </c:pt>
                <c:pt idx="263">
                  <c:v>44691</c:v>
                </c:pt>
                <c:pt idx="264">
                  <c:v>44692</c:v>
                </c:pt>
                <c:pt idx="265">
                  <c:v>44693</c:v>
                </c:pt>
                <c:pt idx="266">
                  <c:v>44694</c:v>
                </c:pt>
                <c:pt idx="267">
                  <c:v>44697</c:v>
                </c:pt>
                <c:pt idx="268">
                  <c:v>44698</c:v>
                </c:pt>
                <c:pt idx="269">
                  <c:v>44699</c:v>
                </c:pt>
                <c:pt idx="270">
                  <c:v>44700</c:v>
                </c:pt>
                <c:pt idx="271">
                  <c:v>44701</c:v>
                </c:pt>
                <c:pt idx="272">
                  <c:v>44704</c:v>
                </c:pt>
                <c:pt idx="273">
                  <c:v>44705</c:v>
                </c:pt>
                <c:pt idx="274">
                  <c:v>44706</c:v>
                </c:pt>
                <c:pt idx="275">
                  <c:v>44707</c:v>
                </c:pt>
                <c:pt idx="276">
                  <c:v>44708</c:v>
                </c:pt>
                <c:pt idx="277">
                  <c:v>44711</c:v>
                </c:pt>
                <c:pt idx="278">
                  <c:v>44712</c:v>
                </c:pt>
                <c:pt idx="279">
                  <c:v>44713</c:v>
                </c:pt>
                <c:pt idx="280">
                  <c:v>44714</c:v>
                </c:pt>
                <c:pt idx="281">
                  <c:v>44718</c:v>
                </c:pt>
                <c:pt idx="282">
                  <c:v>44719</c:v>
                </c:pt>
                <c:pt idx="283">
                  <c:v>44720</c:v>
                </c:pt>
                <c:pt idx="284">
                  <c:v>44721</c:v>
                </c:pt>
                <c:pt idx="285">
                  <c:v>44722</c:v>
                </c:pt>
                <c:pt idx="286">
                  <c:v>44725</c:v>
                </c:pt>
                <c:pt idx="287">
                  <c:v>44726</c:v>
                </c:pt>
                <c:pt idx="288">
                  <c:v>44727</c:v>
                </c:pt>
                <c:pt idx="289">
                  <c:v>44728</c:v>
                </c:pt>
                <c:pt idx="290">
                  <c:v>44729</c:v>
                </c:pt>
                <c:pt idx="291">
                  <c:v>44732</c:v>
                </c:pt>
                <c:pt idx="292">
                  <c:v>44733</c:v>
                </c:pt>
                <c:pt idx="293">
                  <c:v>44734</c:v>
                </c:pt>
                <c:pt idx="294">
                  <c:v>44735</c:v>
                </c:pt>
                <c:pt idx="295">
                  <c:v>44736</c:v>
                </c:pt>
                <c:pt idx="296">
                  <c:v>44739</c:v>
                </c:pt>
                <c:pt idx="297">
                  <c:v>44740</c:v>
                </c:pt>
                <c:pt idx="298">
                  <c:v>44741</c:v>
                </c:pt>
                <c:pt idx="299">
                  <c:v>44742</c:v>
                </c:pt>
                <c:pt idx="300">
                  <c:v>44743</c:v>
                </c:pt>
                <c:pt idx="301">
                  <c:v>44746</c:v>
                </c:pt>
                <c:pt idx="302">
                  <c:v>44747</c:v>
                </c:pt>
                <c:pt idx="303">
                  <c:v>44748</c:v>
                </c:pt>
                <c:pt idx="304">
                  <c:v>44749</c:v>
                </c:pt>
                <c:pt idx="305">
                  <c:v>44750</c:v>
                </c:pt>
                <c:pt idx="306">
                  <c:v>44753</c:v>
                </c:pt>
                <c:pt idx="307">
                  <c:v>44754</c:v>
                </c:pt>
                <c:pt idx="308">
                  <c:v>44755</c:v>
                </c:pt>
                <c:pt idx="309">
                  <c:v>44756</c:v>
                </c:pt>
                <c:pt idx="310">
                  <c:v>44757</c:v>
                </c:pt>
                <c:pt idx="311">
                  <c:v>44760</c:v>
                </c:pt>
                <c:pt idx="312">
                  <c:v>44761</c:v>
                </c:pt>
                <c:pt idx="313">
                  <c:v>44762</c:v>
                </c:pt>
                <c:pt idx="314">
                  <c:v>44763</c:v>
                </c:pt>
                <c:pt idx="315">
                  <c:v>44764</c:v>
                </c:pt>
                <c:pt idx="316">
                  <c:v>44767</c:v>
                </c:pt>
                <c:pt idx="317">
                  <c:v>44768</c:v>
                </c:pt>
                <c:pt idx="318">
                  <c:v>44769</c:v>
                </c:pt>
                <c:pt idx="319">
                  <c:v>44770</c:v>
                </c:pt>
                <c:pt idx="320">
                  <c:v>44771</c:v>
                </c:pt>
                <c:pt idx="321">
                  <c:v>44774</c:v>
                </c:pt>
                <c:pt idx="322">
                  <c:v>44775</c:v>
                </c:pt>
                <c:pt idx="323">
                  <c:v>44776</c:v>
                </c:pt>
                <c:pt idx="324">
                  <c:v>44777</c:v>
                </c:pt>
                <c:pt idx="325">
                  <c:v>44778</c:v>
                </c:pt>
                <c:pt idx="326">
                  <c:v>44781</c:v>
                </c:pt>
                <c:pt idx="327">
                  <c:v>44782</c:v>
                </c:pt>
                <c:pt idx="328">
                  <c:v>44783</c:v>
                </c:pt>
                <c:pt idx="329">
                  <c:v>44784</c:v>
                </c:pt>
                <c:pt idx="330">
                  <c:v>44785</c:v>
                </c:pt>
                <c:pt idx="331">
                  <c:v>44788</c:v>
                </c:pt>
                <c:pt idx="332">
                  <c:v>44789</c:v>
                </c:pt>
                <c:pt idx="333">
                  <c:v>44790</c:v>
                </c:pt>
                <c:pt idx="334">
                  <c:v>44791</c:v>
                </c:pt>
                <c:pt idx="335">
                  <c:v>44792</c:v>
                </c:pt>
                <c:pt idx="336">
                  <c:v>44795</c:v>
                </c:pt>
                <c:pt idx="337">
                  <c:v>44796</c:v>
                </c:pt>
                <c:pt idx="338">
                  <c:v>44797</c:v>
                </c:pt>
                <c:pt idx="339">
                  <c:v>44798</c:v>
                </c:pt>
                <c:pt idx="340">
                  <c:v>44799</c:v>
                </c:pt>
                <c:pt idx="341">
                  <c:v>44802</c:v>
                </c:pt>
                <c:pt idx="342">
                  <c:v>44803</c:v>
                </c:pt>
                <c:pt idx="343">
                  <c:v>44804</c:v>
                </c:pt>
                <c:pt idx="344">
                  <c:v>44805</c:v>
                </c:pt>
                <c:pt idx="345">
                  <c:v>44806</c:v>
                </c:pt>
                <c:pt idx="346">
                  <c:v>44809</c:v>
                </c:pt>
                <c:pt idx="347">
                  <c:v>44810</c:v>
                </c:pt>
                <c:pt idx="348">
                  <c:v>44811</c:v>
                </c:pt>
                <c:pt idx="349">
                  <c:v>44812</c:v>
                </c:pt>
                <c:pt idx="350">
                  <c:v>44813</c:v>
                </c:pt>
                <c:pt idx="351">
                  <c:v>44817</c:v>
                </c:pt>
                <c:pt idx="352">
                  <c:v>44818</c:v>
                </c:pt>
                <c:pt idx="353">
                  <c:v>44819</c:v>
                </c:pt>
                <c:pt idx="354">
                  <c:v>44820</c:v>
                </c:pt>
                <c:pt idx="355">
                  <c:v>44823</c:v>
                </c:pt>
                <c:pt idx="356">
                  <c:v>44824</c:v>
                </c:pt>
                <c:pt idx="357">
                  <c:v>44825</c:v>
                </c:pt>
                <c:pt idx="358">
                  <c:v>44826</c:v>
                </c:pt>
                <c:pt idx="359">
                  <c:v>44827</c:v>
                </c:pt>
                <c:pt idx="360">
                  <c:v>44830</c:v>
                </c:pt>
                <c:pt idx="361">
                  <c:v>44831</c:v>
                </c:pt>
                <c:pt idx="362">
                  <c:v>44832</c:v>
                </c:pt>
                <c:pt idx="363">
                  <c:v>44833</c:v>
                </c:pt>
                <c:pt idx="364">
                  <c:v>44834</c:v>
                </c:pt>
                <c:pt idx="365">
                  <c:v>44844</c:v>
                </c:pt>
                <c:pt idx="366">
                  <c:v>44845</c:v>
                </c:pt>
                <c:pt idx="367">
                  <c:v>44846</c:v>
                </c:pt>
                <c:pt idx="368">
                  <c:v>44847</c:v>
                </c:pt>
                <c:pt idx="369">
                  <c:v>44848</c:v>
                </c:pt>
                <c:pt idx="370">
                  <c:v>44851</c:v>
                </c:pt>
                <c:pt idx="371">
                  <c:v>44852</c:v>
                </c:pt>
                <c:pt idx="372">
                  <c:v>44853</c:v>
                </c:pt>
                <c:pt idx="373">
                  <c:v>44854</c:v>
                </c:pt>
                <c:pt idx="374">
                  <c:v>44855</c:v>
                </c:pt>
                <c:pt idx="375">
                  <c:v>44858</c:v>
                </c:pt>
                <c:pt idx="376">
                  <c:v>44859</c:v>
                </c:pt>
                <c:pt idx="377">
                  <c:v>44860</c:v>
                </c:pt>
                <c:pt idx="378">
                  <c:v>44861</c:v>
                </c:pt>
                <c:pt idx="379">
                  <c:v>44862</c:v>
                </c:pt>
                <c:pt idx="380">
                  <c:v>44865</c:v>
                </c:pt>
                <c:pt idx="381">
                  <c:v>44866</c:v>
                </c:pt>
                <c:pt idx="382">
                  <c:v>44867</c:v>
                </c:pt>
                <c:pt idx="383">
                  <c:v>44868</c:v>
                </c:pt>
                <c:pt idx="384">
                  <c:v>44869</c:v>
                </c:pt>
                <c:pt idx="385">
                  <c:v>44872</c:v>
                </c:pt>
                <c:pt idx="386">
                  <c:v>44873</c:v>
                </c:pt>
                <c:pt idx="387">
                  <c:v>44874</c:v>
                </c:pt>
                <c:pt idx="388">
                  <c:v>44875</c:v>
                </c:pt>
                <c:pt idx="389">
                  <c:v>44876</c:v>
                </c:pt>
                <c:pt idx="390">
                  <c:v>44879</c:v>
                </c:pt>
                <c:pt idx="391">
                  <c:v>44880</c:v>
                </c:pt>
                <c:pt idx="392">
                  <c:v>44881</c:v>
                </c:pt>
                <c:pt idx="393">
                  <c:v>44882</c:v>
                </c:pt>
                <c:pt idx="394">
                  <c:v>44883</c:v>
                </c:pt>
                <c:pt idx="395">
                  <c:v>44886</c:v>
                </c:pt>
                <c:pt idx="396">
                  <c:v>44887</c:v>
                </c:pt>
                <c:pt idx="397">
                  <c:v>44888</c:v>
                </c:pt>
                <c:pt idx="398">
                  <c:v>44889</c:v>
                </c:pt>
                <c:pt idx="399">
                  <c:v>44890</c:v>
                </c:pt>
                <c:pt idx="400">
                  <c:v>44893</c:v>
                </c:pt>
                <c:pt idx="401">
                  <c:v>44894</c:v>
                </c:pt>
                <c:pt idx="402">
                  <c:v>44895</c:v>
                </c:pt>
                <c:pt idx="403">
                  <c:v>44896</c:v>
                </c:pt>
                <c:pt idx="404">
                  <c:v>44897</c:v>
                </c:pt>
                <c:pt idx="405">
                  <c:v>44900</c:v>
                </c:pt>
                <c:pt idx="406">
                  <c:v>44901</c:v>
                </c:pt>
                <c:pt idx="407">
                  <c:v>44902</c:v>
                </c:pt>
                <c:pt idx="408">
                  <c:v>44903</c:v>
                </c:pt>
                <c:pt idx="409">
                  <c:v>44904</c:v>
                </c:pt>
                <c:pt idx="410">
                  <c:v>44907</c:v>
                </c:pt>
                <c:pt idx="411">
                  <c:v>44908</c:v>
                </c:pt>
                <c:pt idx="412">
                  <c:v>44909</c:v>
                </c:pt>
                <c:pt idx="413">
                  <c:v>44910</c:v>
                </c:pt>
                <c:pt idx="414">
                  <c:v>44911</c:v>
                </c:pt>
                <c:pt idx="415">
                  <c:v>44914</c:v>
                </c:pt>
                <c:pt idx="416">
                  <c:v>44915</c:v>
                </c:pt>
                <c:pt idx="417">
                  <c:v>44916</c:v>
                </c:pt>
                <c:pt idx="418">
                  <c:v>44917</c:v>
                </c:pt>
                <c:pt idx="419">
                  <c:v>44918</c:v>
                </c:pt>
                <c:pt idx="420">
                  <c:v>44921</c:v>
                </c:pt>
                <c:pt idx="421">
                  <c:v>44922</c:v>
                </c:pt>
                <c:pt idx="422">
                  <c:v>44923</c:v>
                </c:pt>
                <c:pt idx="423">
                  <c:v>44924</c:v>
                </c:pt>
                <c:pt idx="424">
                  <c:v>44925</c:v>
                </c:pt>
                <c:pt idx="425">
                  <c:v>44929</c:v>
                </c:pt>
                <c:pt idx="426">
                  <c:v>44930</c:v>
                </c:pt>
                <c:pt idx="427">
                  <c:v>44931</c:v>
                </c:pt>
                <c:pt idx="428">
                  <c:v>44932</c:v>
                </c:pt>
                <c:pt idx="429">
                  <c:v>44935</c:v>
                </c:pt>
                <c:pt idx="430">
                  <c:v>44936</c:v>
                </c:pt>
                <c:pt idx="431">
                  <c:v>44937</c:v>
                </c:pt>
                <c:pt idx="432">
                  <c:v>44938</c:v>
                </c:pt>
                <c:pt idx="433">
                  <c:v>44939</c:v>
                </c:pt>
                <c:pt idx="434">
                  <c:v>44942</c:v>
                </c:pt>
                <c:pt idx="435">
                  <c:v>44943</c:v>
                </c:pt>
                <c:pt idx="436">
                  <c:v>44944</c:v>
                </c:pt>
                <c:pt idx="437">
                  <c:v>44945</c:v>
                </c:pt>
                <c:pt idx="438">
                  <c:v>44946</c:v>
                </c:pt>
                <c:pt idx="439">
                  <c:v>44956</c:v>
                </c:pt>
                <c:pt idx="440">
                  <c:v>44957</c:v>
                </c:pt>
                <c:pt idx="441">
                  <c:v>44958</c:v>
                </c:pt>
                <c:pt idx="442">
                  <c:v>44959</c:v>
                </c:pt>
                <c:pt idx="443">
                  <c:v>44960</c:v>
                </c:pt>
                <c:pt idx="444">
                  <c:v>44963</c:v>
                </c:pt>
                <c:pt idx="445">
                  <c:v>44964</c:v>
                </c:pt>
                <c:pt idx="446">
                  <c:v>44965</c:v>
                </c:pt>
                <c:pt idx="447">
                  <c:v>44966</c:v>
                </c:pt>
                <c:pt idx="448">
                  <c:v>44967</c:v>
                </c:pt>
                <c:pt idx="449">
                  <c:v>44970</c:v>
                </c:pt>
                <c:pt idx="450">
                  <c:v>44971</c:v>
                </c:pt>
                <c:pt idx="451">
                  <c:v>44972</c:v>
                </c:pt>
                <c:pt idx="452">
                  <c:v>44973</c:v>
                </c:pt>
                <c:pt idx="453">
                  <c:v>44974</c:v>
                </c:pt>
                <c:pt idx="454">
                  <c:v>44977</c:v>
                </c:pt>
                <c:pt idx="455">
                  <c:v>44978</c:v>
                </c:pt>
                <c:pt idx="456">
                  <c:v>44979</c:v>
                </c:pt>
                <c:pt idx="457">
                  <c:v>44980</c:v>
                </c:pt>
                <c:pt idx="458">
                  <c:v>44981</c:v>
                </c:pt>
                <c:pt idx="459">
                  <c:v>44984</c:v>
                </c:pt>
                <c:pt idx="460">
                  <c:v>44985</c:v>
                </c:pt>
                <c:pt idx="461">
                  <c:v>44986</c:v>
                </c:pt>
                <c:pt idx="462">
                  <c:v>44987</c:v>
                </c:pt>
                <c:pt idx="463">
                  <c:v>44988</c:v>
                </c:pt>
                <c:pt idx="464">
                  <c:v>44991</c:v>
                </c:pt>
                <c:pt idx="465">
                  <c:v>44992</c:v>
                </c:pt>
                <c:pt idx="466">
                  <c:v>44993</c:v>
                </c:pt>
                <c:pt idx="467">
                  <c:v>44994</c:v>
                </c:pt>
                <c:pt idx="468">
                  <c:v>44995</c:v>
                </c:pt>
                <c:pt idx="469">
                  <c:v>44998</c:v>
                </c:pt>
                <c:pt idx="470">
                  <c:v>44999</c:v>
                </c:pt>
                <c:pt idx="471">
                  <c:v>45000</c:v>
                </c:pt>
                <c:pt idx="472">
                  <c:v>45001</c:v>
                </c:pt>
                <c:pt idx="473">
                  <c:v>45002</c:v>
                </c:pt>
                <c:pt idx="474">
                  <c:v>45005</c:v>
                </c:pt>
                <c:pt idx="475">
                  <c:v>45006</c:v>
                </c:pt>
                <c:pt idx="476">
                  <c:v>45007</c:v>
                </c:pt>
                <c:pt idx="477">
                  <c:v>45008</c:v>
                </c:pt>
                <c:pt idx="478">
                  <c:v>45009</c:v>
                </c:pt>
                <c:pt idx="479">
                  <c:v>45012</c:v>
                </c:pt>
                <c:pt idx="480">
                  <c:v>45013</c:v>
                </c:pt>
                <c:pt idx="481">
                  <c:v>45014</c:v>
                </c:pt>
                <c:pt idx="482">
                  <c:v>45015</c:v>
                </c:pt>
                <c:pt idx="483">
                  <c:v>45016</c:v>
                </c:pt>
                <c:pt idx="484">
                  <c:v>45019</c:v>
                </c:pt>
                <c:pt idx="485">
                  <c:v>45020</c:v>
                </c:pt>
                <c:pt idx="486">
                  <c:v>45022</c:v>
                </c:pt>
                <c:pt idx="487">
                  <c:v>45023</c:v>
                </c:pt>
                <c:pt idx="488">
                  <c:v>45026</c:v>
                </c:pt>
                <c:pt idx="489">
                  <c:v>45027</c:v>
                </c:pt>
                <c:pt idx="490">
                  <c:v>45028</c:v>
                </c:pt>
                <c:pt idx="491">
                  <c:v>45029</c:v>
                </c:pt>
                <c:pt idx="492">
                  <c:v>45030</c:v>
                </c:pt>
                <c:pt idx="493">
                  <c:v>45033</c:v>
                </c:pt>
                <c:pt idx="494">
                  <c:v>45034</c:v>
                </c:pt>
                <c:pt idx="495">
                  <c:v>45035</c:v>
                </c:pt>
                <c:pt idx="496">
                  <c:v>45036</c:v>
                </c:pt>
                <c:pt idx="497">
                  <c:v>45037</c:v>
                </c:pt>
                <c:pt idx="498">
                  <c:v>45040</c:v>
                </c:pt>
                <c:pt idx="499">
                  <c:v>45041</c:v>
                </c:pt>
                <c:pt idx="500">
                  <c:v>45042</c:v>
                </c:pt>
                <c:pt idx="501">
                  <c:v>45043</c:v>
                </c:pt>
                <c:pt idx="502">
                  <c:v>45044</c:v>
                </c:pt>
                <c:pt idx="503">
                  <c:v>45050</c:v>
                </c:pt>
                <c:pt idx="504">
                  <c:v>45051</c:v>
                </c:pt>
                <c:pt idx="505">
                  <c:v>45054</c:v>
                </c:pt>
                <c:pt idx="506">
                  <c:v>45055</c:v>
                </c:pt>
                <c:pt idx="507">
                  <c:v>45056</c:v>
                </c:pt>
                <c:pt idx="508">
                  <c:v>45057</c:v>
                </c:pt>
                <c:pt idx="509">
                  <c:v>45058</c:v>
                </c:pt>
                <c:pt idx="510">
                  <c:v>45061</c:v>
                </c:pt>
                <c:pt idx="511">
                  <c:v>45062</c:v>
                </c:pt>
                <c:pt idx="512">
                  <c:v>45063</c:v>
                </c:pt>
                <c:pt idx="513">
                  <c:v>45064</c:v>
                </c:pt>
                <c:pt idx="514">
                  <c:v>45065</c:v>
                </c:pt>
                <c:pt idx="515">
                  <c:v>45068</c:v>
                </c:pt>
                <c:pt idx="516">
                  <c:v>45069</c:v>
                </c:pt>
                <c:pt idx="517">
                  <c:v>45070</c:v>
                </c:pt>
                <c:pt idx="518">
                  <c:v>45071</c:v>
                </c:pt>
                <c:pt idx="519">
                  <c:v>45072</c:v>
                </c:pt>
                <c:pt idx="520">
                  <c:v>45075</c:v>
                </c:pt>
                <c:pt idx="521">
                  <c:v>45076</c:v>
                </c:pt>
                <c:pt idx="522">
                  <c:v>45077</c:v>
                </c:pt>
                <c:pt idx="523">
                  <c:v>45078</c:v>
                </c:pt>
                <c:pt idx="524">
                  <c:v>45079</c:v>
                </c:pt>
                <c:pt idx="525">
                  <c:v>45082</c:v>
                </c:pt>
                <c:pt idx="526">
                  <c:v>45083</c:v>
                </c:pt>
                <c:pt idx="527">
                  <c:v>45084</c:v>
                </c:pt>
                <c:pt idx="528">
                  <c:v>45085</c:v>
                </c:pt>
                <c:pt idx="529">
                  <c:v>45086</c:v>
                </c:pt>
                <c:pt idx="530">
                  <c:v>45089</c:v>
                </c:pt>
                <c:pt idx="531">
                  <c:v>45090</c:v>
                </c:pt>
                <c:pt idx="532">
                  <c:v>45091</c:v>
                </c:pt>
                <c:pt idx="533">
                  <c:v>45092</c:v>
                </c:pt>
                <c:pt idx="534">
                  <c:v>45093</c:v>
                </c:pt>
                <c:pt idx="535">
                  <c:v>45096</c:v>
                </c:pt>
                <c:pt idx="536">
                  <c:v>45097</c:v>
                </c:pt>
                <c:pt idx="537">
                  <c:v>45098</c:v>
                </c:pt>
                <c:pt idx="538">
                  <c:v>45103</c:v>
                </c:pt>
                <c:pt idx="539">
                  <c:v>45104</c:v>
                </c:pt>
                <c:pt idx="540">
                  <c:v>45105</c:v>
                </c:pt>
                <c:pt idx="541">
                  <c:v>45106</c:v>
                </c:pt>
                <c:pt idx="542">
                  <c:v>45107</c:v>
                </c:pt>
                <c:pt idx="543">
                  <c:v>45110</c:v>
                </c:pt>
                <c:pt idx="544">
                  <c:v>45111</c:v>
                </c:pt>
                <c:pt idx="545">
                  <c:v>45112</c:v>
                </c:pt>
                <c:pt idx="546">
                  <c:v>45113</c:v>
                </c:pt>
                <c:pt idx="547">
                  <c:v>45114</c:v>
                </c:pt>
                <c:pt idx="548">
                  <c:v>45117</c:v>
                </c:pt>
                <c:pt idx="549">
                  <c:v>45118</c:v>
                </c:pt>
                <c:pt idx="550">
                  <c:v>45119</c:v>
                </c:pt>
                <c:pt idx="551">
                  <c:v>45120</c:v>
                </c:pt>
                <c:pt idx="552">
                  <c:v>45121</c:v>
                </c:pt>
                <c:pt idx="553">
                  <c:v>45124</c:v>
                </c:pt>
                <c:pt idx="554">
                  <c:v>45125</c:v>
                </c:pt>
                <c:pt idx="555">
                  <c:v>45126</c:v>
                </c:pt>
                <c:pt idx="556">
                  <c:v>45127</c:v>
                </c:pt>
                <c:pt idx="557">
                  <c:v>45128</c:v>
                </c:pt>
                <c:pt idx="558">
                  <c:v>45131</c:v>
                </c:pt>
                <c:pt idx="559">
                  <c:v>45132</c:v>
                </c:pt>
                <c:pt idx="560">
                  <c:v>45133</c:v>
                </c:pt>
                <c:pt idx="561">
                  <c:v>45134</c:v>
                </c:pt>
                <c:pt idx="562">
                  <c:v>45135</c:v>
                </c:pt>
                <c:pt idx="563">
                  <c:v>45138</c:v>
                </c:pt>
                <c:pt idx="564">
                  <c:v>45139</c:v>
                </c:pt>
                <c:pt idx="565">
                  <c:v>45140</c:v>
                </c:pt>
                <c:pt idx="566">
                  <c:v>45141</c:v>
                </c:pt>
                <c:pt idx="567">
                  <c:v>45142</c:v>
                </c:pt>
                <c:pt idx="568">
                  <c:v>45145</c:v>
                </c:pt>
                <c:pt idx="569">
                  <c:v>45146</c:v>
                </c:pt>
                <c:pt idx="570">
                  <c:v>45147</c:v>
                </c:pt>
                <c:pt idx="571">
                  <c:v>45148</c:v>
                </c:pt>
                <c:pt idx="572">
                  <c:v>45149</c:v>
                </c:pt>
                <c:pt idx="573">
                  <c:v>45152</c:v>
                </c:pt>
                <c:pt idx="574">
                  <c:v>45153</c:v>
                </c:pt>
                <c:pt idx="575">
                  <c:v>45154</c:v>
                </c:pt>
                <c:pt idx="576">
                  <c:v>45155</c:v>
                </c:pt>
                <c:pt idx="577">
                  <c:v>45156</c:v>
                </c:pt>
                <c:pt idx="578">
                  <c:v>45159</c:v>
                </c:pt>
                <c:pt idx="579">
                  <c:v>45160</c:v>
                </c:pt>
                <c:pt idx="580">
                  <c:v>45161</c:v>
                </c:pt>
                <c:pt idx="581">
                  <c:v>45162</c:v>
                </c:pt>
                <c:pt idx="582">
                  <c:v>45163</c:v>
                </c:pt>
                <c:pt idx="583">
                  <c:v>45166</c:v>
                </c:pt>
                <c:pt idx="584">
                  <c:v>45167</c:v>
                </c:pt>
                <c:pt idx="585">
                  <c:v>45168</c:v>
                </c:pt>
                <c:pt idx="586">
                  <c:v>45169</c:v>
                </c:pt>
                <c:pt idx="587">
                  <c:v>45170</c:v>
                </c:pt>
                <c:pt idx="588">
                  <c:v>45173</c:v>
                </c:pt>
                <c:pt idx="589">
                  <c:v>45174</c:v>
                </c:pt>
                <c:pt idx="590">
                  <c:v>45175</c:v>
                </c:pt>
                <c:pt idx="591">
                  <c:v>45176</c:v>
                </c:pt>
                <c:pt idx="592">
                  <c:v>45177</c:v>
                </c:pt>
                <c:pt idx="593">
                  <c:v>45180</c:v>
                </c:pt>
                <c:pt idx="594">
                  <c:v>45181</c:v>
                </c:pt>
                <c:pt idx="595">
                  <c:v>45182</c:v>
                </c:pt>
                <c:pt idx="596">
                  <c:v>45183</c:v>
                </c:pt>
                <c:pt idx="597">
                  <c:v>45184</c:v>
                </c:pt>
                <c:pt idx="598">
                  <c:v>45187</c:v>
                </c:pt>
                <c:pt idx="599">
                  <c:v>45188</c:v>
                </c:pt>
                <c:pt idx="600">
                  <c:v>45189</c:v>
                </c:pt>
                <c:pt idx="601">
                  <c:v>45190</c:v>
                </c:pt>
                <c:pt idx="602">
                  <c:v>45191</c:v>
                </c:pt>
                <c:pt idx="603">
                  <c:v>45194</c:v>
                </c:pt>
                <c:pt idx="604">
                  <c:v>45195</c:v>
                </c:pt>
                <c:pt idx="605">
                  <c:v>45196</c:v>
                </c:pt>
                <c:pt idx="606">
                  <c:v>45197</c:v>
                </c:pt>
                <c:pt idx="607">
                  <c:v>45208</c:v>
                </c:pt>
                <c:pt idx="608">
                  <c:v>45209</c:v>
                </c:pt>
                <c:pt idx="609">
                  <c:v>45210</c:v>
                </c:pt>
                <c:pt idx="610">
                  <c:v>45211</c:v>
                </c:pt>
                <c:pt idx="611">
                  <c:v>45212</c:v>
                </c:pt>
                <c:pt idx="612">
                  <c:v>45215</c:v>
                </c:pt>
                <c:pt idx="613">
                  <c:v>45216</c:v>
                </c:pt>
                <c:pt idx="614">
                  <c:v>45217</c:v>
                </c:pt>
                <c:pt idx="615">
                  <c:v>45218</c:v>
                </c:pt>
                <c:pt idx="616">
                  <c:v>45219</c:v>
                </c:pt>
                <c:pt idx="617">
                  <c:v>45222</c:v>
                </c:pt>
                <c:pt idx="618">
                  <c:v>45223</c:v>
                </c:pt>
                <c:pt idx="619">
                  <c:v>45224</c:v>
                </c:pt>
                <c:pt idx="620">
                  <c:v>45225</c:v>
                </c:pt>
                <c:pt idx="621">
                  <c:v>45226</c:v>
                </c:pt>
                <c:pt idx="622">
                  <c:v>45229</c:v>
                </c:pt>
                <c:pt idx="623">
                  <c:v>45230</c:v>
                </c:pt>
                <c:pt idx="624">
                  <c:v>45231</c:v>
                </c:pt>
                <c:pt idx="625">
                  <c:v>45232</c:v>
                </c:pt>
                <c:pt idx="626">
                  <c:v>45233</c:v>
                </c:pt>
                <c:pt idx="627">
                  <c:v>45236</c:v>
                </c:pt>
                <c:pt idx="628">
                  <c:v>45237</c:v>
                </c:pt>
                <c:pt idx="629">
                  <c:v>45238</c:v>
                </c:pt>
                <c:pt idx="630">
                  <c:v>45239</c:v>
                </c:pt>
                <c:pt idx="631">
                  <c:v>45240</c:v>
                </c:pt>
                <c:pt idx="632">
                  <c:v>45243</c:v>
                </c:pt>
                <c:pt idx="633">
                  <c:v>45244</c:v>
                </c:pt>
                <c:pt idx="634">
                  <c:v>45245</c:v>
                </c:pt>
                <c:pt idx="635">
                  <c:v>45246</c:v>
                </c:pt>
                <c:pt idx="636">
                  <c:v>45247</c:v>
                </c:pt>
                <c:pt idx="637">
                  <c:v>45250</c:v>
                </c:pt>
                <c:pt idx="638">
                  <c:v>45251</c:v>
                </c:pt>
                <c:pt idx="639">
                  <c:v>45252</c:v>
                </c:pt>
                <c:pt idx="640">
                  <c:v>45253</c:v>
                </c:pt>
                <c:pt idx="641">
                  <c:v>45254</c:v>
                </c:pt>
                <c:pt idx="642">
                  <c:v>45257</c:v>
                </c:pt>
                <c:pt idx="643">
                  <c:v>45258</c:v>
                </c:pt>
                <c:pt idx="644">
                  <c:v>45259</c:v>
                </c:pt>
                <c:pt idx="645">
                  <c:v>45260</c:v>
                </c:pt>
                <c:pt idx="646">
                  <c:v>45261</c:v>
                </c:pt>
                <c:pt idx="647">
                  <c:v>45264</c:v>
                </c:pt>
                <c:pt idx="648">
                  <c:v>45265</c:v>
                </c:pt>
                <c:pt idx="649">
                  <c:v>45266</c:v>
                </c:pt>
                <c:pt idx="650">
                  <c:v>45267</c:v>
                </c:pt>
                <c:pt idx="651">
                  <c:v>45268</c:v>
                </c:pt>
                <c:pt idx="652">
                  <c:v>45271</c:v>
                </c:pt>
                <c:pt idx="653">
                  <c:v>45272</c:v>
                </c:pt>
                <c:pt idx="654">
                  <c:v>45273</c:v>
                </c:pt>
                <c:pt idx="655">
                  <c:v>45274</c:v>
                </c:pt>
                <c:pt idx="656">
                  <c:v>45275</c:v>
                </c:pt>
                <c:pt idx="657">
                  <c:v>45278</c:v>
                </c:pt>
                <c:pt idx="658">
                  <c:v>45279</c:v>
                </c:pt>
                <c:pt idx="659">
                  <c:v>45280</c:v>
                </c:pt>
                <c:pt idx="660">
                  <c:v>45281</c:v>
                </c:pt>
                <c:pt idx="661">
                  <c:v>45282</c:v>
                </c:pt>
                <c:pt idx="662">
                  <c:v>45285</c:v>
                </c:pt>
                <c:pt idx="663">
                  <c:v>45286</c:v>
                </c:pt>
                <c:pt idx="664">
                  <c:v>45287</c:v>
                </c:pt>
                <c:pt idx="665">
                  <c:v>45288</c:v>
                </c:pt>
                <c:pt idx="666">
                  <c:v>45289</c:v>
                </c:pt>
                <c:pt idx="667">
                  <c:v>45293</c:v>
                </c:pt>
                <c:pt idx="668">
                  <c:v>45294</c:v>
                </c:pt>
                <c:pt idx="669">
                  <c:v>45295</c:v>
                </c:pt>
                <c:pt idx="670">
                  <c:v>45296</c:v>
                </c:pt>
                <c:pt idx="671">
                  <c:v>45299</c:v>
                </c:pt>
                <c:pt idx="672">
                  <c:v>45300</c:v>
                </c:pt>
                <c:pt idx="673">
                  <c:v>45301</c:v>
                </c:pt>
                <c:pt idx="674">
                  <c:v>45302</c:v>
                </c:pt>
                <c:pt idx="675">
                  <c:v>45303</c:v>
                </c:pt>
                <c:pt idx="676">
                  <c:v>45306</c:v>
                </c:pt>
                <c:pt idx="677">
                  <c:v>45307</c:v>
                </c:pt>
                <c:pt idx="678">
                  <c:v>45308</c:v>
                </c:pt>
                <c:pt idx="679">
                  <c:v>45309</c:v>
                </c:pt>
                <c:pt idx="680">
                  <c:v>45310</c:v>
                </c:pt>
                <c:pt idx="681">
                  <c:v>45313</c:v>
                </c:pt>
                <c:pt idx="682">
                  <c:v>45314</c:v>
                </c:pt>
                <c:pt idx="683">
                  <c:v>45315</c:v>
                </c:pt>
                <c:pt idx="684">
                  <c:v>45316</c:v>
                </c:pt>
                <c:pt idx="685">
                  <c:v>45317</c:v>
                </c:pt>
                <c:pt idx="686">
                  <c:v>45320</c:v>
                </c:pt>
                <c:pt idx="687">
                  <c:v>45321</c:v>
                </c:pt>
                <c:pt idx="688">
                  <c:v>45322</c:v>
                </c:pt>
                <c:pt idx="689">
                  <c:v>45323</c:v>
                </c:pt>
                <c:pt idx="690">
                  <c:v>45324</c:v>
                </c:pt>
                <c:pt idx="691">
                  <c:v>45327</c:v>
                </c:pt>
                <c:pt idx="692">
                  <c:v>45328</c:v>
                </c:pt>
                <c:pt idx="693">
                  <c:v>45329</c:v>
                </c:pt>
                <c:pt idx="694">
                  <c:v>45330</c:v>
                </c:pt>
                <c:pt idx="695">
                  <c:v>45341</c:v>
                </c:pt>
                <c:pt idx="696">
                  <c:v>45342</c:v>
                </c:pt>
                <c:pt idx="697">
                  <c:v>45343</c:v>
                </c:pt>
                <c:pt idx="698">
                  <c:v>45344</c:v>
                </c:pt>
                <c:pt idx="699">
                  <c:v>45345</c:v>
                </c:pt>
                <c:pt idx="700">
                  <c:v>45348</c:v>
                </c:pt>
                <c:pt idx="701">
                  <c:v>45349</c:v>
                </c:pt>
                <c:pt idx="702">
                  <c:v>45350</c:v>
                </c:pt>
                <c:pt idx="703">
                  <c:v>45351</c:v>
                </c:pt>
                <c:pt idx="704">
                  <c:v>45352</c:v>
                </c:pt>
                <c:pt idx="705">
                  <c:v>45355</c:v>
                </c:pt>
                <c:pt idx="706">
                  <c:v>45356</c:v>
                </c:pt>
                <c:pt idx="707">
                  <c:v>45357</c:v>
                </c:pt>
                <c:pt idx="708">
                  <c:v>45358</c:v>
                </c:pt>
                <c:pt idx="709">
                  <c:v>45359</c:v>
                </c:pt>
                <c:pt idx="710">
                  <c:v>45362</c:v>
                </c:pt>
                <c:pt idx="711">
                  <c:v>45363</c:v>
                </c:pt>
                <c:pt idx="712">
                  <c:v>45364</c:v>
                </c:pt>
                <c:pt idx="713">
                  <c:v>45365</c:v>
                </c:pt>
                <c:pt idx="714">
                  <c:v>45366</c:v>
                </c:pt>
                <c:pt idx="715">
                  <c:v>45369</c:v>
                </c:pt>
                <c:pt idx="716">
                  <c:v>45370</c:v>
                </c:pt>
                <c:pt idx="717">
                  <c:v>45371</c:v>
                </c:pt>
                <c:pt idx="718">
                  <c:v>45372</c:v>
                </c:pt>
                <c:pt idx="719">
                  <c:v>45373</c:v>
                </c:pt>
                <c:pt idx="720">
                  <c:v>45376</c:v>
                </c:pt>
                <c:pt idx="721">
                  <c:v>45377</c:v>
                </c:pt>
                <c:pt idx="722">
                  <c:v>45378</c:v>
                </c:pt>
                <c:pt idx="723">
                  <c:v>45379</c:v>
                </c:pt>
                <c:pt idx="724">
                  <c:v>45380</c:v>
                </c:pt>
                <c:pt idx="725">
                  <c:v>45383</c:v>
                </c:pt>
                <c:pt idx="726">
                  <c:v>45384</c:v>
                </c:pt>
                <c:pt idx="727">
                  <c:v>45385</c:v>
                </c:pt>
                <c:pt idx="728">
                  <c:v>45390</c:v>
                </c:pt>
                <c:pt idx="729">
                  <c:v>45391</c:v>
                </c:pt>
                <c:pt idx="730">
                  <c:v>45392</c:v>
                </c:pt>
                <c:pt idx="731">
                  <c:v>45393</c:v>
                </c:pt>
                <c:pt idx="732">
                  <c:v>45394</c:v>
                </c:pt>
                <c:pt idx="733">
                  <c:v>45397</c:v>
                </c:pt>
                <c:pt idx="734">
                  <c:v>45398</c:v>
                </c:pt>
                <c:pt idx="735">
                  <c:v>45399</c:v>
                </c:pt>
                <c:pt idx="736">
                  <c:v>45400</c:v>
                </c:pt>
                <c:pt idx="737">
                  <c:v>45401</c:v>
                </c:pt>
                <c:pt idx="738">
                  <c:v>45404</c:v>
                </c:pt>
                <c:pt idx="739">
                  <c:v>45405</c:v>
                </c:pt>
                <c:pt idx="740">
                  <c:v>45406</c:v>
                </c:pt>
                <c:pt idx="741">
                  <c:v>45407</c:v>
                </c:pt>
                <c:pt idx="742">
                  <c:v>45408</c:v>
                </c:pt>
                <c:pt idx="743">
                  <c:v>45411</c:v>
                </c:pt>
                <c:pt idx="744">
                  <c:v>45412</c:v>
                </c:pt>
                <c:pt idx="745">
                  <c:v>45418</c:v>
                </c:pt>
              </c:numCache>
            </c:numRef>
          </c:cat>
          <c:val>
            <c:numRef>
              <c:f>Sheet2!$B$2:$B$747</c:f>
              <c:numCache>
                <c:formatCode>General</c:formatCode>
                <c:ptCount val="746"/>
                <c:pt idx="0">
                  <c:v>133.29</c:v>
                </c:pt>
                <c:pt idx="1">
                  <c:v>133.63</c:v>
                </c:pt>
                <c:pt idx="2">
                  <c:v>133.47</c:v>
                </c:pt>
                <c:pt idx="3">
                  <c:v>133.13999999999999</c:v>
                </c:pt>
                <c:pt idx="4">
                  <c:v>133.46</c:v>
                </c:pt>
                <c:pt idx="5">
                  <c:v>133.07</c:v>
                </c:pt>
                <c:pt idx="6">
                  <c:v>132.22999999999999</c:v>
                </c:pt>
                <c:pt idx="7">
                  <c:v>132.16</c:v>
                </c:pt>
                <c:pt idx="8">
                  <c:v>132.33000000000001</c:v>
                </c:pt>
                <c:pt idx="9">
                  <c:v>133.16999999999999</c:v>
                </c:pt>
                <c:pt idx="10">
                  <c:v>132.38</c:v>
                </c:pt>
                <c:pt idx="11">
                  <c:v>133.66999999999999</c:v>
                </c:pt>
                <c:pt idx="12">
                  <c:v>134.05000000000001</c:v>
                </c:pt>
                <c:pt idx="13">
                  <c:v>133.12</c:v>
                </c:pt>
                <c:pt idx="14">
                  <c:v>133.49</c:v>
                </c:pt>
                <c:pt idx="15">
                  <c:v>133.91</c:v>
                </c:pt>
                <c:pt idx="16">
                  <c:v>134</c:v>
                </c:pt>
                <c:pt idx="17">
                  <c:v>134.97</c:v>
                </c:pt>
                <c:pt idx="18">
                  <c:v>135.61000000000001</c:v>
                </c:pt>
                <c:pt idx="19">
                  <c:v>134.66</c:v>
                </c:pt>
                <c:pt idx="20">
                  <c:v>134.87</c:v>
                </c:pt>
                <c:pt idx="21">
                  <c:v>134.91</c:v>
                </c:pt>
                <c:pt idx="22">
                  <c:v>136.76</c:v>
                </c:pt>
                <c:pt idx="23">
                  <c:v>136.6</c:v>
                </c:pt>
                <c:pt idx="24">
                  <c:v>137.97</c:v>
                </c:pt>
                <c:pt idx="25">
                  <c:v>139</c:v>
                </c:pt>
                <c:pt idx="26">
                  <c:v>137.99</c:v>
                </c:pt>
                <c:pt idx="27">
                  <c:v>137.58000000000001</c:v>
                </c:pt>
                <c:pt idx="28">
                  <c:v>136.80000000000001</c:v>
                </c:pt>
                <c:pt idx="29">
                  <c:v>137.88</c:v>
                </c:pt>
                <c:pt idx="30">
                  <c:v>137.12</c:v>
                </c:pt>
                <c:pt idx="31">
                  <c:v>137.41999999999999</c:v>
                </c:pt>
                <c:pt idx="32">
                  <c:v>138.09</c:v>
                </c:pt>
                <c:pt idx="33">
                  <c:v>137.75</c:v>
                </c:pt>
                <c:pt idx="34">
                  <c:v>138.30000000000001</c:v>
                </c:pt>
                <c:pt idx="35">
                  <c:v>138.34</c:v>
                </c:pt>
                <c:pt idx="36">
                  <c:v>137.37</c:v>
                </c:pt>
                <c:pt idx="37">
                  <c:v>137.27000000000001</c:v>
                </c:pt>
                <c:pt idx="38">
                  <c:v>136.82</c:v>
                </c:pt>
                <c:pt idx="39">
                  <c:v>137.41</c:v>
                </c:pt>
                <c:pt idx="40">
                  <c:v>137.51</c:v>
                </c:pt>
                <c:pt idx="41">
                  <c:v>138.25</c:v>
                </c:pt>
                <c:pt idx="42">
                  <c:v>138.44</c:v>
                </c:pt>
                <c:pt idx="43">
                  <c:v>138.88999999999999</c:v>
                </c:pt>
                <c:pt idx="44">
                  <c:v>139.18</c:v>
                </c:pt>
                <c:pt idx="45">
                  <c:v>138.69</c:v>
                </c:pt>
                <c:pt idx="46">
                  <c:v>138.28</c:v>
                </c:pt>
                <c:pt idx="47">
                  <c:v>139.02000000000001</c:v>
                </c:pt>
                <c:pt idx="48">
                  <c:v>137.91</c:v>
                </c:pt>
                <c:pt idx="49">
                  <c:v>138.04</c:v>
                </c:pt>
                <c:pt idx="50">
                  <c:v>138.11000000000001</c:v>
                </c:pt>
                <c:pt idx="51">
                  <c:v>138.69</c:v>
                </c:pt>
                <c:pt idx="52">
                  <c:v>137.58000000000001</c:v>
                </c:pt>
                <c:pt idx="53">
                  <c:v>137.80000000000001</c:v>
                </c:pt>
                <c:pt idx="54">
                  <c:v>137.69999999999999</c:v>
                </c:pt>
                <c:pt idx="55">
                  <c:v>137.9</c:v>
                </c:pt>
                <c:pt idx="56">
                  <c:v>138.12</c:v>
                </c:pt>
                <c:pt idx="57">
                  <c:v>138.88999999999999</c:v>
                </c:pt>
                <c:pt idx="58">
                  <c:v>139.13</c:v>
                </c:pt>
                <c:pt idx="59">
                  <c:v>137.97999999999999</c:v>
                </c:pt>
                <c:pt idx="60">
                  <c:v>139.21</c:v>
                </c:pt>
                <c:pt idx="61">
                  <c:v>139.53</c:v>
                </c:pt>
                <c:pt idx="62">
                  <c:v>139.79</c:v>
                </c:pt>
                <c:pt idx="63">
                  <c:v>141.44</c:v>
                </c:pt>
                <c:pt idx="64">
                  <c:v>141.35</c:v>
                </c:pt>
                <c:pt idx="65">
                  <c:v>140.52000000000001</c:v>
                </c:pt>
                <c:pt idx="66">
                  <c:v>140.25</c:v>
                </c:pt>
                <c:pt idx="67">
                  <c:v>139.37</c:v>
                </c:pt>
                <c:pt idx="68">
                  <c:v>138.52000000000001</c:v>
                </c:pt>
                <c:pt idx="69">
                  <c:v>137.31</c:v>
                </c:pt>
                <c:pt idx="70">
                  <c:v>138.54</c:v>
                </c:pt>
                <c:pt idx="71">
                  <c:v>139.44999999999999</c:v>
                </c:pt>
                <c:pt idx="72">
                  <c:v>139.80000000000001</c:v>
                </c:pt>
                <c:pt idx="73">
                  <c:v>139.04</c:v>
                </c:pt>
                <c:pt idx="74">
                  <c:v>139.27000000000001</c:v>
                </c:pt>
                <c:pt idx="75">
                  <c:v>139.99</c:v>
                </c:pt>
                <c:pt idx="76">
                  <c:v>140.19999999999999</c:v>
                </c:pt>
                <c:pt idx="77">
                  <c:v>138.36000000000001</c:v>
                </c:pt>
                <c:pt idx="78">
                  <c:v>137.82</c:v>
                </c:pt>
                <c:pt idx="79">
                  <c:v>137.91</c:v>
                </c:pt>
                <c:pt idx="80">
                  <c:v>137.71</c:v>
                </c:pt>
                <c:pt idx="81">
                  <c:v>136.52000000000001</c:v>
                </c:pt>
                <c:pt idx="82">
                  <c:v>136.44</c:v>
                </c:pt>
                <c:pt idx="83">
                  <c:v>137.32</c:v>
                </c:pt>
                <c:pt idx="84">
                  <c:v>137.65</c:v>
                </c:pt>
                <c:pt idx="85">
                  <c:v>137.72</c:v>
                </c:pt>
                <c:pt idx="86">
                  <c:v>137.29</c:v>
                </c:pt>
                <c:pt idx="87">
                  <c:v>136.66999999999999</c:v>
                </c:pt>
                <c:pt idx="88">
                  <c:v>137.28</c:v>
                </c:pt>
                <c:pt idx="89">
                  <c:v>136.97999999999999</c:v>
                </c:pt>
                <c:pt idx="90">
                  <c:v>137.27000000000001</c:v>
                </c:pt>
                <c:pt idx="91">
                  <c:v>137.58000000000001</c:v>
                </c:pt>
                <c:pt idx="92">
                  <c:v>138.49</c:v>
                </c:pt>
                <c:pt idx="93">
                  <c:v>139.72</c:v>
                </c:pt>
                <c:pt idx="94">
                  <c:v>140.72999999999999</c:v>
                </c:pt>
                <c:pt idx="95">
                  <c:v>139.44</c:v>
                </c:pt>
                <c:pt idx="96">
                  <c:v>139.16</c:v>
                </c:pt>
                <c:pt idx="97">
                  <c:v>138.97999999999999</c:v>
                </c:pt>
                <c:pt idx="98">
                  <c:v>139.30000000000001</c:v>
                </c:pt>
                <c:pt idx="99">
                  <c:v>139.6</c:v>
                </c:pt>
                <c:pt idx="100">
                  <c:v>138.87</c:v>
                </c:pt>
                <c:pt idx="101">
                  <c:v>139.75</c:v>
                </c:pt>
                <c:pt idx="102">
                  <c:v>140.59</c:v>
                </c:pt>
                <c:pt idx="103">
                  <c:v>140.94</c:v>
                </c:pt>
                <c:pt idx="104">
                  <c:v>140.1</c:v>
                </c:pt>
                <c:pt idx="105">
                  <c:v>139.97</c:v>
                </c:pt>
                <c:pt idx="106">
                  <c:v>140.46</c:v>
                </c:pt>
                <c:pt idx="107">
                  <c:v>141.26</c:v>
                </c:pt>
                <c:pt idx="108">
                  <c:v>143.02000000000001</c:v>
                </c:pt>
                <c:pt idx="109">
                  <c:v>142.13999999999999</c:v>
                </c:pt>
                <c:pt idx="110">
                  <c:v>142.86000000000001</c:v>
                </c:pt>
                <c:pt idx="111">
                  <c:v>142.99</c:v>
                </c:pt>
                <c:pt idx="112">
                  <c:v>143.5</c:v>
                </c:pt>
                <c:pt idx="113">
                  <c:v>143.43</c:v>
                </c:pt>
                <c:pt idx="114">
                  <c:v>143.71</c:v>
                </c:pt>
                <c:pt idx="115">
                  <c:v>147.77000000000001</c:v>
                </c:pt>
                <c:pt idx="116">
                  <c:v>146.63999999999999</c:v>
                </c:pt>
                <c:pt idx="117">
                  <c:v>146.54</c:v>
                </c:pt>
                <c:pt idx="118">
                  <c:v>145.96</c:v>
                </c:pt>
                <c:pt idx="119">
                  <c:v>145.63</c:v>
                </c:pt>
                <c:pt idx="120">
                  <c:v>143.56</c:v>
                </c:pt>
                <c:pt idx="121">
                  <c:v>143.38</c:v>
                </c:pt>
                <c:pt idx="122">
                  <c:v>144.87</c:v>
                </c:pt>
                <c:pt idx="123">
                  <c:v>144.78</c:v>
                </c:pt>
                <c:pt idx="124">
                  <c:v>144.93</c:v>
                </c:pt>
                <c:pt idx="125">
                  <c:v>145.19</c:v>
                </c:pt>
                <c:pt idx="126">
                  <c:v>144.99</c:v>
                </c:pt>
                <c:pt idx="127">
                  <c:v>144.34</c:v>
                </c:pt>
                <c:pt idx="128">
                  <c:v>143.75</c:v>
                </c:pt>
                <c:pt idx="129">
                  <c:v>143.63</c:v>
                </c:pt>
                <c:pt idx="130">
                  <c:v>142.87</c:v>
                </c:pt>
                <c:pt idx="131">
                  <c:v>143.08000000000001</c:v>
                </c:pt>
                <c:pt idx="132">
                  <c:v>142.41999999999999</c:v>
                </c:pt>
                <c:pt idx="133">
                  <c:v>143.66999999999999</c:v>
                </c:pt>
                <c:pt idx="134">
                  <c:v>143.16999999999999</c:v>
                </c:pt>
                <c:pt idx="135">
                  <c:v>143.53</c:v>
                </c:pt>
                <c:pt idx="136">
                  <c:v>143.24</c:v>
                </c:pt>
                <c:pt idx="137">
                  <c:v>144.33000000000001</c:v>
                </c:pt>
                <c:pt idx="138">
                  <c:v>144.52000000000001</c:v>
                </c:pt>
                <c:pt idx="139">
                  <c:v>144.72999999999999</c:v>
                </c:pt>
                <c:pt idx="140">
                  <c:v>144.11000000000001</c:v>
                </c:pt>
                <c:pt idx="141">
                  <c:v>144.08000000000001</c:v>
                </c:pt>
                <c:pt idx="142">
                  <c:v>145.05000000000001</c:v>
                </c:pt>
                <c:pt idx="143">
                  <c:v>144.28</c:v>
                </c:pt>
                <c:pt idx="144">
                  <c:v>144.16</c:v>
                </c:pt>
                <c:pt idx="145">
                  <c:v>143.49</c:v>
                </c:pt>
                <c:pt idx="146">
                  <c:v>143.01</c:v>
                </c:pt>
                <c:pt idx="147">
                  <c:v>142.72999999999999</c:v>
                </c:pt>
                <c:pt idx="148">
                  <c:v>143.28</c:v>
                </c:pt>
                <c:pt idx="149">
                  <c:v>141.34</c:v>
                </c:pt>
                <c:pt idx="150">
                  <c:v>141.18</c:v>
                </c:pt>
                <c:pt idx="151">
                  <c:v>141.74</c:v>
                </c:pt>
                <c:pt idx="152">
                  <c:v>142.53</c:v>
                </c:pt>
                <c:pt idx="153">
                  <c:v>143.09</c:v>
                </c:pt>
                <c:pt idx="154">
                  <c:v>143.29</c:v>
                </c:pt>
                <c:pt idx="155">
                  <c:v>143.32</c:v>
                </c:pt>
                <c:pt idx="156">
                  <c:v>142.86000000000001</c:v>
                </c:pt>
                <c:pt idx="157">
                  <c:v>144.19999999999999</c:v>
                </c:pt>
                <c:pt idx="158">
                  <c:v>144.65</c:v>
                </c:pt>
                <c:pt idx="159">
                  <c:v>146.06</c:v>
                </c:pt>
                <c:pt idx="160">
                  <c:v>145.74</c:v>
                </c:pt>
                <c:pt idx="161">
                  <c:v>144.33000000000001</c:v>
                </c:pt>
                <c:pt idx="162">
                  <c:v>144.34</c:v>
                </c:pt>
                <c:pt idx="163">
                  <c:v>146.44999999999999</c:v>
                </c:pt>
                <c:pt idx="164">
                  <c:v>145.63</c:v>
                </c:pt>
                <c:pt idx="165">
                  <c:v>146.22</c:v>
                </c:pt>
                <c:pt idx="166">
                  <c:v>145.54</c:v>
                </c:pt>
                <c:pt idx="167">
                  <c:v>146.15</c:v>
                </c:pt>
                <c:pt idx="168">
                  <c:v>146.27000000000001</c:v>
                </c:pt>
                <c:pt idx="169">
                  <c:v>146.77000000000001</c:v>
                </c:pt>
                <c:pt idx="170">
                  <c:v>148.52000000000001</c:v>
                </c:pt>
                <c:pt idx="171">
                  <c:v>147.93</c:v>
                </c:pt>
                <c:pt idx="172">
                  <c:v>147.63999999999999</c:v>
                </c:pt>
                <c:pt idx="173">
                  <c:v>148.81</c:v>
                </c:pt>
                <c:pt idx="174">
                  <c:v>149.37</c:v>
                </c:pt>
                <c:pt idx="175">
                  <c:v>148.53</c:v>
                </c:pt>
                <c:pt idx="176">
                  <c:v>148.08000000000001</c:v>
                </c:pt>
                <c:pt idx="177">
                  <c:v>147.1</c:v>
                </c:pt>
                <c:pt idx="178">
                  <c:v>147.22</c:v>
                </c:pt>
                <c:pt idx="179">
                  <c:v>147.30000000000001</c:v>
                </c:pt>
                <c:pt idx="180">
                  <c:v>147.22</c:v>
                </c:pt>
                <c:pt idx="181">
                  <c:v>147.66</c:v>
                </c:pt>
                <c:pt idx="182">
                  <c:v>147</c:v>
                </c:pt>
                <c:pt idx="183">
                  <c:v>146.99</c:v>
                </c:pt>
                <c:pt idx="184">
                  <c:v>147.6</c:v>
                </c:pt>
                <c:pt idx="185">
                  <c:v>146.87</c:v>
                </c:pt>
                <c:pt idx="186">
                  <c:v>145.47</c:v>
                </c:pt>
                <c:pt idx="187">
                  <c:v>144.44999999999999</c:v>
                </c:pt>
                <c:pt idx="188">
                  <c:v>143.56</c:v>
                </c:pt>
                <c:pt idx="189">
                  <c:v>142.55000000000001</c:v>
                </c:pt>
                <c:pt idx="190">
                  <c:v>141.07</c:v>
                </c:pt>
                <c:pt idx="191">
                  <c:v>139.59</c:v>
                </c:pt>
                <c:pt idx="192">
                  <c:v>140.68</c:v>
                </c:pt>
                <c:pt idx="193">
                  <c:v>141.68</c:v>
                </c:pt>
                <c:pt idx="194">
                  <c:v>140.77000000000001</c:v>
                </c:pt>
                <c:pt idx="195">
                  <c:v>139.44999999999999</c:v>
                </c:pt>
                <c:pt idx="196">
                  <c:v>137.99</c:v>
                </c:pt>
                <c:pt idx="197">
                  <c:v>139</c:v>
                </c:pt>
                <c:pt idx="198">
                  <c:v>138.71</c:v>
                </c:pt>
                <c:pt idx="199">
                  <c:v>139.75</c:v>
                </c:pt>
                <c:pt idx="200">
                  <c:v>138.63999999999999</c:v>
                </c:pt>
                <c:pt idx="201">
                  <c:v>139.16</c:v>
                </c:pt>
                <c:pt idx="202">
                  <c:v>137.80000000000001</c:v>
                </c:pt>
                <c:pt idx="203">
                  <c:v>139.18</c:v>
                </c:pt>
                <c:pt idx="204">
                  <c:v>138.47</c:v>
                </c:pt>
                <c:pt idx="205">
                  <c:v>138.18</c:v>
                </c:pt>
                <c:pt idx="206">
                  <c:v>137.91999999999999</c:v>
                </c:pt>
                <c:pt idx="207">
                  <c:v>137.80000000000001</c:v>
                </c:pt>
                <c:pt idx="208">
                  <c:v>139.72999999999999</c:v>
                </c:pt>
                <c:pt idx="209">
                  <c:v>138.65</c:v>
                </c:pt>
                <c:pt idx="210">
                  <c:v>137.91999999999999</c:v>
                </c:pt>
                <c:pt idx="211">
                  <c:v>139.28</c:v>
                </c:pt>
                <c:pt idx="212">
                  <c:v>138.66999999999999</c:v>
                </c:pt>
                <c:pt idx="213">
                  <c:v>139.47999999999999</c:v>
                </c:pt>
                <c:pt idx="214">
                  <c:v>140.03</c:v>
                </c:pt>
                <c:pt idx="215">
                  <c:v>141.53</c:v>
                </c:pt>
                <c:pt idx="216">
                  <c:v>142.80000000000001</c:v>
                </c:pt>
                <c:pt idx="217">
                  <c:v>142.36000000000001</c:v>
                </c:pt>
                <c:pt idx="218">
                  <c:v>142.6</c:v>
                </c:pt>
                <c:pt idx="219">
                  <c:v>144.26</c:v>
                </c:pt>
                <c:pt idx="220">
                  <c:v>144.16</c:v>
                </c:pt>
                <c:pt idx="221">
                  <c:v>144.76</c:v>
                </c:pt>
                <c:pt idx="222">
                  <c:v>147.68</c:v>
                </c:pt>
                <c:pt idx="223">
                  <c:v>148.18</c:v>
                </c:pt>
                <c:pt idx="224">
                  <c:v>147.5</c:v>
                </c:pt>
                <c:pt idx="225">
                  <c:v>145.37</c:v>
                </c:pt>
                <c:pt idx="226">
                  <c:v>147.33000000000001</c:v>
                </c:pt>
                <c:pt idx="227">
                  <c:v>149.07</c:v>
                </c:pt>
                <c:pt idx="228">
                  <c:v>151.71</c:v>
                </c:pt>
                <c:pt idx="229">
                  <c:v>149.26</c:v>
                </c:pt>
                <c:pt idx="230">
                  <c:v>141.28</c:v>
                </c:pt>
                <c:pt idx="231">
                  <c:v>141.91999999999999</c:v>
                </c:pt>
                <c:pt idx="232">
                  <c:v>144.41999999999999</c:v>
                </c:pt>
                <c:pt idx="233">
                  <c:v>142.69999999999999</c:v>
                </c:pt>
                <c:pt idx="234">
                  <c:v>141.57</c:v>
                </c:pt>
                <c:pt idx="235">
                  <c:v>141.59</c:v>
                </c:pt>
                <c:pt idx="236">
                  <c:v>142.63</c:v>
                </c:pt>
                <c:pt idx="237">
                  <c:v>142.88</c:v>
                </c:pt>
                <c:pt idx="238">
                  <c:v>142.05000000000001</c:v>
                </c:pt>
                <c:pt idx="239">
                  <c:v>142.08000000000001</c:v>
                </c:pt>
                <c:pt idx="240">
                  <c:v>142.54</c:v>
                </c:pt>
                <c:pt idx="241">
                  <c:v>141.97999999999999</c:v>
                </c:pt>
                <c:pt idx="242">
                  <c:v>141.58000000000001</c:v>
                </c:pt>
                <c:pt idx="243">
                  <c:v>141.69</c:v>
                </c:pt>
                <c:pt idx="244">
                  <c:v>141.15</c:v>
                </c:pt>
                <c:pt idx="245">
                  <c:v>142.19999999999999</c:v>
                </c:pt>
                <c:pt idx="246">
                  <c:v>143.43</c:v>
                </c:pt>
                <c:pt idx="247">
                  <c:v>142.22999999999999</c:v>
                </c:pt>
                <c:pt idx="248">
                  <c:v>140.97</c:v>
                </c:pt>
                <c:pt idx="249">
                  <c:v>140.6</c:v>
                </c:pt>
                <c:pt idx="250">
                  <c:v>138.18</c:v>
                </c:pt>
                <c:pt idx="251">
                  <c:v>141.30000000000001</c:v>
                </c:pt>
                <c:pt idx="252">
                  <c:v>141.29</c:v>
                </c:pt>
                <c:pt idx="253">
                  <c:v>140.22</c:v>
                </c:pt>
                <c:pt idx="254">
                  <c:v>140.94999999999999</c:v>
                </c:pt>
                <c:pt idx="255">
                  <c:v>139.96</c:v>
                </c:pt>
                <c:pt idx="256">
                  <c:v>140.15</c:v>
                </c:pt>
                <c:pt idx="257">
                  <c:v>140.36000000000001</c:v>
                </c:pt>
                <c:pt idx="258">
                  <c:v>137.52000000000001</c:v>
                </c:pt>
                <c:pt idx="259">
                  <c:v>138.49</c:v>
                </c:pt>
                <c:pt idx="260">
                  <c:v>139.6</c:v>
                </c:pt>
                <c:pt idx="261">
                  <c:v>139.57</c:v>
                </c:pt>
                <c:pt idx="262">
                  <c:v>138.08000000000001</c:v>
                </c:pt>
                <c:pt idx="263">
                  <c:v>140.78</c:v>
                </c:pt>
                <c:pt idx="264">
                  <c:v>141.08000000000001</c:v>
                </c:pt>
                <c:pt idx="265">
                  <c:v>141.81</c:v>
                </c:pt>
                <c:pt idx="266">
                  <c:v>141.32</c:v>
                </c:pt>
                <c:pt idx="267">
                  <c:v>140.16999999999999</c:v>
                </c:pt>
                <c:pt idx="268">
                  <c:v>139.46</c:v>
                </c:pt>
                <c:pt idx="269">
                  <c:v>138.22999999999999</c:v>
                </c:pt>
                <c:pt idx="270">
                  <c:v>139.16999999999999</c:v>
                </c:pt>
                <c:pt idx="271">
                  <c:v>139.34</c:v>
                </c:pt>
                <c:pt idx="272">
                  <c:v>140.19999999999999</c:v>
                </c:pt>
                <c:pt idx="273">
                  <c:v>139.77000000000001</c:v>
                </c:pt>
                <c:pt idx="274">
                  <c:v>140.06</c:v>
                </c:pt>
                <c:pt idx="275">
                  <c:v>138.93</c:v>
                </c:pt>
                <c:pt idx="276">
                  <c:v>138.18</c:v>
                </c:pt>
                <c:pt idx="277">
                  <c:v>138.58000000000001</c:v>
                </c:pt>
                <c:pt idx="278">
                  <c:v>137.16999999999999</c:v>
                </c:pt>
                <c:pt idx="279">
                  <c:v>137.32</c:v>
                </c:pt>
                <c:pt idx="280">
                  <c:v>138.85</c:v>
                </c:pt>
                <c:pt idx="281">
                  <c:v>138.77000000000001</c:v>
                </c:pt>
                <c:pt idx="282">
                  <c:v>139.19999999999999</c:v>
                </c:pt>
                <c:pt idx="283">
                  <c:v>138.75</c:v>
                </c:pt>
                <c:pt idx="284">
                  <c:v>139.09</c:v>
                </c:pt>
                <c:pt idx="285">
                  <c:v>140.88999999999999</c:v>
                </c:pt>
                <c:pt idx="286">
                  <c:v>140.86000000000001</c:v>
                </c:pt>
                <c:pt idx="287">
                  <c:v>143.03</c:v>
                </c:pt>
                <c:pt idx="288">
                  <c:v>143.25</c:v>
                </c:pt>
                <c:pt idx="289">
                  <c:v>143.74</c:v>
                </c:pt>
                <c:pt idx="290">
                  <c:v>144.06</c:v>
                </c:pt>
                <c:pt idx="291">
                  <c:v>143.18</c:v>
                </c:pt>
                <c:pt idx="292">
                  <c:v>141.32</c:v>
                </c:pt>
                <c:pt idx="293">
                  <c:v>141.63999999999999</c:v>
                </c:pt>
                <c:pt idx="294">
                  <c:v>142.66999999999999</c:v>
                </c:pt>
                <c:pt idx="295">
                  <c:v>142.13999999999999</c:v>
                </c:pt>
                <c:pt idx="296">
                  <c:v>141.12</c:v>
                </c:pt>
                <c:pt idx="297">
                  <c:v>139.59</c:v>
                </c:pt>
                <c:pt idx="298">
                  <c:v>140.80000000000001</c:v>
                </c:pt>
                <c:pt idx="299">
                  <c:v>141.88999999999999</c:v>
                </c:pt>
                <c:pt idx="300">
                  <c:v>141.1</c:v>
                </c:pt>
                <c:pt idx="301">
                  <c:v>143.38999999999999</c:v>
                </c:pt>
                <c:pt idx="302">
                  <c:v>143.85</c:v>
                </c:pt>
                <c:pt idx="303">
                  <c:v>144.41</c:v>
                </c:pt>
                <c:pt idx="304">
                  <c:v>145.21</c:v>
                </c:pt>
                <c:pt idx="305">
                  <c:v>143.93</c:v>
                </c:pt>
                <c:pt idx="306">
                  <c:v>144.6</c:v>
                </c:pt>
                <c:pt idx="307">
                  <c:v>144.91999999999999</c:v>
                </c:pt>
                <c:pt idx="308">
                  <c:v>145.69</c:v>
                </c:pt>
                <c:pt idx="309">
                  <c:v>145.91999999999999</c:v>
                </c:pt>
                <c:pt idx="310">
                  <c:v>145.28</c:v>
                </c:pt>
                <c:pt idx="311">
                  <c:v>144.32</c:v>
                </c:pt>
                <c:pt idx="312">
                  <c:v>145.01</c:v>
                </c:pt>
                <c:pt idx="313">
                  <c:v>144.77000000000001</c:v>
                </c:pt>
                <c:pt idx="314">
                  <c:v>144.63</c:v>
                </c:pt>
                <c:pt idx="315">
                  <c:v>144.85</c:v>
                </c:pt>
                <c:pt idx="316">
                  <c:v>144.66999999999999</c:v>
                </c:pt>
                <c:pt idx="317">
                  <c:v>143.49</c:v>
                </c:pt>
                <c:pt idx="318">
                  <c:v>143.55000000000001</c:v>
                </c:pt>
                <c:pt idx="319">
                  <c:v>143.75</c:v>
                </c:pt>
                <c:pt idx="320">
                  <c:v>144.41</c:v>
                </c:pt>
                <c:pt idx="321">
                  <c:v>144.27000000000001</c:v>
                </c:pt>
                <c:pt idx="322">
                  <c:v>144.81</c:v>
                </c:pt>
                <c:pt idx="323">
                  <c:v>144.24</c:v>
                </c:pt>
                <c:pt idx="324">
                  <c:v>143.93</c:v>
                </c:pt>
                <c:pt idx="325">
                  <c:v>144.41999999999999</c:v>
                </c:pt>
                <c:pt idx="326">
                  <c:v>143.97</c:v>
                </c:pt>
                <c:pt idx="327">
                  <c:v>143.87</c:v>
                </c:pt>
                <c:pt idx="328">
                  <c:v>144.78</c:v>
                </c:pt>
                <c:pt idx="329">
                  <c:v>144.84</c:v>
                </c:pt>
                <c:pt idx="330">
                  <c:v>144.30000000000001</c:v>
                </c:pt>
                <c:pt idx="331">
                  <c:v>144.72</c:v>
                </c:pt>
                <c:pt idx="332">
                  <c:v>144.69999999999999</c:v>
                </c:pt>
                <c:pt idx="333">
                  <c:v>145.59</c:v>
                </c:pt>
                <c:pt idx="334">
                  <c:v>145.72999999999999</c:v>
                </c:pt>
                <c:pt idx="335">
                  <c:v>144.87</c:v>
                </c:pt>
                <c:pt idx="336">
                  <c:v>145.24</c:v>
                </c:pt>
                <c:pt idx="337">
                  <c:v>145.83000000000001</c:v>
                </c:pt>
                <c:pt idx="338">
                  <c:v>145.80000000000001</c:v>
                </c:pt>
                <c:pt idx="339">
                  <c:v>144.94</c:v>
                </c:pt>
                <c:pt idx="340">
                  <c:v>143.63</c:v>
                </c:pt>
                <c:pt idx="341">
                  <c:v>143.4</c:v>
                </c:pt>
                <c:pt idx="342">
                  <c:v>143.91</c:v>
                </c:pt>
                <c:pt idx="343">
                  <c:v>145.04</c:v>
                </c:pt>
                <c:pt idx="344">
                  <c:v>145.33000000000001</c:v>
                </c:pt>
                <c:pt idx="345">
                  <c:v>146.13</c:v>
                </c:pt>
                <c:pt idx="346">
                  <c:v>143.59</c:v>
                </c:pt>
                <c:pt idx="347">
                  <c:v>143.93</c:v>
                </c:pt>
                <c:pt idx="348">
                  <c:v>144.04</c:v>
                </c:pt>
                <c:pt idx="349">
                  <c:v>145.11000000000001</c:v>
                </c:pt>
                <c:pt idx="350">
                  <c:v>144.27000000000001</c:v>
                </c:pt>
                <c:pt idx="351">
                  <c:v>144.63999999999999</c:v>
                </c:pt>
                <c:pt idx="352">
                  <c:v>144.96</c:v>
                </c:pt>
                <c:pt idx="353">
                  <c:v>144.05000000000001</c:v>
                </c:pt>
                <c:pt idx="354">
                  <c:v>142.16999999999999</c:v>
                </c:pt>
                <c:pt idx="355">
                  <c:v>143.41</c:v>
                </c:pt>
                <c:pt idx="356">
                  <c:v>142.94999999999999</c:v>
                </c:pt>
                <c:pt idx="357">
                  <c:v>143.72999999999999</c:v>
                </c:pt>
                <c:pt idx="358">
                  <c:v>143.85</c:v>
                </c:pt>
                <c:pt idx="359">
                  <c:v>145.1</c:v>
                </c:pt>
                <c:pt idx="360">
                  <c:v>144.37</c:v>
                </c:pt>
                <c:pt idx="361">
                  <c:v>145.13</c:v>
                </c:pt>
                <c:pt idx="362">
                  <c:v>146.49</c:v>
                </c:pt>
                <c:pt idx="363">
                  <c:v>148.29</c:v>
                </c:pt>
                <c:pt idx="364">
                  <c:v>148.85</c:v>
                </c:pt>
                <c:pt idx="365">
                  <c:v>147.79</c:v>
                </c:pt>
                <c:pt idx="366">
                  <c:v>149.13999999999999</c:v>
                </c:pt>
                <c:pt idx="367">
                  <c:v>151.44</c:v>
                </c:pt>
                <c:pt idx="368">
                  <c:v>151.94999999999999</c:v>
                </c:pt>
                <c:pt idx="369">
                  <c:v>152.18</c:v>
                </c:pt>
                <c:pt idx="370">
                  <c:v>150.84</c:v>
                </c:pt>
                <c:pt idx="371">
                  <c:v>149.04</c:v>
                </c:pt>
                <c:pt idx="372">
                  <c:v>149.13999999999999</c:v>
                </c:pt>
                <c:pt idx="373">
                  <c:v>148.93</c:v>
                </c:pt>
                <c:pt idx="374">
                  <c:v>148.31</c:v>
                </c:pt>
                <c:pt idx="375">
                  <c:v>152.66</c:v>
                </c:pt>
                <c:pt idx="376">
                  <c:v>150.65</c:v>
                </c:pt>
                <c:pt idx="377">
                  <c:v>152.47</c:v>
                </c:pt>
                <c:pt idx="378">
                  <c:v>150.94</c:v>
                </c:pt>
                <c:pt idx="379">
                  <c:v>152.41999999999999</c:v>
                </c:pt>
                <c:pt idx="380">
                  <c:v>154.54</c:v>
                </c:pt>
                <c:pt idx="381">
                  <c:v>153.44999999999999</c:v>
                </c:pt>
                <c:pt idx="382">
                  <c:v>150.91999999999999</c:v>
                </c:pt>
                <c:pt idx="383">
                  <c:v>152.31</c:v>
                </c:pt>
                <c:pt idx="384">
                  <c:v>151.04</c:v>
                </c:pt>
                <c:pt idx="385">
                  <c:v>147.97999999999999</c:v>
                </c:pt>
                <c:pt idx="386">
                  <c:v>147.86000000000001</c:v>
                </c:pt>
                <c:pt idx="387">
                  <c:v>147.58000000000001</c:v>
                </c:pt>
                <c:pt idx="388">
                  <c:v>149.84</c:v>
                </c:pt>
                <c:pt idx="389">
                  <c:v>146.69999999999999</c:v>
                </c:pt>
                <c:pt idx="390">
                  <c:v>146.05000000000001</c:v>
                </c:pt>
                <c:pt idx="391">
                  <c:v>143.47</c:v>
                </c:pt>
                <c:pt idx="392">
                  <c:v>142.93</c:v>
                </c:pt>
                <c:pt idx="393">
                  <c:v>143.05000000000001</c:v>
                </c:pt>
                <c:pt idx="394">
                  <c:v>144.16</c:v>
                </c:pt>
                <c:pt idx="395">
                  <c:v>143.41999999999999</c:v>
                </c:pt>
                <c:pt idx="396">
                  <c:v>144.26</c:v>
                </c:pt>
                <c:pt idx="397">
                  <c:v>144.51</c:v>
                </c:pt>
                <c:pt idx="398">
                  <c:v>142.38999999999999</c:v>
                </c:pt>
                <c:pt idx="399">
                  <c:v>142.71</c:v>
                </c:pt>
                <c:pt idx="400">
                  <c:v>143.19999999999999</c:v>
                </c:pt>
                <c:pt idx="401">
                  <c:v>141.37</c:v>
                </c:pt>
                <c:pt idx="402">
                  <c:v>139.83000000000001</c:v>
                </c:pt>
                <c:pt idx="403">
                  <c:v>141.38999999999999</c:v>
                </c:pt>
                <c:pt idx="404">
                  <c:v>142.13</c:v>
                </c:pt>
                <c:pt idx="405">
                  <c:v>141.76</c:v>
                </c:pt>
                <c:pt idx="406">
                  <c:v>142.06</c:v>
                </c:pt>
                <c:pt idx="407">
                  <c:v>145.83000000000001</c:v>
                </c:pt>
                <c:pt idx="408">
                  <c:v>142.58000000000001</c:v>
                </c:pt>
                <c:pt idx="409">
                  <c:v>141.30000000000001</c:v>
                </c:pt>
                <c:pt idx="410">
                  <c:v>140.22</c:v>
                </c:pt>
                <c:pt idx="411">
                  <c:v>141.32</c:v>
                </c:pt>
                <c:pt idx="412">
                  <c:v>141.41</c:v>
                </c:pt>
                <c:pt idx="413">
                  <c:v>141.19999999999999</c:v>
                </c:pt>
                <c:pt idx="414">
                  <c:v>141.06</c:v>
                </c:pt>
                <c:pt idx="415">
                  <c:v>140.53</c:v>
                </c:pt>
                <c:pt idx="416">
                  <c:v>140.51</c:v>
                </c:pt>
                <c:pt idx="417">
                  <c:v>139.87</c:v>
                </c:pt>
                <c:pt idx="418">
                  <c:v>138.5</c:v>
                </c:pt>
                <c:pt idx="419">
                  <c:v>139.19</c:v>
                </c:pt>
                <c:pt idx="420">
                  <c:v>139.33000000000001</c:v>
                </c:pt>
                <c:pt idx="421">
                  <c:v>141.19999999999999</c:v>
                </c:pt>
                <c:pt idx="422">
                  <c:v>137.71</c:v>
                </c:pt>
                <c:pt idx="423">
                  <c:v>137.88</c:v>
                </c:pt>
                <c:pt idx="424">
                  <c:v>138.38999999999999</c:v>
                </c:pt>
                <c:pt idx="425">
                  <c:v>137.84</c:v>
                </c:pt>
                <c:pt idx="426">
                  <c:v>136.53</c:v>
                </c:pt>
                <c:pt idx="427">
                  <c:v>137.16999999999999</c:v>
                </c:pt>
                <c:pt idx="428">
                  <c:v>137.02000000000001</c:v>
                </c:pt>
                <c:pt idx="429">
                  <c:v>137</c:v>
                </c:pt>
                <c:pt idx="430">
                  <c:v>136.62</c:v>
                </c:pt>
                <c:pt idx="431">
                  <c:v>136.24</c:v>
                </c:pt>
                <c:pt idx="432">
                  <c:v>135.69999999999999</c:v>
                </c:pt>
                <c:pt idx="433">
                  <c:v>135.88999999999999</c:v>
                </c:pt>
                <c:pt idx="434">
                  <c:v>135.34</c:v>
                </c:pt>
                <c:pt idx="435">
                  <c:v>135.24</c:v>
                </c:pt>
                <c:pt idx="436">
                  <c:v>134.82</c:v>
                </c:pt>
                <c:pt idx="437">
                  <c:v>134.65</c:v>
                </c:pt>
                <c:pt idx="438">
                  <c:v>133.62</c:v>
                </c:pt>
                <c:pt idx="439">
                  <c:v>134.13</c:v>
                </c:pt>
                <c:pt idx="440">
                  <c:v>134.38</c:v>
                </c:pt>
                <c:pt idx="441">
                  <c:v>134.03</c:v>
                </c:pt>
                <c:pt idx="442">
                  <c:v>135.22</c:v>
                </c:pt>
                <c:pt idx="443">
                  <c:v>135.88</c:v>
                </c:pt>
                <c:pt idx="444">
                  <c:v>136.9</c:v>
                </c:pt>
                <c:pt idx="445">
                  <c:v>136.49</c:v>
                </c:pt>
                <c:pt idx="446">
                  <c:v>135.71</c:v>
                </c:pt>
                <c:pt idx="447">
                  <c:v>135.63</c:v>
                </c:pt>
                <c:pt idx="448">
                  <c:v>136.85</c:v>
                </c:pt>
                <c:pt idx="449">
                  <c:v>136.47999999999999</c:v>
                </c:pt>
                <c:pt idx="450">
                  <c:v>137.03</c:v>
                </c:pt>
                <c:pt idx="451">
                  <c:v>137.33000000000001</c:v>
                </c:pt>
                <c:pt idx="452">
                  <c:v>136.66999999999999</c:v>
                </c:pt>
                <c:pt idx="453">
                  <c:v>136.04</c:v>
                </c:pt>
                <c:pt idx="454">
                  <c:v>136.84</c:v>
                </c:pt>
                <c:pt idx="455">
                  <c:v>137.72</c:v>
                </c:pt>
                <c:pt idx="456">
                  <c:v>138</c:v>
                </c:pt>
                <c:pt idx="457">
                  <c:v>137.76</c:v>
                </c:pt>
                <c:pt idx="458">
                  <c:v>137.93</c:v>
                </c:pt>
                <c:pt idx="459">
                  <c:v>138.34</c:v>
                </c:pt>
                <c:pt idx="460">
                  <c:v>141.13999999999999</c:v>
                </c:pt>
                <c:pt idx="461">
                  <c:v>138.66999999999999</c:v>
                </c:pt>
                <c:pt idx="462">
                  <c:v>138.44999999999999</c:v>
                </c:pt>
                <c:pt idx="463">
                  <c:v>138.84</c:v>
                </c:pt>
                <c:pt idx="464">
                  <c:v>137.96</c:v>
                </c:pt>
                <c:pt idx="465">
                  <c:v>137.21</c:v>
                </c:pt>
                <c:pt idx="466">
                  <c:v>138.33000000000001</c:v>
                </c:pt>
                <c:pt idx="467">
                  <c:v>139.68</c:v>
                </c:pt>
                <c:pt idx="468">
                  <c:v>140.1</c:v>
                </c:pt>
                <c:pt idx="469">
                  <c:v>138.99</c:v>
                </c:pt>
                <c:pt idx="470">
                  <c:v>141.16</c:v>
                </c:pt>
                <c:pt idx="471">
                  <c:v>138.97</c:v>
                </c:pt>
                <c:pt idx="472">
                  <c:v>139.61000000000001</c:v>
                </c:pt>
                <c:pt idx="473">
                  <c:v>139.11000000000001</c:v>
                </c:pt>
                <c:pt idx="474">
                  <c:v>140.06</c:v>
                </c:pt>
                <c:pt idx="475">
                  <c:v>139.74</c:v>
                </c:pt>
                <c:pt idx="476">
                  <c:v>138.78</c:v>
                </c:pt>
                <c:pt idx="477">
                  <c:v>139.57</c:v>
                </c:pt>
                <c:pt idx="478">
                  <c:v>139.24</c:v>
                </c:pt>
                <c:pt idx="479">
                  <c:v>139.63</c:v>
                </c:pt>
                <c:pt idx="480">
                  <c:v>138.5</c:v>
                </c:pt>
                <c:pt idx="481">
                  <c:v>137.09</c:v>
                </c:pt>
                <c:pt idx="482">
                  <c:v>137.91</c:v>
                </c:pt>
                <c:pt idx="483">
                  <c:v>138</c:v>
                </c:pt>
                <c:pt idx="484">
                  <c:v>137.93</c:v>
                </c:pt>
                <c:pt idx="485">
                  <c:v>139.54</c:v>
                </c:pt>
                <c:pt idx="486">
                  <c:v>139.19</c:v>
                </c:pt>
                <c:pt idx="487">
                  <c:v>140.22999999999999</c:v>
                </c:pt>
                <c:pt idx="488">
                  <c:v>140.91999999999999</c:v>
                </c:pt>
                <c:pt idx="489">
                  <c:v>138.59</c:v>
                </c:pt>
                <c:pt idx="490">
                  <c:v>139.15</c:v>
                </c:pt>
                <c:pt idx="491">
                  <c:v>138.75</c:v>
                </c:pt>
                <c:pt idx="492">
                  <c:v>138.93</c:v>
                </c:pt>
                <c:pt idx="493">
                  <c:v>138.69</c:v>
                </c:pt>
                <c:pt idx="494">
                  <c:v>139.29</c:v>
                </c:pt>
                <c:pt idx="495">
                  <c:v>139.31</c:v>
                </c:pt>
                <c:pt idx="496">
                  <c:v>139.4</c:v>
                </c:pt>
                <c:pt idx="497">
                  <c:v>139.05000000000001</c:v>
                </c:pt>
                <c:pt idx="498">
                  <c:v>139.26</c:v>
                </c:pt>
                <c:pt idx="499">
                  <c:v>140.44999999999999</c:v>
                </c:pt>
                <c:pt idx="500">
                  <c:v>139.31</c:v>
                </c:pt>
                <c:pt idx="501">
                  <c:v>139.9</c:v>
                </c:pt>
                <c:pt idx="502">
                  <c:v>140.94</c:v>
                </c:pt>
                <c:pt idx="503">
                  <c:v>140.69999999999999</c:v>
                </c:pt>
                <c:pt idx="504">
                  <c:v>139.91</c:v>
                </c:pt>
                <c:pt idx="505">
                  <c:v>141.16999999999999</c:v>
                </c:pt>
                <c:pt idx="506">
                  <c:v>141.34</c:v>
                </c:pt>
                <c:pt idx="507">
                  <c:v>139.75</c:v>
                </c:pt>
                <c:pt idx="508">
                  <c:v>139.08000000000001</c:v>
                </c:pt>
                <c:pt idx="509">
                  <c:v>140.66</c:v>
                </c:pt>
                <c:pt idx="510">
                  <c:v>140.82</c:v>
                </c:pt>
                <c:pt idx="511">
                  <c:v>140</c:v>
                </c:pt>
                <c:pt idx="512">
                  <c:v>141.08000000000001</c:v>
                </c:pt>
                <c:pt idx="513">
                  <c:v>139.41</c:v>
                </c:pt>
                <c:pt idx="514">
                  <c:v>139.38</c:v>
                </c:pt>
                <c:pt idx="515">
                  <c:v>139.27000000000001</c:v>
                </c:pt>
                <c:pt idx="516">
                  <c:v>138.22999999999999</c:v>
                </c:pt>
                <c:pt idx="517">
                  <c:v>137.81</c:v>
                </c:pt>
                <c:pt idx="518">
                  <c:v>139.37</c:v>
                </c:pt>
                <c:pt idx="519">
                  <c:v>140.09</c:v>
                </c:pt>
                <c:pt idx="520">
                  <c:v>140.87</c:v>
                </c:pt>
                <c:pt idx="521">
                  <c:v>141.24</c:v>
                </c:pt>
                <c:pt idx="522">
                  <c:v>142.13</c:v>
                </c:pt>
                <c:pt idx="523">
                  <c:v>143.06</c:v>
                </c:pt>
                <c:pt idx="524">
                  <c:v>141.79</c:v>
                </c:pt>
                <c:pt idx="525">
                  <c:v>140.68</c:v>
                </c:pt>
                <c:pt idx="526">
                  <c:v>140.19999999999999</c:v>
                </c:pt>
                <c:pt idx="527">
                  <c:v>139.44999999999999</c:v>
                </c:pt>
                <c:pt idx="528">
                  <c:v>140.1</c:v>
                </c:pt>
                <c:pt idx="529">
                  <c:v>139.63999999999999</c:v>
                </c:pt>
                <c:pt idx="530">
                  <c:v>138.82</c:v>
                </c:pt>
                <c:pt idx="531">
                  <c:v>139.24</c:v>
                </c:pt>
                <c:pt idx="532">
                  <c:v>139.49</c:v>
                </c:pt>
                <c:pt idx="533">
                  <c:v>138.68</c:v>
                </c:pt>
                <c:pt idx="534">
                  <c:v>138.22999999999999</c:v>
                </c:pt>
                <c:pt idx="535">
                  <c:v>136.62</c:v>
                </c:pt>
                <c:pt idx="536">
                  <c:v>137.61000000000001</c:v>
                </c:pt>
                <c:pt idx="537">
                  <c:v>138.22999999999999</c:v>
                </c:pt>
                <c:pt idx="538">
                  <c:v>138.19</c:v>
                </c:pt>
                <c:pt idx="539">
                  <c:v>138.38</c:v>
                </c:pt>
                <c:pt idx="540">
                  <c:v>137.54</c:v>
                </c:pt>
                <c:pt idx="541">
                  <c:v>137.9</c:v>
                </c:pt>
                <c:pt idx="542">
                  <c:v>137.56</c:v>
                </c:pt>
                <c:pt idx="543">
                  <c:v>137.79</c:v>
                </c:pt>
                <c:pt idx="544">
                  <c:v>138.28</c:v>
                </c:pt>
                <c:pt idx="545">
                  <c:v>139.69</c:v>
                </c:pt>
                <c:pt idx="546">
                  <c:v>143.74</c:v>
                </c:pt>
                <c:pt idx="547">
                  <c:v>145.47999999999999</c:v>
                </c:pt>
                <c:pt idx="548">
                  <c:v>145.54</c:v>
                </c:pt>
                <c:pt idx="549">
                  <c:v>145.99</c:v>
                </c:pt>
                <c:pt idx="550">
                  <c:v>144.83000000000001</c:v>
                </c:pt>
                <c:pt idx="551">
                  <c:v>144.79</c:v>
                </c:pt>
                <c:pt idx="552">
                  <c:v>143.91999999999999</c:v>
                </c:pt>
                <c:pt idx="553">
                  <c:v>140.85</c:v>
                </c:pt>
                <c:pt idx="554">
                  <c:v>142.66999999999999</c:v>
                </c:pt>
                <c:pt idx="555">
                  <c:v>142.13999999999999</c:v>
                </c:pt>
                <c:pt idx="556">
                  <c:v>142.02000000000001</c:v>
                </c:pt>
                <c:pt idx="557">
                  <c:v>141.46</c:v>
                </c:pt>
                <c:pt idx="558">
                  <c:v>143.03</c:v>
                </c:pt>
                <c:pt idx="559">
                  <c:v>142.38999999999999</c:v>
                </c:pt>
                <c:pt idx="560">
                  <c:v>142.35</c:v>
                </c:pt>
                <c:pt idx="561">
                  <c:v>141.59</c:v>
                </c:pt>
                <c:pt idx="562">
                  <c:v>141.6</c:v>
                </c:pt>
                <c:pt idx="563">
                  <c:v>141.79</c:v>
                </c:pt>
                <c:pt idx="564">
                  <c:v>142.02000000000001</c:v>
                </c:pt>
                <c:pt idx="565">
                  <c:v>142.79</c:v>
                </c:pt>
                <c:pt idx="566">
                  <c:v>144.13999999999999</c:v>
                </c:pt>
                <c:pt idx="567">
                  <c:v>143.79</c:v>
                </c:pt>
                <c:pt idx="568">
                  <c:v>143.24</c:v>
                </c:pt>
                <c:pt idx="569">
                  <c:v>144.52000000000001</c:v>
                </c:pt>
                <c:pt idx="570">
                  <c:v>144.49</c:v>
                </c:pt>
                <c:pt idx="571">
                  <c:v>144.51</c:v>
                </c:pt>
                <c:pt idx="572">
                  <c:v>143.5</c:v>
                </c:pt>
                <c:pt idx="573">
                  <c:v>144.6</c:v>
                </c:pt>
                <c:pt idx="574">
                  <c:v>146.13999999999999</c:v>
                </c:pt>
                <c:pt idx="575">
                  <c:v>147.41</c:v>
                </c:pt>
                <c:pt idx="576">
                  <c:v>147.12</c:v>
                </c:pt>
                <c:pt idx="577">
                  <c:v>148.75</c:v>
                </c:pt>
                <c:pt idx="578">
                  <c:v>149.22</c:v>
                </c:pt>
                <c:pt idx="579">
                  <c:v>149.76</c:v>
                </c:pt>
                <c:pt idx="580">
                  <c:v>148.87</c:v>
                </c:pt>
                <c:pt idx="581">
                  <c:v>147.66999999999999</c:v>
                </c:pt>
                <c:pt idx="582">
                  <c:v>147.66999999999999</c:v>
                </c:pt>
                <c:pt idx="583">
                  <c:v>148.77000000000001</c:v>
                </c:pt>
                <c:pt idx="584">
                  <c:v>145.63</c:v>
                </c:pt>
                <c:pt idx="585">
                  <c:v>145.05000000000001</c:v>
                </c:pt>
                <c:pt idx="586">
                  <c:v>145.1</c:v>
                </c:pt>
                <c:pt idx="587">
                  <c:v>147.19999999999999</c:v>
                </c:pt>
                <c:pt idx="588">
                  <c:v>143.29</c:v>
                </c:pt>
                <c:pt idx="589">
                  <c:v>144.1</c:v>
                </c:pt>
                <c:pt idx="590">
                  <c:v>143.75</c:v>
                </c:pt>
                <c:pt idx="591">
                  <c:v>143.79</c:v>
                </c:pt>
                <c:pt idx="592">
                  <c:v>142.91999999999999</c:v>
                </c:pt>
                <c:pt idx="593">
                  <c:v>144.43</c:v>
                </c:pt>
                <c:pt idx="594">
                  <c:v>145.19999999999999</c:v>
                </c:pt>
                <c:pt idx="595">
                  <c:v>145.80000000000001</c:v>
                </c:pt>
                <c:pt idx="596">
                  <c:v>145.31</c:v>
                </c:pt>
                <c:pt idx="597">
                  <c:v>143.84</c:v>
                </c:pt>
                <c:pt idx="598">
                  <c:v>144.81</c:v>
                </c:pt>
                <c:pt idx="599">
                  <c:v>143.93</c:v>
                </c:pt>
                <c:pt idx="600">
                  <c:v>144.30000000000001</c:v>
                </c:pt>
                <c:pt idx="601">
                  <c:v>144.71</c:v>
                </c:pt>
                <c:pt idx="602">
                  <c:v>143.79</c:v>
                </c:pt>
                <c:pt idx="603">
                  <c:v>144.29</c:v>
                </c:pt>
                <c:pt idx="604">
                  <c:v>145.57</c:v>
                </c:pt>
                <c:pt idx="605">
                  <c:v>144.65</c:v>
                </c:pt>
                <c:pt idx="606">
                  <c:v>145.58000000000001</c:v>
                </c:pt>
                <c:pt idx="607">
                  <c:v>147.4</c:v>
                </c:pt>
                <c:pt idx="608">
                  <c:v>145.41</c:v>
                </c:pt>
                <c:pt idx="609">
                  <c:v>144.62</c:v>
                </c:pt>
                <c:pt idx="610">
                  <c:v>143.41</c:v>
                </c:pt>
                <c:pt idx="611">
                  <c:v>145.1</c:v>
                </c:pt>
                <c:pt idx="612">
                  <c:v>146.36000000000001</c:v>
                </c:pt>
                <c:pt idx="613">
                  <c:v>145.93</c:v>
                </c:pt>
                <c:pt idx="614">
                  <c:v>145.97</c:v>
                </c:pt>
                <c:pt idx="615">
                  <c:v>146.77000000000001</c:v>
                </c:pt>
                <c:pt idx="616">
                  <c:v>146.68</c:v>
                </c:pt>
                <c:pt idx="617">
                  <c:v>145.5</c:v>
                </c:pt>
                <c:pt idx="618">
                  <c:v>146.75</c:v>
                </c:pt>
                <c:pt idx="619">
                  <c:v>145.96</c:v>
                </c:pt>
                <c:pt idx="620">
                  <c:v>146.61000000000001</c:v>
                </c:pt>
                <c:pt idx="621">
                  <c:v>144.87</c:v>
                </c:pt>
                <c:pt idx="622">
                  <c:v>144.62</c:v>
                </c:pt>
                <c:pt idx="623">
                  <c:v>146.53</c:v>
                </c:pt>
                <c:pt idx="624">
                  <c:v>146.33000000000001</c:v>
                </c:pt>
                <c:pt idx="625">
                  <c:v>145.87</c:v>
                </c:pt>
                <c:pt idx="626">
                  <c:v>143.96</c:v>
                </c:pt>
                <c:pt idx="627">
                  <c:v>143.61000000000001</c:v>
                </c:pt>
                <c:pt idx="628">
                  <c:v>145.32</c:v>
                </c:pt>
                <c:pt idx="629">
                  <c:v>146.44999999999999</c:v>
                </c:pt>
                <c:pt idx="630">
                  <c:v>146.94999999999999</c:v>
                </c:pt>
                <c:pt idx="631">
                  <c:v>147.46</c:v>
                </c:pt>
                <c:pt idx="632">
                  <c:v>146.33000000000001</c:v>
                </c:pt>
                <c:pt idx="633">
                  <c:v>146.22999999999999</c:v>
                </c:pt>
                <c:pt idx="634">
                  <c:v>143.84</c:v>
                </c:pt>
                <c:pt idx="635">
                  <c:v>143.75</c:v>
                </c:pt>
                <c:pt idx="636">
                  <c:v>145.62</c:v>
                </c:pt>
                <c:pt idx="637">
                  <c:v>145.13999999999999</c:v>
                </c:pt>
                <c:pt idx="638">
                  <c:v>146.68</c:v>
                </c:pt>
                <c:pt idx="639">
                  <c:v>145.71</c:v>
                </c:pt>
                <c:pt idx="640">
                  <c:v>144.87</c:v>
                </c:pt>
                <c:pt idx="641">
                  <c:v>146.19999999999999</c:v>
                </c:pt>
                <c:pt idx="642">
                  <c:v>145.91999999999999</c:v>
                </c:pt>
                <c:pt idx="643">
                  <c:v>147.13999999999999</c:v>
                </c:pt>
                <c:pt idx="644">
                  <c:v>148.94999999999999</c:v>
                </c:pt>
                <c:pt idx="645">
                  <c:v>148.94999999999999</c:v>
                </c:pt>
                <c:pt idx="646">
                  <c:v>149.99</c:v>
                </c:pt>
                <c:pt idx="647">
                  <c:v>150.6</c:v>
                </c:pt>
                <c:pt idx="648">
                  <c:v>150.38</c:v>
                </c:pt>
                <c:pt idx="649">
                  <c:v>148.69</c:v>
                </c:pt>
                <c:pt idx="650">
                  <c:v>149.87</c:v>
                </c:pt>
                <c:pt idx="651">
                  <c:v>150.43</c:v>
                </c:pt>
                <c:pt idx="652">
                  <c:v>151.33000000000001</c:v>
                </c:pt>
                <c:pt idx="653">
                  <c:v>150.91</c:v>
                </c:pt>
                <c:pt idx="654">
                  <c:v>150.96</c:v>
                </c:pt>
                <c:pt idx="655">
                  <c:v>151.29</c:v>
                </c:pt>
                <c:pt idx="656">
                  <c:v>148.44</c:v>
                </c:pt>
                <c:pt idx="657">
                  <c:v>149.16999999999999</c:v>
                </c:pt>
                <c:pt idx="658">
                  <c:v>149.93</c:v>
                </c:pt>
                <c:pt idx="659">
                  <c:v>149.19</c:v>
                </c:pt>
                <c:pt idx="660">
                  <c:v>148.57</c:v>
                </c:pt>
                <c:pt idx="661">
                  <c:v>149.56</c:v>
                </c:pt>
                <c:pt idx="662">
                  <c:v>150.04</c:v>
                </c:pt>
                <c:pt idx="663">
                  <c:v>149.41</c:v>
                </c:pt>
                <c:pt idx="664">
                  <c:v>148.36000000000001</c:v>
                </c:pt>
                <c:pt idx="665">
                  <c:v>147.09</c:v>
                </c:pt>
                <c:pt idx="666">
                  <c:v>146.63</c:v>
                </c:pt>
                <c:pt idx="667">
                  <c:v>147.56</c:v>
                </c:pt>
                <c:pt idx="668">
                  <c:v>147.94</c:v>
                </c:pt>
                <c:pt idx="669">
                  <c:v>147.32</c:v>
                </c:pt>
                <c:pt idx="670">
                  <c:v>147.21</c:v>
                </c:pt>
                <c:pt idx="671">
                  <c:v>148.53</c:v>
                </c:pt>
                <c:pt idx="672">
                  <c:v>149.12</c:v>
                </c:pt>
                <c:pt idx="673">
                  <c:v>148.63</c:v>
                </c:pt>
                <c:pt idx="674">
                  <c:v>147.57</c:v>
                </c:pt>
                <c:pt idx="675">
                  <c:v>147.38999999999999</c:v>
                </c:pt>
                <c:pt idx="676">
                  <c:v>147.71</c:v>
                </c:pt>
                <c:pt idx="677">
                  <c:v>150.32</c:v>
                </c:pt>
                <c:pt idx="678">
                  <c:v>153.51</c:v>
                </c:pt>
                <c:pt idx="679">
                  <c:v>153.59</c:v>
                </c:pt>
                <c:pt idx="680">
                  <c:v>153.84</c:v>
                </c:pt>
                <c:pt idx="681">
                  <c:v>155.58000000000001</c:v>
                </c:pt>
                <c:pt idx="682">
                  <c:v>153.30000000000001</c:v>
                </c:pt>
                <c:pt idx="683">
                  <c:v>151.19999999999999</c:v>
                </c:pt>
                <c:pt idx="684">
                  <c:v>150.69999999999999</c:v>
                </c:pt>
                <c:pt idx="685">
                  <c:v>153.61000000000001</c:v>
                </c:pt>
                <c:pt idx="686">
                  <c:v>152.85</c:v>
                </c:pt>
                <c:pt idx="687">
                  <c:v>154.88999999999999</c:v>
                </c:pt>
                <c:pt idx="688">
                  <c:v>155.47999999999999</c:v>
                </c:pt>
                <c:pt idx="689">
                  <c:v>154.47</c:v>
                </c:pt>
                <c:pt idx="690">
                  <c:v>155.35</c:v>
                </c:pt>
                <c:pt idx="691">
                  <c:v>156.84</c:v>
                </c:pt>
                <c:pt idx="692">
                  <c:v>154.13</c:v>
                </c:pt>
                <c:pt idx="693">
                  <c:v>154.69999999999999</c:v>
                </c:pt>
                <c:pt idx="694">
                  <c:v>155.71</c:v>
                </c:pt>
                <c:pt idx="695">
                  <c:v>156.09</c:v>
                </c:pt>
                <c:pt idx="696">
                  <c:v>155.13</c:v>
                </c:pt>
                <c:pt idx="697">
                  <c:v>153.69999999999999</c:v>
                </c:pt>
                <c:pt idx="698">
                  <c:v>151.94999999999999</c:v>
                </c:pt>
                <c:pt idx="699">
                  <c:v>151.80000000000001</c:v>
                </c:pt>
                <c:pt idx="700">
                  <c:v>150.63</c:v>
                </c:pt>
                <c:pt idx="701">
                  <c:v>150.4</c:v>
                </c:pt>
                <c:pt idx="702">
                  <c:v>151.88999999999999</c:v>
                </c:pt>
                <c:pt idx="703">
                  <c:v>153.79</c:v>
                </c:pt>
                <c:pt idx="704">
                  <c:v>153.16999999999999</c:v>
                </c:pt>
                <c:pt idx="705">
                  <c:v>152.07</c:v>
                </c:pt>
                <c:pt idx="706">
                  <c:v>155.74</c:v>
                </c:pt>
                <c:pt idx="707">
                  <c:v>152.72999999999999</c:v>
                </c:pt>
                <c:pt idx="708">
                  <c:v>153.47999999999999</c:v>
                </c:pt>
                <c:pt idx="709">
                  <c:v>152.38</c:v>
                </c:pt>
                <c:pt idx="710">
                  <c:v>151.66999999999999</c:v>
                </c:pt>
                <c:pt idx="711">
                  <c:v>147.43</c:v>
                </c:pt>
                <c:pt idx="712">
                  <c:v>146.84</c:v>
                </c:pt>
                <c:pt idx="713">
                  <c:v>147.36000000000001</c:v>
                </c:pt>
                <c:pt idx="714">
                  <c:v>149.13</c:v>
                </c:pt>
                <c:pt idx="715">
                  <c:v>149.53</c:v>
                </c:pt>
                <c:pt idx="716">
                  <c:v>150.1</c:v>
                </c:pt>
                <c:pt idx="717">
                  <c:v>150.91999999999999</c:v>
                </c:pt>
                <c:pt idx="718">
                  <c:v>148.58000000000001</c:v>
                </c:pt>
                <c:pt idx="719">
                  <c:v>149.83000000000001</c:v>
                </c:pt>
                <c:pt idx="720">
                  <c:v>150.88</c:v>
                </c:pt>
                <c:pt idx="721">
                  <c:v>150.85</c:v>
                </c:pt>
                <c:pt idx="722">
                  <c:v>151.75</c:v>
                </c:pt>
                <c:pt idx="723">
                  <c:v>150.58000000000001</c:v>
                </c:pt>
                <c:pt idx="724">
                  <c:v>152.24</c:v>
                </c:pt>
                <c:pt idx="725">
                  <c:v>153.68</c:v>
                </c:pt>
                <c:pt idx="726">
                  <c:v>150.59</c:v>
                </c:pt>
                <c:pt idx="727">
                  <c:v>150.77000000000001</c:v>
                </c:pt>
                <c:pt idx="728">
                  <c:v>151.19999999999999</c:v>
                </c:pt>
                <c:pt idx="729">
                  <c:v>149.56</c:v>
                </c:pt>
                <c:pt idx="730">
                  <c:v>147.65</c:v>
                </c:pt>
                <c:pt idx="731">
                  <c:v>147.54</c:v>
                </c:pt>
                <c:pt idx="732">
                  <c:v>149.19</c:v>
                </c:pt>
                <c:pt idx="733">
                  <c:v>151.81</c:v>
                </c:pt>
                <c:pt idx="734">
                  <c:v>153.09</c:v>
                </c:pt>
                <c:pt idx="735">
                  <c:v>154.22999999999999</c:v>
                </c:pt>
                <c:pt idx="736">
                  <c:v>152.52000000000001</c:v>
                </c:pt>
                <c:pt idx="737">
                  <c:v>152.74</c:v>
                </c:pt>
                <c:pt idx="738">
                  <c:v>151.51</c:v>
                </c:pt>
                <c:pt idx="739">
                  <c:v>150.19</c:v>
                </c:pt>
                <c:pt idx="740">
                  <c:v>148.63999999999999</c:v>
                </c:pt>
                <c:pt idx="741">
                  <c:v>147.61000000000001</c:v>
                </c:pt>
                <c:pt idx="742">
                  <c:v>146.88999999999999</c:v>
                </c:pt>
                <c:pt idx="743">
                  <c:v>145.19</c:v>
                </c:pt>
                <c:pt idx="744">
                  <c:v>145.33000000000001</c:v>
                </c:pt>
                <c:pt idx="745">
                  <c:v>142.32</c:v>
                </c:pt>
              </c:numCache>
            </c:numRef>
          </c:val>
          <c:smooth val="0"/>
          <c:extLst>
            <c:ext xmlns:c16="http://schemas.microsoft.com/office/drawing/2014/chart" uri="{C3380CC4-5D6E-409C-BE32-E72D297353CC}">
              <c16:uniqueId val="{00000000-21C5-419D-A65E-660A2EA05978}"/>
            </c:ext>
          </c:extLst>
        </c:ser>
        <c:dLbls>
          <c:showLegendKey val="0"/>
          <c:showVal val="0"/>
          <c:showCatName val="0"/>
          <c:showSerName val="0"/>
          <c:showPercent val="0"/>
          <c:showBubbleSize val="0"/>
        </c:dLbls>
        <c:smooth val="0"/>
        <c:axId val="1230689312"/>
        <c:axId val="1230693888"/>
      </c:lineChart>
      <c:dateAx>
        <c:axId val="1230689312"/>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30693888"/>
        <c:crosses val="autoZero"/>
        <c:auto val="1"/>
        <c:lblOffset val="100"/>
        <c:baseTimeUnit val="days"/>
      </c:dateAx>
      <c:valAx>
        <c:axId val="123069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30689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5</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19</cp:revision>
  <dcterms:created xsi:type="dcterms:W3CDTF">2024-05-06T01:46:00Z</dcterms:created>
  <dcterms:modified xsi:type="dcterms:W3CDTF">2024-05-07T00:50:00Z</dcterms:modified>
</cp:coreProperties>
</file>