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55D02">
        <w:rPr>
          <w:rFonts w:ascii="微软雅黑" w:eastAsia="微软雅黑" w:hAnsi="微软雅黑" w:cs="微软雅黑"/>
          <w:b/>
          <w:bCs/>
          <w:color w:val="005D97"/>
          <w:spacing w:val="-22"/>
          <w:sz w:val="48"/>
          <w:szCs w:val="48"/>
          <w:lang w:eastAsia="zh-CN"/>
        </w:rPr>
        <w:t>12</w:t>
      </w:r>
      <w:r>
        <w:rPr>
          <w:rFonts w:ascii="微软雅黑" w:eastAsia="微软雅黑" w:hAnsi="微软雅黑" w:cs="微软雅黑"/>
          <w:b/>
          <w:bCs/>
          <w:color w:val="005D97"/>
          <w:spacing w:val="-22"/>
          <w:sz w:val="48"/>
          <w:szCs w:val="48"/>
          <w:lang w:eastAsia="zh-CN"/>
        </w:rPr>
        <w:t>月</w:t>
      </w:r>
      <w:r w:rsidR="003F1B2F">
        <w:rPr>
          <w:rFonts w:ascii="微软雅黑" w:eastAsia="微软雅黑" w:hAnsi="微软雅黑" w:cs="微软雅黑"/>
          <w:b/>
          <w:bCs/>
          <w:color w:val="005D97"/>
          <w:spacing w:val="-22"/>
          <w:sz w:val="48"/>
          <w:szCs w:val="48"/>
          <w:lang w:eastAsia="zh-CN"/>
        </w:rPr>
        <w:t>1</w:t>
      </w:r>
      <w:r w:rsidR="003C54B8">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3C54B8">
      <w:pPr>
        <w:spacing w:before="103" w:line="257" w:lineRule="auto"/>
        <w:ind w:right="584" w:firstLineChars="200" w:firstLine="468"/>
        <w:jc w:val="both"/>
        <w:rPr>
          <w:rFonts w:ascii="微软雅黑" w:eastAsia="微软雅黑" w:hAnsi="微软雅黑" w:cs="微软雅黑"/>
          <w:spacing w:val="12"/>
          <w:lang w:eastAsia="zh-CN"/>
        </w:rPr>
      </w:pPr>
      <w:r w:rsidRPr="003C54B8">
        <w:rPr>
          <w:rFonts w:ascii="微软雅黑" w:eastAsia="微软雅黑" w:hAnsi="微软雅黑" w:cs="微软雅黑" w:hint="eastAsia"/>
          <w:spacing w:val="12"/>
          <w:lang w:eastAsia="zh-CN"/>
        </w:rPr>
        <w:t>美国三大股指全线收跌，道指跌</w:t>
      </w:r>
      <w:r w:rsidRPr="003C54B8">
        <w:rPr>
          <w:rFonts w:ascii="微软雅黑" w:eastAsia="微软雅黑" w:hAnsi="微软雅黑" w:cs="微软雅黑"/>
          <w:spacing w:val="12"/>
          <w:lang w:eastAsia="zh-CN"/>
        </w:rPr>
        <w:t>2.58%</w:t>
      </w:r>
      <w:r w:rsidRPr="003C54B8">
        <w:rPr>
          <w:rFonts w:ascii="微软雅黑" w:eastAsia="微软雅黑" w:hAnsi="微软雅黑" w:cs="微软雅黑" w:hint="eastAsia"/>
          <w:spacing w:val="12"/>
          <w:lang w:eastAsia="zh-CN"/>
        </w:rPr>
        <w:t>报</w:t>
      </w:r>
      <w:r w:rsidRPr="003C54B8">
        <w:rPr>
          <w:rFonts w:ascii="微软雅黑" w:eastAsia="微软雅黑" w:hAnsi="微软雅黑" w:cs="微软雅黑"/>
          <w:spacing w:val="12"/>
          <w:lang w:eastAsia="zh-CN"/>
        </w:rPr>
        <w:t>42326.87</w:t>
      </w:r>
      <w:r w:rsidRPr="003C54B8">
        <w:rPr>
          <w:rFonts w:ascii="微软雅黑" w:eastAsia="微软雅黑" w:hAnsi="微软雅黑" w:cs="微软雅黑" w:hint="eastAsia"/>
          <w:spacing w:val="12"/>
          <w:lang w:eastAsia="zh-CN"/>
        </w:rPr>
        <w:t>点，标普</w:t>
      </w:r>
      <w:r w:rsidRPr="003C54B8">
        <w:rPr>
          <w:rFonts w:ascii="微软雅黑" w:eastAsia="微软雅黑" w:hAnsi="微软雅黑" w:cs="微软雅黑"/>
          <w:spacing w:val="12"/>
          <w:lang w:eastAsia="zh-CN"/>
        </w:rPr>
        <w:t>500</w:t>
      </w:r>
      <w:r w:rsidRPr="003C54B8">
        <w:rPr>
          <w:rFonts w:ascii="微软雅黑" w:eastAsia="微软雅黑" w:hAnsi="微软雅黑" w:cs="微软雅黑" w:hint="eastAsia"/>
          <w:spacing w:val="12"/>
          <w:lang w:eastAsia="zh-CN"/>
        </w:rPr>
        <w:t>指数跌</w:t>
      </w:r>
      <w:r w:rsidRPr="003C54B8">
        <w:rPr>
          <w:rFonts w:ascii="微软雅黑" w:eastAsia="微软雅黑" w:hAnsi="微软雅黑" w:cs="微软雅黑"/>
          <w:spacing w:val="12"/>
          <w:lang w:eastAsia="zh-CN"/>
        </w:rPr>
        <w:t>2.95%</w:t>
      </w:r>
      <w:r w:rsidRPr="003C54B8">
        <w:rPr>
          <w:rFonts w:ascii="微软雅黑" w:eastAsia="微软雅黑" w:hAnsi="微软雅黑" w:cs="微软雅黑" w:hint="eastAsia"/>
          <w:spacing w:val="12"/>
          <w:lang w:eastAsia="zh-CN"/>
        </w:rPr>
        <w:t>报</w:t>
      </w:r>
      <w:r w:rsidRPr="003C54B8">
        <w:rPr>
          <w:rFonts w:ascii="微软雅黑" w:eastAsia="微软雅黑" w:hAnsi="微软雅黑" w:cs="微软雅黑"/>
          <w:spacing w:val="12"/>
          <w:lang w:eastAsia="zh-CN"/>
        </w:rPr>
        <w:t>5872.16</w:t>
      </w:r>
      <w:r w:rsidRPr="003C54B8">
        <w:rPr>
          <w:rFonts w:ascii="微软雅黑" w:eastAsia="微软雅黑" w:hAnsi="微软雅黑" w:cs="微软雅黑" w:hint="eastAsia"/>
          <w:spacing w:val="12"/>
          <w:lang w:eastAsia="zh-CN"/>
        </w:rPr>
        <w:t>点，纳指跌</w:t>
      </w:r>
      <w:r w:rsidRPr="003C54B8">
        <w:rPr>
          <w:rFonts w:ascii="微软雅黑" w:eastAsia="微软雅黑" w:hAnsi="微软雅黑" w:cs="微软雅黑"/>
          <w:spacing w:val="12"/>
          <w:lang w:eastAsia="zh-CN"/>
        </w:rPr>
        <w:t>3.56%</w:t>
      </w:r>
      <w:r w:rsidRPr="003C54B8">
        <w:rPr>
          <w:rFonts w:ascii="微软雅黑" w:eastAsia="微软雅黑" w:hAnsi="微软雅黑" w:cs="微软雅黑" w:hint="eastAsia"/>
          <w:spacing w:val="12"/>
          <w:lang w:eastAsia="zh-CN"/>
        </w:rPr>
        <w:t>报</w:t>
      </w:r>
      <w:r w:rsidRPr="003C54B8">
        <w:rPr>
          <w:rFonts w:ascii="微软雅黑" w:eastAsia="微软雅黑" w:hAnsi="微软雅黑" w:cs="微软雅黑"/>
          <w:spacing w:val="12"/>
          <w:lang w:eastAsia="zh-CN"/>
        </w:rPr>
        <w:t>19392.69</w:t>
      </w:r>
      <w:r w:rsidRPr="003C54B8">
        <w:rPr>
          <w:rFonts w:ascii="微软雅黑" w:eastAsia="微软雅黑" w:hAnsi="微软雅黑" w:cs="微软雅黑" w:hint="eastAsia"/>
          <w:spacing w:val="12"/>
          <w:lang w:eastAsia="zh-CN"/>
        </w:rPr>
        <w:t>点。其中，道指录得十连跌，为</w:t>
      </w:r>
      <w:r w:rsidRPr="003C54B8">
        <w:rPr>
          <w:rFonts w:ascii="微软雅黑" w:eastAsia="微软雅黑" w:hAnsi="微软雅黑" w:cs="微软雅黑"/>
          <w:spacing w:val="12"/>
          <w:lang w:eastAsia="zh-CN"/>
        </w:rPr>
        <w:t>1974</w:t>
      </w:r>
      <w:r w:rsidRPr="003C54B8">
        <w:rPr>
          <w:rFonts w:ascii="微软雅黑" w:eastAsia="微软雅黑" w:hAnsi="微软雅黑" w:cs="微软雅黑" w:hint="eastAsia"/>
          <w:spacing w:val="12"/>
          <w:lang w:eastAsia="zh-CN"/>
        </w:rPr>
        <w:t>年</w:t>
      </w:r>
      <w:r w:rsidRPr="003C54B8">
        <w:rPr>
          <w:rFonts w:ascii="微软雅黑" w:eastAsia="微软雅黑" w:hAnsi="微软雅黑" w:cs="微软雅黑"/>
          <w:spacing w:val="12"/>
          <w:lang w:eastAsia="zh-CN"/>
        </w:rPr>
        <w:t>10</w:t>
      </w:r>
      <w:r w:rsidRPr="003C54B8">
        <w:rPr>
          <w:rFonts w:ascii="微软雅黑" w:eastAsia="微软雅黑" w:hAnsi="微软雅黑" w:cs="微软雅黑" w:hint="eastAsia"/>
          <w:spacing w:val="12"/>
          <w:lang w:eastAsia="zh-CN"/>
        </w:rPr>
        <w:t>月以来最长连跌。美元指数涨</w:t>
      </w:r>
      <w:r w:rsidRPr="003C54B8">
        <w:rPr>
          <w:rFonts w:ascii="微软雅黑" w:eastAsia="微软雅黑" w:hAnsi="微软雅黑" w:cs="微软雅黑"/>
          <w:spacing w:val="12"/>
          <w:lang w:eastAsia="zh-CN"/>
        </w:rPr>
        <w:t>1.23%</w:t>
      </w:r>
      <w:r w:rsidRPr="003C54B8">
        <w:rPr>
          <w:rFonts w:ascii="微软雅黑" w:eastAsia="微软雅黑" w:hAnsi="微软雅黑" w:cs="微软雅黑" w:hint="eastAsia"/>
          <w:spacing w:val="12"/>
          <w:lang w:eastAsia="zh-CN"/>
        </w:rPr>
        <w:t>报</w:t>
      </w:r>
      <w:r w:rsidRPr="003C54B8">
        <w:rPr>
          <w:rFonts w:ascii="微软雅黑" w:eastAsia="微软雅黑" w:hAnsi="微软雅黑" w:cs="微软雅黑"/>
          <w:spacing w:val="12"/>
          <w:lang w:eastAsia="zh-CN"/>
        </w:rPr>
        <w:t>108.26</w:t>
      </w:r>
      <w:r w:rsidRPr="003C54B8">
        <w:rPr>
          <w:rFonts w:ascii="微软雅黑" w:eastAsia="微软雅黑" w:hAnsi="微软雅黑" w:cs="微软雅黑" w:hint="eastAsia"/>
          <w:spacing w:val="12"/>
          <w:lang w:eastAsia="zh-CN"/>
        </w:rPr>
        <w:t>，非美货币普遍下跌，欧元兑美元跌</w:t>
      </w:r>
      <w:r w:rsidRPr="003C54B8">
        <w:rPr>
          <w:rFonts w:ascii="微软雅黑" w:eastAsia="微软雅黑" w:hAnsi="微软雅黑" w:cs="微软雅黑"/>
          <w:spacing w:val="12"/>
          <w:lang w:eastAsia="zh-CN"/>
        </w:rPr>
        <w:t>1.32%</w:t>
      </w:r>
      <w:r w:rsidRPr="003C54B8">
        <w:rPr>
          <w:rFonts w:ascii="微软雅黑" w:eastAsia="微软雅黑" w:hAnsi="微软雅黑" w:cs="微软雅黑" w:hint="eastAsia"/>
          <w:spacing w:val="12"/>
          <w:lang w:eastAsia="zh-CN"/>
        </w:rPr>
        <w:t>报</w:t>
      </w:r>
      <w:r w:rsidRPr="003C54B8">
        <w:rPr>
          <w:rFonts w:ascii="微软雅黑" w:eastAsia="微软雅黑" w:hAnsi="微软雅黑" w:cs="微软雅黑"/>
          <w:spacing w:val="12"/>
          <w:lang w:eastAsia="zh-CN"/>
        </w:rPr>
        <w:t>1.0353</w:t>
      </w:r>
      <w:r w:rsidRPr="003C54B8">
        <w:rPr>
          <w:rFonts w:ascii="微软雅黑" w:eastAsia="微软雅黑" w:hAnsi="微软雅黑" w:cs="微软雅黑" w:hint="eastAsia"/>
          <w:spacing w:val="12"/>
          <w:lang w:eastAsia="zh-CN"/>
        </w:rPr>
        <w:t>，英镑兑美元跌</w:t>
      </w:r>
      <w:r w:rsidRPr="003C54B8">
        <w:rPr>
          <w:rFonts w:ascii="微软雅黑" w:eastAsia="微软雅黑" w:hAnsi="微软雅黑" w:cs="微软雅黑"/>
          <w:spacing w:val="12"/>
          <w:lang w:eastAsia="zh-CN"/>
        </w:rPr>
        <w:t>1.06%</w:t>
      </w:r>
      <w:r w:rsidRPr="003C54B8">
        <w:rPr>
          <w:rFonts w:ascii="微软雅黑" w:eastAsia="微软雅黑" w:hAnsi="微软雅黑" w:cs="微软雅黑" w:hint="eastAsia"/>
          <w:spacing w:val="12"/>
          <w:lang w:eastAsia="zh-CN"/>
        </w:rPr>
        <w:t>报</w:t>
      </w:r>
      <w:r w:rsidRPr="003C54B8">
        <w:rPr>
          <w:rFonts w:ascii="微软雅黑" w:eastAsia="微软雅黑" w:hAnsi="微软雅黑" w:cs="微软雅黑"/>
          <w:spacing w:val="12"/>
          <w:lang w:eastAsia="zh-CN"/>
        </w:rPr>
        <w:t>1.2576</w:t>
      </w:r>
      <w:r w:rsidRPr="003C54B8">
        <w:rPr>
          <w:rFonts w:ascii="微软雅黑" w:eastAsia="微软雅黑" w:hAnsi="微软雅黑" w:cs="微软雅黑" w:hint="eastAsia"/>
          <w:spacing w:val="12"/>
          <w:lang w:eastAsia="zh-CN"/>
        </w:rPr>
        <w:t>，离岸人民币对美元跌</w:t>
      </w:r>
      <w:r w:rsidRPr="003C54B8">
        <w:rPr>
          <w:rFonts w:ascii="微软雅黑" w:eastAsia="微软雅黑" w:hAnsi="微软雅黑" w:cs="微软雅黑"/>
          <w:spacing w:val="12"/>
          <w:lang w:eastAsia="zh-CN"/>
        </w:rPr>
        <w:t>367</w:t>
      </w:r>
      <w:r w:rsidRPr="003C54B8">
        <w:rPr>
          <w:rFonts w:ascii="微软雅黑" w:eastAsia="微软雅黑" w:hAnsi="微软雅黑" w:cs="微软雅黑" w:hint="eastAsia"/>
          <w:spacing w:val="12"/>
          <w:lang w:eastAsia="zh-CN"/>
        </w:rPr>
        <w:t>个基点报</w:t>
      </w:r>
      <w:r w:rsidRPr="003C54B8">
        <w:rPr>
          <w:rFonts w:ascii="微软雅黑" w:eastAsia="微软雅黑" w:hAnsi="微软雅黑" w:cs="微软雅黑"/>
          <w:spacing w:val="12"/>
          <w:lang w:eastAsia="zh-CN"/>
        </w:rPr>
        <w:t>7.3247</w:t>
      </w:r>
      <w:r w:rsidRPr="003C54B8">
        <w:rPr>
          <w:rFonts w:ascii="微软雅黑" w:eastAsia="微软雅黑" w:hAnsi="微软雅黑" w:cs="微软雅黑" w:hint="eastAsia"/>
          <w:spacing w:val="12"/>
          <w:lang w:eastAsia="zh-CN"/>
        </w:rPr>
        <w:t>。国际油价小幅下跌，美油</w:t>
      </w:r>
      <w:r w:rsidRPr="003C54B8">
        <w:rPr>
          <w:rFonts w:ascii="微软雅黑" w:eastAsia="微软雅黑" w:hAnsi="微软雅黑" w:cs="微软雅黑"/>
          <w:spacing w:val="12"/>
          <w:lang w:eastAsia="zh-CN"/>
        </w:rPr>
        <w:t>2025</w:t>
      </w:r>
      <w:r w:rsidRPr="003C54B8">
        <w:rPr>
          <w:rFonts w:ascii="微软雅黑" w:eastAsia="微软雅黑" w:hAnsi="微软雅黑" w:cs="微软雅黑" w:hint="eastAsia"/>
          <w:spacing w:val="12"/>
          <w:lang w:eastAsia="zh-CN"/>
        </w:rPr>
        <w:t>年</w:t>
      </w:r>
      <w:r w:rsidRPr="003C54B8">
        <w:rPr>
          <w:rFonts w:ascii="微软雅黑" w:eastAsia="微软雅黑" w:hAnsi="微软雅黑" w:cs="微软雅黑"/>
          <w:spacing w:val="12"/>
          <w:lang w:eastAsia="zh-CN"/>
        </w:rPr>
        <w:t>2</w:t>
      </w:r>
      <w:r w:rsidRPr="003C54B8">
        <w:rPr>
          <w:rFonts w:ascii="微软雅黑" w:eastAsia="微软雅黑" w:hAnsi="微软雅黑" w:cs="微软雅黑" w:hint="eastAsia"/>
          <w:spacing w:val="12"/>
          <w:lang w:eastAsia="zh-CN"/>
        </w:rPr>
        <w:t>月合约跌</w:t>
      </w:r>
      <w:r w:rsidRPr="003C54B8">
        <w:rPr>
          <w:rFonts w:ascii="微软雅黑" w:eastAsia="微软雅黑" w:hAnsi="微软雅黑" w:cs="微软雅黑"/>
          <w:spacing w:val="12"/>
          <w:lang w:eastAsia="zh-CN"/>
        </w:rPr>
        <w:t>0.29%</w:t>
      </w:r>
      <w:r w:rsidRPr="003C54B8">
        <w:rPr>
          <w:rFonts w:ascii="微软雅黑" w:eastAsia="微软雅黑" w:hAnsi="微软雅黑" w:cs="微软雅黑" w:hint="eastAsia"/>
          <w:spacing w:val="12"/>
          <w:lang w:eastAsia="zh-CN"/>
        </w:rPr>
        <w:t>，报</w:t>
      </w:r>
      <w:r w:rsidRPr="003C54B8">
        <w:rPr>
          <w:rFonts w:ascii="微软雅黑" w:eastAsia="微软雅黑" w:hAnsi="微软雅黑" w:cs="微软雅黑"/>
          <w:spacing w:val="12"/>
          <w:lang w:eastAsia="zh-CN"/>
        </w:rPr>
        <w:t>69.45</w:t>
      </w:r>
      <w:r w:rsidRPr="003C54B8">
        <w:rPr>
          <w:rFonts w:ascii="微软雅黑" w:eastAsia="微软雅黑" w:hAnsi="微软雅黑" w:cs="微软雅黑" w:hint="eastAsia"/>
          <w:spacing w:val="12"/>
          <w:lang w:eastAsia="zh-CN"/>
        </w:rPr>
        <w:t>美元</w:t>
      </w:r>
      <w:r w:rsidRPr="003C54B8">
        <w:rPr>
          <w:rFonts w:ascii="微软雅黑" w:eastAsia="微软雅黑" w:hAnsi="微软雅黑" w:cs="微软雅黑"/>
          <w:spacing w:val="12"/>
          <w:lang w:eastAsia="zh-CN"/>
        </w:rPr>
        <w:t>/</w:t>
      </w:r>
      <w:r w:rsidRPr="003C54B8">
        <w:rPr>
          <w:rFonts w:ascii="微软雅黑" w:eastAsia="微软雅黑" w:hAnsi="微软雅黑" w:cs="微软雅黑" w:hint="eastAsia"/>
          <w:spacing w:val="12"/>
          <w:lang w:eastAsia="zh-CN"/>
        </w:rPr>
        <w:t>桶。布油</w:t>
      </w:r>
      <w:r w:rsidRPr="003C54B8">
        <w:rPr>
          <w:rFonts w:ascii="微软雅黑" w:eastAsia="微软雅黑" w:hAnsi="微软雅黑" w:cs="微软雅黑"/>
          <w:spacing w:val="12"/>
          <w:lang w:eastAsia="zh-CN"/>
        </w:rPr>
        <w:t>2025</w:t>
      </w:r>
      <w:r w:rsidRPr="003C54B8">
        <w:rPr>
          <w:rFonts w:ascii="微软雅黑" w:eastAsia="微软雅黑" w:hAnsi="微软雅黑" w:cs="微软雅黑" w:hint="eastAsia"/>
          <w:spacing w:val="12"/>
          <w:lang w:eastAsia="zh-CN"/>
        </w:rPr>
        <w:t>年</w:t>
      </w:r>
      <w:r w:rsidRPr="003C54B8">
        <w:rPr>
          <w:rFonts w:ascii="微软雅黑" w:eastAsia="微软雅黑" w:hAnsi="微软雅黑" w:cs="微软雅黑"/>
          <w:spacing w:val="12"/>
          <w:lang w:eastAsia="zh-CN"/>
        </w:rPr>
        <w:t>2</w:t>
      </w:r>
      <w:r w:rsidRPr="003C54B8">
        <w:rPr>
          <w:rFonts w:ascii="微软雅黑" w:eastAsia="微软雅黑" w:hAnsi="微软雅黑" w:cs="微软雅黑" w:hint="eastAsia"/>
          <w:spacing w:val="12"/>
          <w:lang w:eastAsia="zh-CN"/>
        </w:rPr>
        <w:t>月合约跌</w:t>
      </w:r>
      <w:r w:rsidRPr="003C54B8">
        <w:rPr>
          <w:rFonts w:ascii="微软雅黑" w:eastAsia="微软雅黑" w:hAnsi="微软雅黑" w:cs="微软雅黑"/>
          <w:spacing w:val="12"/>
          <w:lang w:eastAsia="zh-CN"/>
        </w:rPr>
        <w:t>0.4%</w:t>
      </w:r>
      <w:r w:rsidRPr="003C54B8">
        <w:rPr>
          <w:rFonts w:ascii="微软雅黑" w:eastAsia="微软雅黑" w:hAnsi="微软雅黑" w:cs="微软雅黑" w:hint="eastAsia"/>
          <w:spacing w:val="12"/>
          <w:lang w:eastAsia="zh-CN"/>
        </w:rPr>
        <w:t>，报</w:t>
      </w:r>
      <w:r w:rsidRPr="003C54B8">
        <w:rPr>
          <w:rFonts w:ascii="微软雅黑" w:eastAsia="微软雅黑" w:hAnsi="微软雅黑" w:cs="微软雅黑"/>
          <w:spacing w:val="12"/>
          <w:lang w:eastAsia="zh-CN"/>
        </w:rPr>
        <w:t>72.90</w:t>
      </w:r>
      <w:r w:rsidRPr="003C54B8">
        <w:rPr>
          <w:rFonts w:ascii="微软雅黑" w:eastAsia="微软雅黑" w:hAnsi="微软雅黑" w:cs="微软雅黑" w:hint="eastAsia"/>
          <w:spacing w:val="12"/>
          <w:lang w:eastAsia="zh-CN"/>
        </w:rPr>
        <w:t>美元</w:t>
      </w:r>
      <w:r w:rsidRPr="003C54B8">
        <w:rPr>
          <w:rFonts w:ascii="微软雅黑" w:eastAsia="微软雅黑" w:hAnsi="微软雅黑" w:cs="微软雅黑"/>
          <w:spacing w:val="12"/>
          <w:lang w:eastAsia="zh-CN"/>
        </w:rPr>
        <w:t>/</w:t>
      </w:r>
      <w:r w:rsidRPr="003C54B8">
        <w:rPr>
          <w:rFonts w:ascii="微软雅黑" w:eastAsia="微软雅黑" w:hAnsi="微软雅黑" w:cs="微软雅黑" w:hint="eastAsia"/>
          <w:spacing w:val="12"/>
          <w:lang w:eastAsia="zh-CN"/>
        </w:rPr>
        <w:t>桶。国际贵金属期货大幅收跌，</w:t>
      </w:r>
      <w:r w:rsidRPr="003C54B8">
        <w:rPr>
          <w:rFonts w:ascii="微软雅黑" w:eastAsia="微软雅黑" w:hAnsi="微软雅黑" w:cs="微软雅黑"/>
          <w:spacing w:val="12"/>
          <w:lang w:eastAsia="zh-CN"/>
        </w:rPr>
        <w:t>COMEX</w:t>
      </w:r>
      <w:r w:rsidRPr="003C54B8">
        <w:rPr>
          <w:rFonts w:ascii="微软雅黑" w:eastAsia="微软雅黑" w:hAnsi="微软雅黑" w:cs="微软雅黑" w:hint="eastAsia"/>
          <w:spacing w:val="12"/>
          <w:lang w:eastAsia="zh-CN"/>
        </w:rPr>
        <w:t>黄金期货跌</w:t>
      </w:r>
      <w:r w:rsidRPr="003C54B8">
        <w:rPr>
          <w:rFonts w:ascii="微软雅黑" w:eastAsia="微软雅黑" w:hAnsi="微软雅黑" w:cs="微软雅黑"/>
          <w:spacing w:val="12"/>
          <w:lang w:eastAsia="zh-CN"/>
        </w:rPr>
        <w:t>2.34%</w:t>
      </w:r>
      <w:r w:rsidRPr="003C54B8">
        <w:rPr>
          <w:rFonts w:ascii="微软雅黑" w:eastAsia="微软雅黑" w:hAnsi="微软雅黑" w:cs="微软雅黑" w:hint="eastAsia"/>
          <w:spacing w:val="12"/>
          <w:lang w:eastAsia="zh-CN"/>
        </w:rPr>
        <w:t>报</w:t>
      </w:r>
      <w:r w:rsidRPr="003C54B8">
        <w:rPr>
          <w:rFonts w:ascii="微软雅黑" w:eastAsia="微软雅黑" w:hAnsi="微软雅黑" w:cs="微软雅黑"/>
          <w:spacing w:val="12"/>
          <w:lang w:eastAsia="zh-CN"/>
        </w:rPr>
        <w:t>2599.6</w:t>
      </w:r>
      <w:r w:rsidRPr="003C54B8">
        <w:rPr>
          <w:rFonts w:ascii="微软雅黑" w:eastAsia="微软雅黑" w:hAnsi="微软雅黑" w:cs="微软雅黑" w:hint="eastAsia"/>
          <w:spacing w:val="12"/>
          <w:lang w:eastAsia="zh-CN"/>
        </w:rPr>
        <w:t>美元</w:t>
      </w:r>
      <w:r w:rsidRPr="003C54B8">
        <w:rPr>
          <w:rFonts w:ascii="微软雅黑" w:eastAsia="微软雅黑" w:hAnsi="微软雅黑" w:cs="微软雅黑"/>
          <w:spacing w:val="12"/>
          <w:lang w:eastAsia="zh-CN"/>
        </w:rPr>
        <w:t>/</w:t>
      </w:r>
      <w:r w:rsidRPr="003C54B8">
        <w:rPr>
          <w:rFonts w:ascii="微软雅黑" w:eastAsia="微软雅黑" w:hAnsi="微软雅黑" w:cs="微软雅黑" w:hint="eastAsia"/>
          <w:spacing w:val="12"/>
          <w:lang w:eastAsia="zh-CN"/>
        </w:rPr>
        <w:t>盎司，</w:t>
      </w:r>
      <w:r w:rsidRPr="003C54B8">
        <w:rPr>
          <w:rFonts w:ascii="微软雅黑" w:eastAsia="微软雅黑" w:hAnsi="微软雅黑" w:cs="微软雅黑"/>
          <w:spacing w:val="12"/>
          <w:lang w:eastAsia="zh-CN"/>
        </w:rPr>
        <w:t>COMEX</w:t>
      </w:r>
      <w:r w:rsidRPr="003C54B8">
        <w:rPr>
          <w:rFonts w:ascii="微软雅黑" w:eastAsia="微软雅黑" w:hAnsi="微软雅黑" w:cs="微软雅黑" w:hint="eastAsia"/>
          <w:spacing w:val="12"/>
          <w:lang w:eastAsia="zh-CN"/>
        </w:rPr>
        <w:t>白银期货跌</w:t>
      </w:r>
      <w:r w:rsidRPr="003C54B8">
        <w:rPr>
          <w:rFonts w:ascii="微软雅黑" w:eastAsia="微软雅黑" w:hAnsi="微软雅黑" w:cs="微软雅黑"/>
          <w:spacing w:val="12"/>
          <w:lang w:eastAsia="zh-CN"/>
        </w:rPr>
        <w:t>3.61%</w:t>
      </w:r>
      <w:r w:rsidRPr="003C54B8">
        <w:rPr>
          <w:rFonts w:ascii="微软雅黑" w:eastAsia="微软雅黑" w:hAnsi="微软雅黑" w:cs="微软雅黑" w:hint="eastAsia"/>
          <w:spacing w:val="12"/>
          <w:lang w:eastAsia="zh-CN"/>
        </w:rPr>
        <w:t>报</w:t>
      </w:r>
      <w:r w:rsidRPr="003C54B8">
        <w:rPr>
          <w:rFonts w:ascii="微软雅黑" w:eastAsia="微软雅黑" w:hAnsi="微软雅黑" w:cs="微软雅黑"/>
          <w:spacing w:val="12"/>
          <w:lang w:eastAsia="zh-CN"/>
        </w:rPr>
        <w:t>29.805</w:t>
      </w:r>
      <w:r w:rsidRPr="003C54B8">
        <w:rPr>
          <w:rFonts w:ascii="微软雅黑" w:eastAsia="微软雅黑" w:hAnsi="微软雅黑" w:cs="微软雅黑" w:hint="eastAsia"/>
          <w:spacing w:val="12"/>
          <w:lang w:eastAsia="zh-CN"/>
        </w:rPr>
        <w:t>美元</w:t>
      </w:r>
      <w:r w:rsidRPr="003C54B8">
        <w:rPr>
          <w:rFonts w:ascii="微软雅黑" w:eastAsia="微软雅黑" w:hAnsi="微软雅黑" w:cs="微软雅黑"/>
          <w:spacing w:val="12"/>
          <w:lang w:eastAsia="zh-CN"/>
        </w:rPr>
        <w:t>/</w:t>
      </w:r>
      <w:r w:rsidRPr="003C54B8">
        <w:rPr>
          <w:rFonts w:ascii="微软雅黑" w:eastAsia="微软雅黑" w:hAnsi="微软雅黑" w:cs="微软雅黑" w:hint="eastAsia"/>
          <w:spacing w:val="12"/>
          <w:lang w:eastAsia="zh-CN"/>
        </w:rPr>
        <w:t>盎司。</w:t>
      </w:r>
      <w:r w:rsidRPr="003C54B8">
        <w:rPr>
          <w:rFonts w:ascii="微软雅黑" w:eastAsia="微软雅黑" w:hAnsi="微软雅黑" w:cs="微软雅黑"/>
          <w:spacing w:val="12"/>
          <w:lang w:eastAsia="zh-CN"/>
        </w:rPr>
        <w:t>LME</w:t>
      </w:r>
      <w:r w:rsidRPr="003C54B8">
        <w:rPr>
          <w:rFonts w:ascii="微软雅黑" w:eastAsia="微软雅黑" w:hAnsi="微软雅黑" w:cs="微软雅黑" w:hint="eastAsia"/>
          <w:spacing w:val="12"/>
          <w:lang w:eastAsia="zh-CN"/>
        </w:rPr>
        <w:t>期铜涨</w:t>
      </w:r>
      <w:r w:rsidRPr="003C54B8">
        <w:rPr>
          <w:rFonts w:ascii="微软雅黑" w:eastAsia="微软雅黑" w:hAnsi="微软雅黑" w:cs="微软雅黑"/>
          <w:spacing w:val="12"/>
          <w:lang w:eastAsia="zh-CN"/>
        </w:rPr>
        <w:t>0.62%</w:t>
      </w:r>
      <w:r w:rsidRPr="003C54B8">
        <w:rPr>
          <w:rFonts w:ascii="微软雅黑" w:eastAsia="微软雅黑" w:hAnsi="微软雅黑" w:cs="微软雅黑" w:hint="eastAsia"/>
          <w:spacing w:val="12"/>
          <w:lang w:eastAsia="zh-CN"/>
        </w:rPr>
        <w:t>报</w:t>
      </w:r>
      <w:r w:rsidRPr="003C54B8">
        <w:rPr>
          <w:rFonts w:ascii="微软雅黑" w:eastAsia="微软雅黑" w:hAnsi="微软雅黑" w:cs="微软雅黑"/>
          <w:spacing w:val="12"/>
          <w:lang w:eastAsia="zh-CN"/>
        </w:rPr>
        <w:t>9045</w:t>
      </w:r>
      <w:r w:rsidRPr="003C54B8">
        <w:rPr>
          <w:rFonts w:ascii="微软雅黑" w:eastAsia="微软雅黑" w:hAnsi="微软雅黑" w:cs="微软雅黑" w:hint="eastAsia"/>
          <w:spacing w:val="12"/>
          <w:lang w:eastAsia="zh-CN"/>
        </w:rPr>
        <w:t>美元</w:t>
      </w:r>
      <w:r w:rsidRPr="003C54B8">
        <w:rPr>
          <w:rFonts w:ascii="微软雅黑" w:eastAsia="微软雅黑" w:hAnsi="微软雅黑" w:cs="微软雅黑"/>
          <w:spacing w:val="12"/>
          <w:lang w:eastAsia="zh-CN"/>
        </w:rPr>
        <w:t>/</w:t>
      </w:r>
      <w:r w:rsidRPr="003C54B8">
        <w:rPr>
          <w:rFonts w:ascii="微软雅黑" w:eastAsia="微软雅黑" w:hAnsi="微软雅黑" w:cs="微软雅黑" w:hint="eastAsia"/>
          <w:spacing w:val="12"/>
          <w:lang w:eastAsia="zh-CN"/>
        </w:rPr>
        <w:t>吨。</w:t>
      </w:r>
      <w:r w:rsidRPr="003C54B8">
        <w:rPr>
          <w:rFonts w:ascii="微软雅黑" w:eastAsia="微软雅黑" w:hAnsi="微软雅黑" w:cs="微软雅黑"/>
          <w:spacing w:val="12"/>
          <w:lang w:eastAsia="zh-CN"/>
        </w:rPr>
        <w:t>ICE</w:t>
      </w:r>
      <w:r w:rsidRPr="003C54B8">
        <w:rPr>
          <w:rFonts w:ascii="微软雅黑" w:eastAsia="微软雅黑" w:hAnsi="微软雅黑" w:cs="微软雅黑" w:hint="eastAsia"/>
          <w:spacing w:val="12"/>
          <w:lang w:eastAsia="zh-CN"/>
        </w:rPr>
        <w:t>原糖期货跌</w:t>
      </w:r>
      <w:r w:rsidRPr="003C54B8">
        <w:rPr>
          <w:rFonts w:ascii="微软雅黑" w:eastAsia="微软雅黑" w:hAnsi="微软雅黑" w:cs="微软雅黑"/>
          <w:spacing w:val="12"/>
          <w:lang w:eastAsia="zh-CN"/>
        </w:rPr>
        <w:t>1.21%</w:t>
      </w:r>
      <w:r w:rsidRPr="003C54B8">
        <w:rPr>
          <w:rFonts w:ascii="微软雅黑" w:eastAsia="微软雅黑" w:hAnsi="微软雅黑" w:cs="微软雅黑" w:hint="eastAsia"/>
          <w:spacing w:val="12"/>
          <w:lang w:eastAsia="zh-CN"/>
        </w:rPr>
        <w:t>报</w:t>
      </w:r>
      <w:r w:rsidRPr="003C54B8">
        <w:rPr>
          <w:rFonts w:ascii="微软雅黑" w:eastAsia="微软雅黑" w:hAnsi="微软雅黑" w:cs="微软雅黑"/>
          <w:spacing w:val="12"/>
          <w:lang w:eastAsia="zh-CN"/>
        </w:rPr>
        <w:t>19.60</w:t>
      </w:r>
      <w:r w:rsidRPr="003C54B8">
        <w:rPr>
          <w:rFonts w:ascii="微软雅黑" w:eastAsia="微软雅黑" w:hAnsi="微软雅黑" w:cs="微软雅黑" w:hint="eastAsia"/>
          <w:spacing w:val="12"/>
          <w:lang w:eastAsia="zh-CN"/>
        </w:rPr>
        <w:t>美分</w:t>
      </w:r>
      <w:r w:rsidRPr="003C54B8">
        <w:rPr>
          <w:rFonts w:ascii="微软雅黑" w:eastAsia="微软雅黑" w:hAnsi="微软雅黑" w:cs="微软雅黑"/>
          <w:spacing w:val="12"/>
          <w:lang w:eastAsia="zh-CN"/>
        </w:rPr>
        <w:t>/</w:t>
      </w:r>
      <w:r w:rsidRPr="003C54B8">
        <w:rPr>
          <w:rFonts w:ascii="微软雅黑" w:eastAsia="微软雅黑" w:hAnsi="微软雅黑" w:cs="微软雅黑" w:hint="eastAsia"/>
          <w:spacing w:val="12"/>
          <w:lang w:eastAsia="zh-CN"/>
        </w:rPr>
        <w:t>磅，</w:t>
      </w:r>
      <w:r w:rsidRPr="003C54B8">
        <w:rPr>
          <w:rFonts w:ascii="微软雅黑" w:eastAsia="微软雅黑" w:hAnsi="微软雅黑" w:cs="微软雅黑"/>
          <w:spacing w:val="12"/>
          <w:lang w:eastAsia="zh-CN"/>
        </w:rPr>
        <w:t>ICE</w:t>
      </w:r>
      <w:r w:rsidRPr="003C54B8">
        <w:rPr>
          <w:rFonts w:ascii="微软雅黑" w:eastAsia="微软雅黑" w:hAnsi="微软雅黑" w:cs="微软雅黑" w:hint="eastAsia"/>
          <w:spacing w:val="12"/>
          <w:lang w:eastAsia="zh-CN"/>
        </w:rPr>
        <w:t>棉花期货跌</w:t>
      </w:r>
      <w:r w:rsidRPr="003C54B8">
        <w:rPr>
          <w:rFonts w:ascii="微软雅黑" w:eastAsia="微软雅黑" w:hAnsi="微软雅黑" w:cs="微软雅黑"/>
          <w:spacing w:val="12"/>
          <w:lang w:eastAsia="zh-CN"/>
        </w:rPr>
        <w:t>0.84%</w:t>
      </w:r>
      <w:r w:rsidRPr="003C54B8">
        <w:rPr>
          <w:rFonts w:ascii="微软雅黑" w:eastAsia="微软雅黑" w:hAnsi="微软雅黑" w:cs="微软雅黑" w:hint="eastAsia"/>
          <w:spacing w:val="12"/>
          <w:lang w:eastAsia="zh-CN"/>
        </w:rPr>
        <w:t>报</w:t>
      </w:r>
      <w:r w:rsidRPr="003C54B8">
        <w:rPr>
          <w:rFonts w:ascii="微软雅黑" w:eastAsia="微软雅黑" w:hAnsi="微软雅黑" w:cs="微软雅黑"/>
          <w:spacing w:val="12"/>
          <w:lang w:eastAsia="zh-CN"/>
        </w:rPr>
        <w:t>68.11</w:t>
      </w:r>
      <w:r w:rsidRPr="003C54B8">
        <w:rPr>
          <w:rFonts w:ascii="微软雅黑" w:eastAsia="微软雅黑" w:hAnsi="微软雅黑" w:cs="微软雅黑" w:hint="eastAsia"/>
          <w:spacing w:val="12"/>
          <w:lang w:eastAsia="zh-CN"/>
        </w:rPr>
        <w:t>美分</w:t>
      </w:r>
      <w:r w:rsidRPr="003C54B8">
        <w:rPr>
          <w:rFonts w:ascii="微软雅黑" w:eastAsia="微软雅黑" w:hAnsi="微软雅黑" w:cs="微软雅黑"/>
          <w:spacing w:val="12"/>
          <w:lang w:eastAsia="zh-CN"/>
        </w:rPr>
        <w:t>/</w:t>
      </w:r>
      <w:r w:rsidRPr="003C54B8">
        <w:rPr>
          <w:rFonts w:ascii="微软雅黑" w:eastAsia="微软雅黑" w:hAnsi="微软雅黑" w:cs="微软雅黑" w:hint="eastAsia"/>
          <w:spacing w:val="12"/>
          <w:lang w:eastAsia="zh-CN"/>
        </w:rPr>
        <w:t>磅。</w:t>
      </w:r>
    </w:p>
    <w:p w:rsidR="009372C5" w:rsidRPr="006B4BE7" w:rsidRDefault="00115A1A" w:rsidP="006B4BE7">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6B4BE7" w:rsidRPr="006B4BE7" w:rsidRDefault="00B95A11" w:rsidP="0048502E">
      <w:pPr>
        <w:spacing w:before="103" w:line="257" w:lineRule="auto"/>
        <w:ind w:right="584"/>
        <w:jc w:val="both"/>
        <w:rPr>
          <w:rFonts w:eastAsiaTheme="minorEastAsia"/>
          <w:lang w:eastAsia="zh-CN"/>
        </w:rPr>
      </w:pPr>
      <w:r>
        <w:rPr>
          <w:noProof/>
          <w:snapToGrid/>
          <w:lang w:eastAsia="zh-CN"/>
        </w:rPr>
        <w:drawing>
          <wp:inline distT="0" distB="0" distL="0" distR="0" wp14:anchorId="4B4E03D2" wp14:editId="00FAE8CF">
            <wp:extent cx="6573520" cy="4191635"/>
            <wp:effectExtent l="0" t="0" r="17780" b="1841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3C54B8" w:rsidRPr="003C54B8" w:rsidRDefault="003C54B8" w:rsidP="003C54B8">
      <w:pPr>
        <w:spacing w:before="102" w:line="257" w:lineRule="auto"/>
        <w:ind w:right="646" w:firstLineChars="200" w:firstLine="436"/>
        <w:jc w:val="both"/>
        <w:rPr>
          <w:rFonts w:ascii="微软雅黑" w:eastAsia="微软雅黑" w:hAnsi="微软雅黑" w:cs="微软雅黑"/>
          <w:color w:val="auto"/>
          <w:spacing w:val="4"/>
          <w:lang w:eastAsia="zh-CN"/>
        </w:rPr>
      </w:pPr>
      <w:r w:rsidRPr="003C54B8">
        <w:rPr>
          <w:rFonts w:ascii="微软雅黑" w:eastAsia="微软雅黑" w:hAnsi="微软雅黑" w:cs="微软雅黑" w:hint="eastAsia"/>
          <w:color w:val="auto"/>
          <w:spacing w:val="4"/>
          <w:lang w:eastAsia="zh-CN"/>
        </w:rPr>
        <w:t>【美联储如期降息</w:t>
      </w:r>
      <w:r w:rsidRPr="003C54B8">
        <w:rPr>
          <w:rFonts w:ascii="微软雅黑" w:eastAsia="微软雅黑" w:hAnsi="微软雅黑" w:cs="微软雅黑"/>
          <w:color w:val="auto"/>
          <w:spacing w:val="4"/>
          <w:lang w:eastAsia="zh-CN"/>
        </w:rPr>
        <w:t>25</w:t>
      </w:r>
      <w:r w:rsidRPr="003C54B8">
        <w:rPr>
          <w:rFonts w:ascii="微软雅黑" w:eastAsia="微软雅黑" w:hAnsi="微软雅黑" w:cs="微软雅黑" w:hint="eastAsia"/>
          <w:color w:val="auto"/>
          <w:spacing w:val="4"/>
          <w:lang w:eastAsia="zh-CN"/>
        </w:rPr>
        <w:t>个基点，将联邦基金利率的目标区间从</w:t>
      </w:r>
      <w:r w:rsidRPr="003C54B8">
        <w:rPr>
          <w:rFonts w:ascii="微软雅黑" w:eastAsia="微软雅黑" w:hAnsi="微软雅黑" w:cs="微软雅黑"/>
          <w:color w:val="auto"/>
          <w:spacing w:val="4"/>
          <w:lang w:eastAsia="zh-CN"/>
        </w:rPr>
        <w:t>4.5%</w:t>
      </w:r>
      <w:r w:rsidRPr="003C54B8">
        <w:rPr>
          <w:rFonts w:ascii="微软雅黑" w:eastAsia="微软雅黑" w:hAnsi="微软雅黑" w:cs="微软雅黑" w:hint="eastAsia"/>
          <w:color w:val="auto"/>
          <w:spacing w:val="4"/>
          <w:lang w:eastAsia="zh-CN"/>
        </w:rPr>
        <w:t>至</w:t>
      </w:r>
      <w:r w:rsidRPr="003C54B8">
        <w:rPr>
          <w:rFonts w:ascii="微软雅黑" w:eastAsia="微软雅黑" w:hAnsi="微软雅黑" w:cs="微软雅黑"/>
          <w:color w:val="auto"/>
          <w:spacing w:val="4"/>
          <w:lang w:eastAsia="zh-CN"/>
        </w:rPr>
        <w:t>4.75%</w:t>
      </w:r>
      <w:r w:rsidRPr="003C54B8">
        <w:rPr>
          <w:rFonts w:ascii="微软雅黑" w:eastAsia="微软雅黑" w:hAnsi="微软雅黑" w:cs="微软雅黑" w:hint="eastAsia"/>
          <w:color w:val="auto"/>
          <w:spacing w:val="4"/>
          <w:lang w:eastAsia="zh-CN"/>
        </w:rPr>
        <w:t>降至</w:t>
      </w:r>
      <w:r w:rsidRPr="003C54B8">
        <w:rPr>
          <w:rFonts w:ascii="微软雅黑" w:eastAsia="微软雅黑" w:hAnsi="微软雅黑" w:cs="微软雅黑"/>
          <w:color w:val="auto"/>
          <w:spacing w:val="4"/>
          <w:lang w:eastAsia="zh-CN"/>
        </w:rPr>
        <w:t>4.25%</w:t>
      </w:r>
      <w:r w:rsidRPr="003C54B8">
        <w:rPr>
          <w:rFonts w:ascii="微软雅黑" w:eastAsia="微软雅黑" w:hAnsi="微软雅黑" w:cs="微软雅黑" w:hint="eastAsia"/>
          <w:color w:val="auto"/>
          <w:spacing w:val="4"/>
          <w:lang w:eastAsia="zh-CN"/>
        </w:rPr>
        <w:t>至</w:t>
      </w:r>
      <w:r w:rsidRPr="003C54B8">
        <w:rPr>
          <w:rFonts w:ascii="微软雅黑" w:eastAsia="微软雅黑" w:hAnsi="微软雅黑" w:cs="微软雅黑"/>
          <w:color w:val="auto"/>
          <w:spacing w:val="4"/>
          <w:lang w:eastAsia="zh-CN"/>
        </w:rPr>
        <w:t>4.5%</w:t>
      </w:r>
      <w:r w:rsidRPr="003C54B8">
        <w:rPr>
          <w:rFonts w:ascii="微软雅黑" w:eastAsia="微软雅黑" w:hAnsi="微软雅黑" w:cs="微软雅黑" w:hint="eastAsia"/>
          <w:color w:val="auto"/>
          <w:spacing w:val="4"/>
          <w:lang w:eastAsia="zh-CN"/>
        </w:rPr>
        <w:t>。】</w:t>
      </w:r>
    </w:p>
    <w:p w:rsidR="003C54B8" w:rsidRPr="003C54B8" w:rsidRDefault="003C54B8" w:rsidP="003C54B8">
      <w:pPr>
        <w:spacing w:before="102" w:line="257" w:lineRule="auto"/>
        <w:ind w:right="646" w:firstLineChars="200" w:firstLine="436"/>
        <w:jc w:val="both"/>
        <w:rPr>
          <w:rFonts w:ascii="微软雅黑" w:eastAsia="微软雅黑" w:hAnsi="微软雅黑" w:cs="微软雅黑"/>
          <w:color w:val="auto"/>
          <w:spacing w:val="4"/>
          <w:lang w:eastAsia="zh-CN"/>
        </w:rPr>
      </w:pPr>
      <w:r w:rsidRPr="003C54B8">
        <w:rPr>
          <w:rFonts w:ascii="微软雅黑" w:eastAsia="微软雅黑" w:hAnsi="微软雅黑" w:cs="微软雅黑" w:hint="eastAsia"/>
          <w:color w:val="auto"/>
          <w:spacing w:val="4"/>
          <w:lang w:eastAsia="zh-CN"/>
        </w:rPr>
        <w:t>【最新点阵图显示，美联储官员们大幅上调未来政策利率目标区间的中位数，对明年和后年的通胀预期也显著上调。鲍威尔表示，不再紧缩的政策会让美联储进一步调整利率时更加谨慎。】</w:t>
      </w:r>
    </w:p>
    <w:p w:rsidR="003C54B8" w:rsidRPr="003C54B8" w:rsidRDefault="003C54B8" w:rsidP="003C54B8">
      <w:pPr>
        <w:spacing w:before="102" w:line="257" w:lineRule="auto"/>
        <w:ind w:right="646" w:firstLineChars="200" w:firstLine="436"/>
        <w:jc w:val="both"/>
        <w:rPr>
          <w:rFonts w:ascii="微软雅黑" w:eastAsia="微软雅黑" w:hAnsi="微软雅黑" w:cs="微软雅黑"/>
          <w:color w:val="auto"/>
          <w:spacing w:val="4"/>
          <w:lang w:eastAsia="zh-CN"/>
        </w:rPr>
      </w:pPr>
      <w:r w:rsidRPr="003C54B8">
        <w:rPr>
          <w:rFonts w:ascii="微软雅黑" w:eastAsia="微软雅黑" w:hAnsi="微软雅黑" w:cs="微软雅黑" w:hint="eastAsia"/>
          <w:color w:val="auto"/>
          <w:spacing w:val="4"/>
          <w:lang w:eastAsia="zh-CN"/>
        </w:rPr>
        <w:lastRenderedPageBreak/>
        <w:t>【决议声明意味着，美联储处于或接近放慢降息节奏、或暂停降息步伐。美联储决议公布后，美元和美债收益率直线拉升，美股、黄金跳水。】</w:t>
      </w:r>
    </w:p>
    <w:p w:rsidR="003C54B8" w:rsidRPr="003C54B8" w:rsidRDefault="003C54B8" w:rsidP="003C54B8">
      <w:pPr>
        <w:spacing w:before="102" w:line="257" w:lineRule="auto"/>
        <w:ind w:right="646" w:firstLineChars="200" w:firstLine="436"/>
        <w:jc w:val="both"/>
        <w:rPr>
          <w:rFonts w:ascii="微软雅黑" w:eastAsia="微软雅黑" w:hAnsi="微软雅黑" w:cs="微软雅黑"/>
          <w:color w:val="auto"/>
          <w:spacing w:val="4"/>
          <w:lang w:eastAsia="zh-CN"/>
        </w:rPr>
      </w:pPr>
      <w:r w:rsidRPr="003C54B8">
        <w:rPr>
          <w:rFonts w:ascii="微软雅黑" w:eastAsia="微软雅黑" w:hAnsi="微软雅黑" w:cs="微软雅黑" w:hint="eastAsia"/>
          <w:color w:val="auto"/>
          <w:spacing w:val="4"/>
          <w:lang w:eastAsia="zh-CN"/>
        </w:rPr>
        <w:t>【美联储预期</w:t>
      </w:r>
      <w:r w:rsidRPr="003C54B8">
        <w:rPr>
          <w:rFonts w:ascii="微软雅黑" w:eastAsia="微软雅黑" w:hAnsi="微软雅黑" w:cs="微软雅黑"/>
          <w:color w:val="auto"/>
          <w:spacing w:val="4"/>
          <w:lang w:eastAsia="zh-CN"/>
        </w:rPr>
        <w:t>2025</w:t>
      </w:r>
      <w:r w:rsidRPr="003C54B8">
        <w:rPr>
          <w:rFonts w:ascii="微软雅黑" w:eastAsia="微软雅黑" w:hAnsi="微软雅黑" w:cs="微软雅黑" w:hint="eastAsia"/>
          <w:color w:val="auto"/>
          <w:spacing w:val="4"/>
          <w:lang w:eastAsia="zh-CN"/>
        </w:rPr>
        <w:t>年将降息两次，每次</w:t>
      </w:r>
      <w:r w:rsidRPr="003C54B8">
        <w:rPr>
          <w:rFonts w:ascii="微软雅黑" w:eastAsia="微软雅黑" w:hAnsi="微软雅黑" w:cs="微软雅黑"/>
          <w:color w:val="auto"/>
          <w:spacing w:val="4"/>
          <w:lang w:eastAsia="zh-CN"/>
        </w:rPr>
        <w:t>25</w:t>
      </w:r>
      <w:r w:rsidRPr="003C54B8">
        <w:rPr>
          <w:rFonts w:ascii="微软雅黑" w:eastAsia="微软雅黑" w:hAnsi="微软雅黑" w:cs="微软雅黑" w:hint="eastAsia"/>
          <w:color w:val="auto"/>
          <w:spacing w:val="4"/>
          <w:lang w:eastAsia="zh-CN"/>
        </w:rPr>
        <w:t>个基点，</w:t>
      </w:r>
      <w:r w:rsidRPr="003C54B8">
        <w:rPr>
          <w:rFonts w:ascii="微软雅黑" w:eastAsia="微软雅黑" w:hAnsi="微软雅黑" w:cs="微软雅黑"/>
          <w:color w:val="auto"/>
          <w:spacing w:val="4"/>
          <w:lang w:eastAsia="zh-CN"/>
        </w:rPr>
        <w:t>9</w:t>
      </w:r>
      <w:r w:rsidRPr="003C54B8">
        <w:rPr>
          <w:rFonts w:ascii="微软雅黑" w:eastAsia="微软雅黑" w:hAnsi="微软雅黑" w:cs="微软雅黑" w:hint="eastAsia"/>
          <w:color w:val="auto"/>
          <w:spacing w:val="4"/>
          <w:lang w:eastAsia="zh-CN"/>
        </w:rPr>
        <w:t>月份预期为降息四次，每次</w:t>
      </w:r>
      <w:r w:rsidRPr="003C54B8">
        <w:rPr>
          <w:rFonts w:ascii="微软雅黑" w:eastAsia="微软雅黑" w:hAnsi="微软雅黑" w:cs="微软雅黑"/>
          <w:color w:val="auto"/>
          <w:spacing w:val="4"/>
          <w:lang w:eastAsia="zh-CN"/>
        </w:rPr>
        <w:t>25</w:t>
      </w:r>
      <w:r w:rsidRPr="003C54B8">
        <w:rPr>
          <w:rFonts w:ascii="微软雅黑" w:eastAsia="微软雅黑" w:hAnsi="微软雅黑" w:cs="微软雅黑" w:hint="eastAsia"/>
          <w:color w:val="auto"/>
          <w:spacing w:val="4"/>
          <w:lang w:eastAsia="zh-CN"/>
        </w:rPr>
        <w:t>个基点；美联储预期</w:t>
      </w:r>
      <w:r w:rsidRPr="003C54B8">
        <w:rPr>
          <w:rFonts w:ascii="微软雅黑" w:eastAsia="微软雅黑" w:hAnsi="微软雅黑" w:cs="微软雅黑"/>
          <w:color w:val="auto"/>
          <w:spacing w:val="4"/>
          <w:lang w:eastAsia="zh-CN"/>
        </w:rPr>
        <w:t>2026</w:t>
      </w:r>
      <w:r w:rsidRPr="003C54B8">
        <w:rPr>
          <w:rFonts w:ascii="微软雅黑" w:eastAsia="微软雅黑" w:hAnsi="微软雅黑" w:cs="微软雅黑" w:hint="eastAsia"/>
          <w:color w:val="auto"/>
          <w:spacing w:val="4"/>
          <w:lang w:eastAsia="zh-CN"/>
        </w:rPr>
        <w:t>年将降息两次，每次</w:t>
      </w:r>
      <w:r w:rsidRPr="003C54B8">
        <w:rPr>
          <w:rFonts w:ascii="微软雅黑" w:eastAsia="微软雅黑" w:hAnsi="微软雅黑" w:cs="微软雅黑"/>
          <w:color w:val="auto"/>
          <w:spacing w:val="4"/>
          <w:lang w:eastAsia="zh-CN"/>
        </w:rPr>
        <w:t>25</w:t>
      </w:r>
      <w:r w:rsidRPr="003C54B8">
        <w:rPr>
          <w:rFonts w:ascii="微软雅黑" w:eastAsia="微软雅黑" w:hAnsi="微软雅黑" w:cs="微软雅黑" w:hint="eastAsia"/>
          <w:color w:val="auto"/>
          <w:spacing w:val="4"/>
          <w:lang w:eastAsia="zh-CN"/>
        </w:rPr>
        <w:t>个基点，与</w:t>
      </w:r>
      <w:r w:rsidRPr="003C54B8">
        <w:rPr>
          <w:rFonts w:ascii="微软雅黑" w:eastAsia="微软雅黑" w:hAnsi="微软雅黑" w:cs="微软雅黑"/>
          <w:color w:val="auto"/>
          <w:spacing w:val="4"/>
          <w:lang w:eastAsia="zh-CN"/>
        </w:rPr>
        <w:t>9</w:t>
      </w:r>
      <w:r w:rsidRPr="003C54B8">
        <w:rPr>
          <w:rFonts w:ascii="微软雅黑" w:eastAsia="微软雅黑" w:hAnsi="微软雅黑" w:cs="微软雅黑" w:hint="eastAsia"/>
          <w:color w:val="auto"/>
          <w:spacing w:val="4"/>
          <w:lang w:eastAsia="zh-CN"/>
        </w:rPr>
        <w:t>月份预期一致。】</w:t>
      </w:r>
    </w:p>
    <w:p w:rsidR="003C54B8" w:rsidRPr="003C54B8" w:rsidRDefault="003C54B8" w:rsidP="003C54B8">
      <w:pPr>
        <w:spacing w:before="102" w:line="257" w:lineRule="auto"/>
        <w:ind w:right="646" w:firstLineChars="200" w:firstLine="436"/>
        <w:jc w:val="both"/>
        <w:rPr>
          <w:rFonts w:ascii="微软雅黑" w:eastAsia="微软雅黑" w:hAnsi="微软雅黑" w:cs="微软雅黑"/>
          <w:color w:val="auto"/>
          <w:spacing w:val="4"/>
          <w:lang w:eastAsia="zh-CN"/>
        </w:rPr>
      </w:pPr>
      <w:r w:rsidRPr="003C54B8">
        <w:rPr>
          <w:rFonts w:ascii="微软雅黑" w:eastAsia="微软雅黑" w:hAnsi="微软雅黑" w:cs="微软雅黑" w:hint="eastAsia"/>
          <w:color w:val="auto"/>
          <w:spacing w:val="4"/>
          <w:lang w:eastAsia="zh-CN"/>
        </w:rPr>
        <w:t>【美联储上调</w:t>
      </w:r>
      <w:r w:rsidRPr="003C54B8">
        <w:rPr>
          <w:rFonts w:ascii="微软雅黑" w:eastAsia="微软雅黑" w:hAnsi="微软雅黑" w:cs="微软雅黑"/>
          <w:color w:val="auto"/>
          <w:spacing w:val="4"/>
          <w:lang w:eastAsia="zh-CN"/>
        </w:rPr>
        <w:t>2024-2026</w:t>
      </w:r>
      <w:r w:rsidRPr="003C54B8">
        <w:rPr>
          <w:rFonts w:ascii="微软雅黑" w:eastAsia="微软雅黑" w:hAnsi="微软雅黑" w:cs="微软雅黑" w:hint="eastAsia"/>
          <w:color w:val="auto"/>
          <w:spacing w:val="4"/>
          <w:lang w:eastAsia="zh-CN"/>
        </w:rPr>
        <w:t>年的通胀预期和</w:t>
      </w:r>
      <w:r w:rsidRPr="003C54B8">
        <w:rPr>
          <w:rFonts w:ascii="微软雅黑" w:eastAsia="微软雅黑" w:hAnsi="微软雅黑" w:cs="微软雅黑"/>
          <w:color w:val="auto"/>
          <w:spacing w:val="4"/>
          <w:lang w:eastAsia="zh-CN"/>
        </w:rPr>
        <w:t>GDP</w:t>
      </w:r>
      <w:r w:rsidRPr="003C54B8">
        <w:rPr>
          <w:rFonts w:ascii="微软雅黑" w:eastAsia="微软雅黑" w:hAnsi="微软雅黑" w:cs="微软雅黑" w:hint="eastAsia"/>
          <w:color w:val="auto"/>
          <w:spacing w:val="4"/>
          <w:lang w:eastAsia="zh-CN"/>
        </w:rPr>
        <w:t>增速预期。</w:t>
      </w:r>
      <w:r w:rsidRPr="003C54B8">
        <w:rPr>
          <w:rFonts w:ascii="微软雅黑" w:eastAsia="微软雅黑" w:hAnsi="微软雅黑" w:cs="微软雅黑"/>
          <w:color w:val="auto"/>
          <w:spacing w:val="4"/>
          <w:lang w:eastAsia="zh-CN"/>
        </w:rPr>
        <w:t>FOMC</w:t>
      </w:r>
      <w:r w:rsidRPr="003C54B8">
        <w:rPr>
          <w:rFonts w:ascii="微软雅黑" w:eastAsia="微软雅黑" w:hAnsi="微软雅黑" w:cs="微软雅黑" w:hint="eastAsia"/>
          <w:color w:val="auto"/>
          <w:spacing w:val="4"/>
          <w:lang w:eastAsia="zh-CN"/>
        </w:rPr>
        <w:t>经济预期显示，</w:t>
      </w:r>
      <w:r w:rsidRPr="003C54B8">
        <w:rPr>
          <w:rFonts w:ascii="微软雅黑" w:eastAsia="微软雅黑" w:hAnsi="微软雅黑" w:cs="微软雅黑"/>
          <w:color w:val="auto"/>
          <w:spacing w:val="4"/>
          <w:lang w:eastAsia="zh-CN"/>
        </w:rPr>
        <w:t>2024</w:t>
      </w:r>
      <w:r w:rsidRPr="003C54B8">
        <w:rPr>
          <w:rFonts w:ascii="微软雅黑" w:eastAsia="微软雅黑" w:hAnsi="微软雅黑" w:cs="微软雅黑" w:hint="eastAsia"/>
          <w:color w:val="auto"/>
          <w:spacing w:val="4"/>
          <w:lang w:eastAsia="zh-CN"/>
        </w:rPr>
        <w:t>至</w:t>
      </w:r>
      <w:r w:rsidRPr="003C54B8">
        <w:rPr>
          <w:rFonts w:ascii="微软雅黑" w:eastAsia="微软雅黑" w:hAnsi="微软雅黑" w:cs="微软雅黑"/>
          <w:color w:val="auto"/>
          <w:spacing w:val="4"/>
          <w:lang w:eastAsia="zh-CN"/>
        </w:rPr>
        <w:t>2026</w:t>
      </w:r>
      <w:r w:rsidRPr="003C54B8">
        <w:rPr>
          <w:rFonts w:ascii="微软雅黑" w:eastAsia="微软雅黑" w:hAnsi="微软雅黑" w:cs="微软雅黑" w:hint="eastAsia"/>
          <w:color w:val="auto"/>
          <w:spacing w:val="4"/>
          <w:lang w:eastAsia="zh-CN"/>
        </w:rPr>
        <w:t>年底核心</w:t>
      </w:r>
      <w:r w:rsidRPr="003C54B8">
        <w:rPr>
          <w:rFonts w:ascii="微软雅黑" w:eastAsia="微软雅黑" w:hAnsi="微软雅黑" w:cs="微软雅黑"/>
          <w:color w:val="auto"/>
          <w:spacing w:val="4"/>
          <w:lang w:eastAsia="zh-CN"/>
        </w:rPr>
        <w:t>PCE</w:t>
      </w:r>
      <w:r w:rsidRPr="003C54B8">
        <w:rPr>
          <w:rFonts w:ascii="微软雅黑" w:eastAsia="微软雅黑" w:hAnsi="微软雅黑" w:cs="微软雅黑" w:hint="eastAsia"/>
          <w:color w:val="auto"/>
          <w:spacing w:val="4"/>
          <w:lang w:eastAsia="zh-CN"/>
        </w:rPr>
        <w:t>通胀预期中值分别为</w:t>
      </w:r>
      <w:r w:rsidRPr="003C54B8">
        <w:rPr>
          <w:rFonts w:ascii="微软雅黑" w:eastAsia="微软雅黑" w:hAnsi="微软雅黑" w:cs="微软雅黑"/>
          <w:color w:val="auto"/>
          <w:spacing w:val="4"/>
          <w:lang w:eastAsia="zh-CN"/>
        </w:rPr>
        <w:t>2.8%</w:t>
      </w:r>
      <w:r w:rsidRPr="003C54B8">
        <w:rPr>
          <w:rFonts w:ascii="微软雅黑" w:eastAsia="微软雅黑" w:hAnsi="微软雅黑" w:cs="微软雅黑" w:hint="eastAsia"/>
          <w:color w:val="auto"/>
          <w:spacing w:val="4"/>
          <w:lang w:eastAsia="zh-CN"/>
        </w:rPr>
        <w:t>、</w:t>
      </w:r>
      <w:r w:rsidRPr="003C54B8">
        <w:rPr>
          <w:rFonts w:ascii="微软雅黑" w:eastAsia="微软雅黑" w:hAnsi="微软雅黑" w:cs="微软雅黑"/>
          <w:color w:val="auto"/>
          <w:spacing w:val="4"/>
          <w:lang w:eastAsia="zh-CN"/>
        </w:rPr>
        <w:t>2.5%</w:t>
      </w:r>
      <w:r w:rsidRPr="003C54B8">
        <w:rPr>
          <w:rFonts w:ascii="微软雅黑" w:eastAsia="微软雅黑" w:hAnsi="微软雅黑" w:cs="微软雅黑" w:hint="eastAsia"/>
          <w:color w:val="auto"/>
          <w:spacing w:val="4"/>
          <w:lang w:eastAsia="zh-CN"/>
        </w:rPr>
        <w:t>、</w:t>
      </w:r>
      <w:r w:rsidRPr="003C54B8">
        <w:rPr>
          <w:rFonts w:ascii="微软雅黑" w:eastAsia="微软雅黑" w:hAnsi="微软雅黑" w:cs="微软雅黑"/>
          <w:color w:val="auto"/>
          <w:spacing w:val="4"/>
          <w:lang w:eastAsia="zh-CN"/>
        </w:rPr>
        <w:t>2.2%</w:t>
      </w:r>
      <w:r w:rsidRPr="003C54B8">
        <w:rPr>
          <w:rFonts w:ascii="微软雅黑" w:eastAsia="微软雅黑" w:hAnsi="微软雅黑" w:cs="微软雅黑" w:hint="eastAsia"/>
          <w:color w:val="auto"/>
          <w:spacing w:val="4"/>
          <w:lang w:eastAsia="zh-CN"/>
        </w:rPr>
        <w:t>（</w:t>
      </w:r>
      <w:r w:rsidRPr="003C54B8">
        <w:rPr>
          <w:rFonts w:ascii="微软雅黑" w:eastAsia="微软雅黑" w:hAnsi="微软雅黑" w:cs="微软雅黑"/>
          <w:color w:val="auto"/>
          <w:spacing w:val="4"/>
          <w:lang w:eastAsia="zh-CN"/>
        </w:rPr>
        <w:t>9</w:t>
      </w:r>
      <w:r w:rsidRPr="003C54B8">
        <w:rPr>
          <w:rFonts w:ascii="微软雅黑" w:eastAsia="微软雅黑" w:hAnsi="微软雅黑" w:cs="微软雅黑" w:hint="eastAsia"/>
          <w:color w:val="auto"/>
          <w:spacing w:val="4"/>
          <w:lang w:eastAsia="zh-CN"/>
        </w:rPr>
        <w:t>月预期分别为</w:t>
      </w:r>
      <w:r w:rsidRPr="003C54B8">
        <w:rPr>
          <w:rFonts w:ascii="微软雅黑" w:eastAsia="微软雅黑" w:hAnsi="微软雅黑" w:cs="微软雅黑"/>
          <w:color w:val="auto"/>
          <w:spacing w:val="4"/>
          <w:lang w:eastAsia="zh-CN"/>
        </w:rPr>
        <w:t>2.6%</w:t>
      </w:r>
      <w:r w:rsidRPr="003C54B8">
        <w:rPr>
          <w:rFonts w:ascii="微软雅黑" w:eastAsia="微软雅黑" w:hAnsi="微软雅黑" w:cs="微软雅黑" w:hint="eastAsia"/>
          <w:color w:val="auto"/>
          <w:spacing w:val="4"/>
          <w:lang w:eastAsia="zh-CN"/>
        </w:rPr>
        <w:t>、</w:t>
      </w:r>
      <w:r w:rsidRPr="003C54B8">
        <w:rPr>
          <w:rFonts w:ascii="微软雅黑" w:eastAsia="微软雅黑" w:hAnsi="微软雅黑" w:cs="微软雅黑"/>
          <w:color w:val="auto"/>
          <w:spacing w:val="4"/>
          <w:lang w:eastAsia="zh-CN"/>
        </w:rPr>
        <w:t>2.2%</w:t>
      </w:r>
      <w:r w:rsidRPr="003C54B8">
        <w:rPr>
          <w:rFonts w:ascii="微软雅黑" w:eastAsia="微软雅黑" w:hAnsi="微软雅黑" w:cs="微软雅黑" w:hint="eastAsia"/>
          <w:color w:val="auto"/>
          <w:spacing w:val="4"/>
          <w:lang w:eastAsia="zh-CN"/>
        </w:rPr>
        <w:t>、</w:t>
      </w:r>
      <w:r w:rsidRPr="003C54B8">
        <w:rPr>
          <w:rFonts w:ascii="微软雅黑" w:eastAsia="微软雅黑" w:hAnsi="微软雅黑" w:cs="微软雅黑"/>
          <w:color w:val="auto"/>
          <w:spacing w:val="4"/>
          <w:lang w:eastAsia="zh-CN"/>
        </w:rPr>
        <w:t>2.0%</w:t>
      </w:r>
      <w:r w:rsidRPr="003C54B8">
        <w:rPr>
          <w:rFonts w:ascii="微软雅黑" w:eastAsia="微软雅黑" w:hAnsi="微软雅黑" w:cs="微软雅黑" w:hint="eastAsia"/>
          <w:color w:val="auto"/>
          <w:spacing w:val="4"/>
          <w:lang w:eastAsia="zh-CN"/>
        </w:rPr>
        <w:t>）。</w:t>
      </w:r>
      <w:r w:rsidRPr="003C54B8">
        <w:rPr>
          <w:rFonts w:ascii="微软雅黑" w:eastAsia="微软雅黑" w:hAnsi="微软雅黑" w:cs="微软雅黑"/>
          <w:color w:val="auto"/>
          <w:spacing w:val="4"/>
          <w:lang w:eastAsia="zh-CN"/>
        </w:rPr>
        <w:t>2024</w:t>
      </w:r>
      <w:r w:rsidRPr="003C54B8">
        <w:rPr>
          <w:rFonts w:ascii="微软雅黑" w:eastAsia="微软雅黑" w:hAnsi="微软雅黑" w:cs="微软雅黑" w:hint="eastAsia"/>
          <w:color w:val="auto"/>
          <w:spacing w:val="4"/>
          <w:lang w:eastAsia="zh-CN"/>
        </w:rPr>
        <w:t>至</w:t>
      </w:r>
      <w:r w:rsidRPr="003C54B8">
        <w:rPr>
          <w:rFonts w:ascii="微软雅黑" w:eastAsia="微软雅黑" w:hAnsi="微软雅黑" w:cs="微软雅黑"/>
          <w:color w:val="auto"/>
          <w:spacing w:val="4"/>
          <w:lang w:eastAsia="zh-CN"/>
        </w:rPr>
        <w:t>2026</w:t>
      </w:r>
      <w:r w:rsidRPr="003C54B8">
        <w:rPr>
          <w:rFonts w:ascii="微软雅黑" w:eastAsia="微软雅黑" w:hAnsi="微软雅黑" w:cs="微软雅黑" w:hint="eastAsia"/>
          <w:color w:val="auto"/>
          <w:spacing w:val="4"/>
          <w:lang w:eastAsia="zh-CN"/>
        </w:rPr>
        <w:t>年底</w:t>
      </w:r>
      <w:r w:rsidRPr="003C54B8">
        <w:rPr>
          <w:rFonts w:ascii="微软雅黑" w:eastAsia="微软雅黑" w:hAnsi="微软雅黑" w:cs="微软雅黑"/>
          <w:color w:val="auto"/>
          <w:spacing w:val="4"/>
          <w:lang w:eastAsia="zh-CN"/>
        </w:rPr>
        <w:t>GDP</w:t>
      </w:r>
      <w:r w:rsidRPr="003C54B8">
        <w:rPr>
          <w:rFonts w:ascii="微软雅黑" w:eastAsia="微软雅黑" w:hAnsi="微软雅黑" w:cs="微软雅黑" w:hint="eastAsia"/>
          <w:color w:val="auto"/>
          <w:spacing w:val="4"/>
          <w:lang w:eastAsia="zh-CN"/>
        </w:rPr>
        <w:t>增速预期中值分别为</w:t>
      </w:r>
      <w:r w:rsidRPr="003C54B8">
        <w:rPr>
          <w:rFonts w:ascii="微软雅黑" w:eastAsia="微软雅黑" w:hAnsi="微软雅黑" w:cs="微软雅黑"/>
          <w:color w:val="auto"/>
          <w:spacing w:val="4"/>
          <w:lang w:eastAsia="zh-CN"/>
        </w:rPr>
        <w:t>2.5%</w:t>
      </w:r>
      <w:r w:rsidRPr="003C54B8">
        <w:rPr>
          <w:rFonts w:ascii="微软雅黑" w:eastAsia="微软雅黑" w:hAnsi="微软雅黑" w:cs="微软雅黑" w:hint="eastAsia"/>
          <w:color w:val="auto"/>
          <w:spacing w:val="4"/>
          <w:lang w:eastAsia="zh-CN"/>
        </w:rPr>
        <w:t>、</w:t>
      </w:r>
      <w:r w:rsidRPr="003C54B8">
        <w:rPr>
          <w:rFonts w:ascii="微软雅黑" w:eastAsia="微软雅黑" w:hAnsi="微软雅黑" w:cs="微软雅黑"/>
          <w:color w:val="auto"/>
          <w:spacing w:val="4"/>
          <w:lang w:eastAsia="zh-CN"/>
        </w:rPr>
        <w:t>2.1%</w:t>
      </w:r>
      <w:r w:rsidRPr="003C54B8">
        <w:rPr>
          <w:rFonts w:ascii="微软雅黑" w:eastAsia="微软雅黑" w:hAnsi="微软雅黑" w:cs="微软雅黑" w:hint="eastAsia"/>
          <w:color w:val="auto"/>
          <w:spacing w:val="4"/>
          <w:lang w:eastAsia="zh-CN"/>
        </w:rPr>
        <w:t>、</w:t>
      </w:r>
      <w:r w:rsidRPr="003C54B8">
        <w:rPr>
          <w:rFonts w:ascii="微软雅黑" w:eastAsia="微软雅黑" w:hAnsi="微软雅黑" w:cs="微软雅黑"/>
          <w:color w:val="auto"/>
          <w:spacing w:val="4"/>
          <w:lang w:eastAsia="zh-CN"/>
        </w:rPr>
        <w:t>2.0%</w:t>
      </w:r>
      <w:r w:rsidRPr="003C54B8">
        <w:rPr>
          <w:rFonts w:ascii="微软雅黑" w:eastAsia="微软雅黑" w:hAnsi="微软雅黑" w:cs="微软雅黑" w:hint="eastAsia"/>
          <w:color w:val="auto"/>
          <w:spacing w:val="4"/>
          <w:lang w:eastAsia="zh-CN"/>
        </w:rPr>
        <w:t>（</w:t>
      </w:r>
      <w:r w:rsidRPr="003C54B8">
        <w:rPr>
          <w:rFonts w:ascii="微软雅黑" w:eastAsia="微软雅黑" w:hAnsi="微软雅黑" w:cs="微软雅黑"/>
          <w:color w:val="auto"/>
          <w:spacing w:val="4"/>
          <w:lang w:eastAsia="zh-CN"/>
        </w:rPr>
        <w:t>9</w:t>
      </w:r>
      <w:r w:rsidRPr="003C54B8">
        <w:rPr>
          <w:rFonts w:ascii="微软雅黑" w:eastAsia="微软雅黑" w:hAnsi="微软雅黑" w:cs="微软雅黑" w:hint="eastAsia"/>
          <w:color w:val="auto"/>
          <w:spacing w:val="4"/>
          <w:lang w:eastAsia="zh-CN"/>
        </w:rPr>
        <w:t>月预期均为</w:t>
      </w:r>
      <w:r w:rsidRPr="003C54B8">
        <w:rPr>
          <w:rFonts w:ascii="微软雅黑" w:eastAsia="微软雅黑" w:hAnsi="微软雅黑" w:cs="微软雅黑"/>
          <w:color w:val="auto"/>
          <w:spacing w:val="4"/>
          <w:lang w:eastAsia="zh-CN"/>
        </w:rPr>
        <w:t>2.0%</w:t>
      </w:r>
      <w:r w:rsidRPr="003C54B8">
        <w:rPr>
          <w:rFonts w:ascii="微软雅黑" w:eastAsia="微软雅黑" w:hAnsi="微软雅黑" w:cs="微软雅黑" w:hint="eastAsia"/>
          <w:color w:val="auto"/>
          <w:spacing w:val="4"/>
          <w:lang w:eastAsia="zh-CN"/>
        </w:rPr>
        <w:t>）。】</w:t>
      </w:r>
    </w:p>
    <w:p w:rsidR="003C54B8" w:rsidRPr="003C54B8" w:rsidRDefault="003C54B8" w:rsidP="003C54B8">
      <w:pPr>
        <w:spacing w:before="102" w:line="257" w:lineRule="auto"/>
        <w:ind w:right="646" w:firstLineChars="200" w:firstLine="436"/>
        <w:jc w:val="both"/>
        <w:rPr>
          <w:rFonts w:ascii="微软雅黑" w:eastAsia="微软雅黑" w:hAnsi="微软雅黑" w:cs="微软雅黑"/>
          <w:color w:val="auto"/>
          <w:spacing w:val="4"/>
          <w:lang w:eastAsia="zh-CN"/>
        </w:rPr>
      </w:pPr>
      <w:r w:rsidRPr="003C54B8">
        <w:rPr>
          <w:rFonts w:ascii="微软雅黑" w:eastAsia="微软雅黑" w:hAnsi="微软雅黑" w:cs="微软雅黑" w:hint="eastAsia"/>
          <w:color w:val="auto"/>
          <w:spacing w:val="4"/>
          <w:lang w:eastAsia="zh-CN"/>
        </w:rPr>
        <w:t>【欧元区</w:t>
      </w:r>
      <w:r w:rsidRPr="003C54B8">
        <w:rPr>
          <w:rFonts w:ascii="微软雅黑" w:eastAsia="微软雅黑" w:hAnsi="微软雅黑" w:cs="微软雅黑"/>
          <w:color w:val="auto"/>
          <w:spacing w:val="4"/>
          <w:lang w:eastAsia="zh-CN"/>
        </w:rPr>
        <w:t>11</w:t>
      </w:r>
      <w:r w:rsidRPr="003C54B8">
        <w:rPr>
          <w:rFonts w:ascii="微软雅黑" w:eastAsia="微软雅黑" w:hAnsi="微软雅黑" w:cs="微软雅黑" w:hint="eastAsia"/>
          <w:color w:val="auto"/>
          <w:spacing w:val="4"/>
          <w:lang w:eastAsia="zh-CN"/>
        </w:rPr>
        <w:t>月</w:t>
      </w:r>
      <w:r w:rsidRPr="003C54B8">
        <w:rPr>
          <w:rFonts w:ascii="微软雅黑" w:eastAsia="微软雅黑" w:hAnsi="微软雅黑" w:cs="微软雅黑"/>
          <w:color w:val="auto"/>
          <w:spacing w:val="4"/>
          <w:lang w:eastAsia="zh-CN"/>
        </w:rPr>
        <w:t>CPI</w:t>
      </w:r>
      <w:r w:rsidRPr="003C54B8">
        <w:rPr>
          <w:rFonts w:ascii="微软雅黑" w:eastAsia="微软雅黑" w:hAnsi="微软雅黑" w:cs="微软雅黑" w:hint="eastAsia"/>
          <w:color w:val="auto"/>
          <w:spacing w:val="4"/>
          <w:lang w:eastAsia="zh-CN"/>
        </w:rPr>
        <w:t>终值同比升</w:t>
      </w:r>
      <w:r w:rsidRPr="003C54B8">
        <w:rPr>
          <w:rFonts w:ascii="微软雅黑" w:eastAsia="微软雅黑" w:hAnsi="微软雅黑" w:cs="微软雅黑"/>
          <w:color w:val="auto"/>
          <w:spacing w:val="4"/>
          <w:lang w:eastAsia="zh-CN"/>
        </w:rPr>
        <w:t>2.2%</w:t>
      </w:r>
      <w:r w:rsidRPr="003C54B8">
        <w:rPr>
          <w:rFonts w:ascii="微软雅黑" w:eastAsia="微软雅黑" w:hAnsi="微软雅黑" w:cs="微软雅黑" w:hint="eastAsia"/>
          <w:color w:val="auto"/>
          <w:spacing w:val="4"/>
          <w:lang w:eastAsia="zh-CN"/>
        </w:rPr>
        <w:t>，预期升</w:t>
      </w:r>
      <w:r w:rsidRPr="003C54B8">
        <w:rPr>
          <w:rFonts w:ascii="微软雅黑" w:eastAsia="微软雅黑" w:hAnsi="微软雅黑" w:cs="微软雅黑"/>
          <w:color w:val="auto"/>
          <w:spacing w:val="4"/>
          <w:lang w:eastAsia="zh-CN"/>
        </w:rPr>
        <w:t>2.3%</w:t>
      </w:r>
      <w:r w:rsidRPr="003C54B8">
        <w:rPr>
          <w:rFonts w:ascii="微软雅黑" w:eastAsia="微软雅黑" w:hAnsi="微软雅黑" w:cs="微软雅黑" w:hint="eastAsia"/>
          <w:color w:val="auto"/>
          <w:spacing w:val="4"/>
          <w:lang w:eastAsia="zh-CN"/>
        </w:rPr>
        <w:t>，初值升</w:t>
      </w:r>
      <w:r w:rsidRPr="003C54B8">
        <w:rPr>
          <w:rFonts w:ascii="微软雅黑" w:eastAsia="微软雅黑" w:hAnsi="微软雅黑" w:cs="微软雅黑"/>
          <w:color w:val="auto"/>
          <w:spacing w:val="4"/>
          <w:lang w:eastAsia="zh-CN"/>
        </w:rPr>
        <w:t>2.3%</w:t>
      </w:r>
      <w:r w:rsidRPr="003C54B8">
        <w:rPr>
          <w:rFonts w:ascii="微软雅黑" w:eastAsia="微软雅黑" w:hAnsi="微软雅黑" w:cs="微软雅黑" w:hint="eastAsia"/>
          <w:color w:val="auto"/>
          <w:spacing w:val="4"/>
          <w:lang w:eastAsia="zh-CN"/>
        </w:rPr>
        <w:t>，</w:t>
      </w:r>
      <w:r w:rsidRPr="003C54B8">
        <w:rPr>
          <w:rFonts w:ascii="微软雅黑" w:eastAsia="微软雅黑" w:hAnsi="微软雅黑" w:cs="微软雅黑"/>
          <w:color w:val="auto"/>
          <w:spacing w:val="4"/>
          <w:lang w:eastAsia="zh-CN"/>
        </w:rPr>
        <w:t>10</w:t>
      </w:r>
      <w:r w:rsidRPr="003C54B8">
        <w:rPr>
          <w:rFonts w:ascii="微软雅黑" w:eastAsia="微软雅黑" w:hAnsi="微软雅黑" w:cs="微软雅黑" w:hint="eastAsia"/>
          <w:color w:val="auto"/>
          <w:spacing w:val="4"/>
          <w:lang w:eastAsia="zh-CN"/>
        </w:rPr>
        <w:t>月终值升</w:t>
      </w:r>
      <w:r w:rsidRPr="003C54B8">
        <w:rPr>
          <w:rFonts w:ascii="微软雅黑" w:eastAsia="微软雅黑" w:hAnsi="微软雅黑" w:cs="微软雅黑"/>
          <w:color w:val="auto"/>
          <w:spacing w:val="4"/>
          <w:lang w:eastAsia="zh-CN"/>
        </w:rPr>
        <w:t>2.0%</w:t>
      </w:r>
      <w:r w:rsidRPr="003C54B8">
        <w:rPr>
          <w:rFonts w:ascii="微软雅黑" w:eastAsia="微软雅黑" w:hAnsi="微软雅黑" w:cs="微软雅黑" w:hint="eastAsia"/>
          <w:color w:val="auto"/>
          <w:spacing w:val="4"/>
          <w:lang w:eastAsia="zh-CN"/>
        </w:rPr>
        <w:t>；环比降</w:t>
      </w:r>
      <w:r w:rsidRPr="003C54B8">
        <w:rPr>
          <w:rFonts w:ascii="微软雅黑" w:eastAsia="微软雅黑" w:hAnsi="微软雅黑" w:cs="微软雅黑"/>
          <w:color w:val="auto"/>
          <w:spacing w:val="4"/>
          <w:lang w:eastAsia="zh-CN"/>
        </w:rPr>
        <w:t>0.3%</w:t>
      </w:r>
      <w:r w:rsidRPr="003C54B8">
        <w:rPr>
          <w:rFonts w:ascii="微软雅黑" w:eastAsia="微软雅黑" w:hAnsi="微软雅黑" w:cs="微软雅黑" w:hint="eastAsia"/>
          <w:color w:val="auto"/>
          <w:spacing w:val="4"/>
          <w:lang w:eastAsia="zh-CN"/>
        </w:rPr>
        <w:t>，预期降</w:t>
      </w:r>
      <w:r w:rsidRPr="003C54B8">
        <w:rPr>
          <w:rFonts w:ascii="微软雅黑" w:eastAsia="微软雅黑" w:hAnsi="微软雅黑" w:cs="微软雅黑"/>
          <w:color w:val="auto"/>
          <w:spacing w:val="4"/>
          <w:lang w:eastAsia="zh-CN"/>
        </w:rPr>
        <w:t>0.3%</w:t>
      </w:r>
      <w:r w:rsidRPr="003C54B8">
        <w:rPr>
          <w:rFonts w:ascii="微软雅黑" w:eastAsia="微软雅黑" w:hAnsi="微软雅黑" w:cs="微软雅黑" w:hint="eastAsia"/>
          <w:color w:val="auto"/>
          <w:spacing w:val="4"/>
          <w:lang w:eastAsia="zh-CN"/>
        </w:rPr>
        <w:t>，初值降</w:t>
      </w:r>
      <w:r w:rsidRPr="003C54B8">
        <w:rPr>
          <w:rFonts w:ascii="微软雅黑" w:eastAsia="微软雅黑" w:hAnsi="微软雅黑" w:cs="微软雅黑"/>
          <w:color w:val="auto"/>
          <w:spacing w:val="4"/>
          <w:lang w:eastAsia="zh-CN"/>
        </w:rPr>
        <w:t>0.3%</w:t>
      </w:r>
      <w:r w:rsidRPr="003C54B8">
        <w:rPr>
          <w:rFonts w:ascii="微软雅黑" w:eastAsia="微软雅黑" w:hAnsi="微软雅黑" w:cs="微软雅黑" w:hint="eastAsia"/>
          <w:color w:val="auto"/>
          <w:spacing w:val="4"/>
          <w:lang w:eastAsia="zh-CN"/>
        </w:rPr>
        <w:t>，</w:t>
      </w:r>
      <w:r w:rsidRPr="003C54B8">
        <w:rPr>
          <w:rFonts w:ascii="微软雅黑" w:eastAsia="微软雅黑" w:hAnsi="微软雅黑" w:cs="微软雅黑"/>
          <w:color w:val="auto"/>
          <w:spacing w:val="4"/>
          <w:lang w:eastAsia="zh-CN"/>
        </w:rPr>
        <w:t>10</w:t>
      </w:r>
      <w:r w:rsidRPr="003C54B8">
        <w:rPr>
          <w:rFonts w:ascii="微软雅黑" w:eastAsia="微软雅黑" w:hAnsi="微软雅黑" w:cs="微软雅黑" w:hint="eastAsia"/>
          <w:color w:val="auto"/>
          <w:spacing w:val="4"/>
          <w:lang w:eastAsia="zh-CN"/>
        </w:rPr>
        <w:t>月终值升</w:t>
      </w:r>
      <w:r w:rsidRPr="003C54B8">
        <w:rPr>
          <w:rFonts w:ascii="微软雅黑" w:eastAsia="微软雅黑" w:hAnsi="微软雅黑" w:cs="微软雅黑"/>
          <w:color w:val="auto"/>
          <w:spacing w:val="4"/>
          <w:lang w:eastAsia="zh-CN"/>
        </w:rPr>
        <w:t>0.3%</w:t>
      </w:r>
      <w:r w:rsidRPr="003C54B8">
        <w:rPr>
          <w:rFonts w:ascii="微软雅黑" w:eastAsia="微软雅黑" w:hAnsi="微软雅黑" w:cs="微软雅黑" w:hint="eastAsia"/>
          <w:color w:val="auto"/>
          <w:spacing w:val="4"/>
          <w:lang w:eastAsia="zh-CN"/>
        </w:rPr>
        <w:t>。】</w:t>
      </w:r>
    </w:p>
    <w:p w:rsidR="003C54B8" w:rsidRPr="003C54B8" w:rsidRDefault="003C54B8" w:rsidP="003C54B8">
      <w:pPr>
        <w:spacing w:before="102" w:line="257" w:lineRule="auto"/>
        <w:ind w:right="646" w:firstLineChars="200" w:firstLine="436"/>
        <w:jc w:val="both"/>
        <w:rPr>
          <w:rFonts w:ascii="微软雅黑" w:eastAsia="微软雅黑" w:hAnsi="微软雅黑" w:cs="微软雅黑"/>
          <w:color w:val="auto"/>
          <w:spacing w:val="4"/>
          <w:lang w:eastAsia="zh-CN"/>
        </w:rPr>
      </w:pPr>
      <w:r w:rsidRPr="003C54B8">
        <w:rPr>
          <w:rFonts w:ascii="微软雅黑" w:eastAsia="微软雅黑" w:hAnsi="微软雅黑" w:cs="微软雅黑" w:hint="eastAsia"/>
          <w:color w:val="auto"/>
          <w:spacing w:val="4"/>
          <w:lang w:eastAsia="zh-CN"/>
        </w:rPr>
        <w:t>【英国</w:t>
      </w:r>
      <w:r w:rsidRPr="003C54B8">
        <w:rPr>
          <w:rFonts w:ascii="微软雅黑" w:eastAsia="微软雅黑" w:hAnsi="微软雅黑" w:cs="微软雅黑"/>
          <w:color w:val="auto"/>
          <w:spacing w:val="4"/>
          <w:lang w:eastAsia="zh-CN"/>
        </w:rPr>
        <w:t>11</w:t>
      </w:r>
      <w:r w:rsidRPr="003C54B8">
        <w:rPr>
          <w:rFonts w:ascii="微软雅黑" w:eastAsia="微软雅黑" w:hAnsi="微软雅黑" w:cs="微软雅黑" w:hint="eastAsia"/>
          <w:color w:val="auto"/>
          <w:spacing w:val="4"/>
          <w:lang w:eastAsia="zh-CN"/>
        </w:rPr>
        <w:t>月</w:t>
      </w:r>
      <w:r w:rsidRPr="003C54B8">
        <w:rPr>
          <w:rFonts w:ascii="微软雅黑" w:eastAsia="微软雅黑" w:hAnsi="微软雅黑" w:cs="微软雅黑"/>
          <w:color w:val="auto"/>
          <w:spacing w:val="4"/>
          <w:lang w:eastAsia="zh-CN"/>
        </w:rPr>
        <w:t>CPI</w:t>
      </w:r>
      <w:r w:rsidRPr="003C54B8">
        <w:rPr>
          <w:rFonts w:ascii="微软雅黑" w:eastAsia="微软雅黑" w:hAnsi="微软雅黑" w:cs="微软雅黑" w:hint="eastAsia"/>
          <w:color w:val="auto"/>
          <w:spacing w:val="4"/>
          <w:lang w:eastAsia="zh-CN"/>
        </w:rPr>
        <w:t>同比升</w:t>
      </w:r>
      <w:r w:rsidRPr="003C54B8">
        <w:rPr>
          <w:rFonts w:ascii="微软雅黑" w:eastAsia="微软雅黑" w:hAnsi="微软雅黑" w:cs="微软雅黑"/>
          <w:color w:val="auto"/>
          <w:spacing w:val="4"/>
          <w:lang w:eastAsia="zh-CN"/>
        </w:rPr>
        <w:t>2.6%</w:t>
      </w:r>
      <w:r w:rsidRPr="003C54B8">
        <w:rPr>
          <w:rFonts w:ascii="微软雅黑" w:eastAsia="微软雅黑" w:hAnsi="微软雅黑" w:cs="微软雅黑" w:hint="eastAsia"/>
          <w:color w:val="auto"/>
          <w:spacing w:val="4"/>
          <w:lang w:eastAsia="zh-CN"/>
        </w:rPr>
        <w:t>，为八个月高位，预期升</w:t>
      </w:r>
      <w:r w:rsidRPr="003C54B8">
        <w:rPr>
          <w:rFonts w:ascii="微软雅黑" w:eastAsia="微软雅黑" w:hAnsi="微软雅黑" w:cs="微软雅黑"/>
          <w:color w:val="auto"/>
          <w:spacing w:val="4"/>
          <w:lang w:eastAsia="zh-CN"/>
        </w:rPr>
        <w:t>2.6%</w:t>
      </w:r>
      <w:r w:rsidRPr="003C54B8">
        <w:rPr>
          <w:rFonts w:ascii="微软雅黑" w:eastAsia="微软雅黑" w:hAnsi="微软雅黑" w:cs="微软雅黑" w:hint="eastAsia"/>
          <w:color w:val="auto"/>
          <w:spacing w:val="4"/>
          <w:lang w:eastAsia="zh-CN"/>
        </w:rPr>
        <w:t>，前值升</w:t>
      </w:r>
      <w:r w:rsidRPr="003C54B8">
        <w:rPr>
          <w:rFonts w:ascii="微软雅黑" w:eastAsia="微软雅黑" w:hAnsi="微软雅黑" w:cs="微软雅黑"/>
          <w:color w:val="auto"/>
          <w:spacing w:val="4"/>
          <w:lang w:eastAsia="zh-CN"/>
        </w:rPr>
        <w:t>2.3%</w:t>
      </w:r>
      <w:r w:rsidRPr="003C54B8">
        <w:rPr>
          <w:rFonts w:ascii="微软雅黑" w:eastAsia="微软雅黑" w:hAnsi="微软雅黑" w:cs="微软雅黑" w:hint="eastAsia"/>
          <w:color w:val="auto"/>
          <w:spacing w:val="4"/>
          <w:lang w:eastAsia="zh-CN"/>
        </w:rPr>
        <w:t>；环比升</w:t>
      </w:r>
      <w:r w:rsidRPr="003C54B8">
        <w:rPr>
          <w:rFonts w:ascii="微软雅黑" w:eastAsia="微软雅黑" w:hAnsi="微软雅黑" w:cs="微软雅黑"/>
          <w:color w:val="auto"/>
          <w:spacing w:val="4"/>
          <w:lang w:eastAsia="zh-CN"/>
        </w:rPr>
        <w:t>0.1%</w:t>
      </w:r>
      <w:r w:rsidRPr="003C54B8">
        <w:rPr>
          <w:rFonts w:ascii="微软雅黑" w:eastAsia="微软雅黑" w:hAnsi="微软雅黑" w:cs="微软雅黑" w:hint="eastAsia"/>
          <w:color w:val="auto"/>
          <w:spacing w:val="4"/>
          <w:lang w:eastAsia="zh-CN"/>
        </w:rPr>
        <w:t>，预期升</w:t>
      </w:r>
      <w:r w:rsidRPr="003C54B8">
        <w:rPr>
          <w:rFonts w:ascii="微软雅黑" w:eastAsia="微软雅黑" w:hAnsi="微软雅黑" w:cs="微软雅黑"/>
          <w:color w:val="auto"/>
          <w:spacing w:val="4"/>
          <w:lang w:eastAsia="zh-CN"/>
        </w:rPr>
        <w:t>0.1%</w:t>
      </w:r>
      <w:r w:rsidRPr="003C54B8">
        <w:rPr>
          <w:rFonts w:ascii="微软雅黑" w:eastAsia="微软雅黑" w:hAnsi="微软雅黑" w:cs="微软雅黑" w:hint="eastAsia"/>
          <w:color w:val="auto"/>
          <w:spacing w:val="4"/>
          <w:lang w:eastAsia="zh-CN"/>
        </w:rPr>
        <w:t>，前值升</w:t>
      </w:r>
      <w:r w:rsidRPr="003C54B8">
        <w:rPr>
          <w:rFonts w:ascii="微软雅黑" w:eastAsia="微软雅黑" w:hAnsi="微软雅黑" w:cs="微软雅黑"/>
          <w:color w:val="auto"/>
          <w:spacing w:val="4"/>
          <w:lang w:eastAsia="zh-CN"/>
        </w:rPr>
        <w:t>0.6%</w:t>
      </w:r>
      <w:r w:rsidRPr="003C54B8">
        <w:rPr>
          <w:rFonts w:ascii="微软雅黑" w:eastAsia="微软雅黑" w:hAnsi="微软雅黑" w:cs="微软雅黑" w:hint="eastAsia"/>
          <w:color w:val="auto"/>
          <w:spacing w:val="4"/>
          <w:lang w:eastAsia="zh-CN"/>
        </w:rPr>
        <w:t>。】</w:t>
      </w:r>
    </w:p>
    <w:p w:rsidR="00DE289B" w:rsidRDefault="003C54B8" w:rsidP="003C54B8">
      <w:pPr>
        <w:spacing w:before="102" w:line="257" w:lineRule="auto"/>
        <w:ind w:right="646" w:firstLineChars="200" w:firstLine="436"/>
        <w:jc w:val="both"/>
        <w:rPr>
          <w:rFonts w:ascii="微软雅黑" w:eastAsia="微软雅黑" w:hAnsi="微软雅黑" w:cs="微软雅黑"/>
          <w:color w:val="auto"/>
          <w:spacing w:val="4"/>
          <w:lang w:eastAsia="zh-CN"/>
        </w:rPr>
      </w:pPr>
      <w:r w:rsidRPr="003C54B8">
        <w:rPr>
          <w:rFonts w:ascii="微软雅黑" w:eastAsia="微软雅黑" w:hAnsi="微软雅黑" w:cs="微软雅黑" w:hint="eastAsia"/>
          <w:color w:val="auto"/>
          <w:spacing w:val="4"/>
          <w:lang w:eastAsia="zh-CN"/>
        </w:rPr>
        <w:t>【英国</w:t>
      </w:r>
      <w:r w:rsidRPr="003C54B8">
        <w:rPr>
          <w:rFonts w:ascii="微软雅黑" w:eastAsia="微软雅黑" w:hAnsi="微软雅黑" w:cs="微软雅黑"/>
          <w:color w:val="auto"/>
          <w:spacing w:val="4"/>
          <w:lang w:eastAsia="zh-CN"/>
        </w:rPr>
        <w:t>11</w:t>
      </w:r>
      <w:r w:rsidRPr="003C54B8">
        <w:rPr>
          <w:rFonts w:ascii="微软雅黑" w:eastAsia="微软雅黑" w:hAnsi="微软雅黑" w:cs="微软雅黑" w:hint="eastAsia"/>
          <w:color w:val="auto"/>
          <w:spacing w:val="4"/>
          <w:lang w:eastAsia="zh-CN"/>
        </w:rPr>
        <w:t>月零售物价指数环比持平，预期升</w:t>
      </w:r>
      <w:r w:rsidRPr="003C54B8">
        <w:rPr>
          <w:rFonts w:ascii="微软雅黑" w:eastAsia="微软雅黑" w:hAnsi="微软雅黑" w:cs="微软雅黑"/>
          <w:color w:val="auto"/>
          <w:spacing w:val="4"/>
          <w:lang w:eastAsia="zh-CN"/>
        </w:rPr>
        <w:t>0.2%</w:t>
      </w:r>
      <w:r w:rsidRPr="003C54B8">
        <w:rPr>
          <w:rFonts w:ascii="微软雅黑" w:eastAsia="微软雅黑" w:hAnsi="微软雅黑" w:cs="微软雅黑" w:hint="eastAsia"/>
          <w:color w:val="auto"/>
          <w:spacing w:val="4"/>
          <w:lang w:eastAsia="zh-CN"/>
        </w:rPr>
        <w:t>，前值升</w:t>
      </w:r>
      <w:r w:rsidRPr="003C54B8">
        <w:rPr>
          <w:rFonts w:ascii="微软雅黑" w:eastAsia="微软雅黑" w:hAnsi="微软雅黑" w:cs="微软雅黑"/>
          <w:color w:val="auto"/>
          <w:spacing w:val="4"/>
          <w:lang w:eastAsia="zh-CN"/>
        </w:rPr>
        <w:t>0.5%</w:t>
      </w:r>
      <w:r w:rsidRPr="003C54B8">
        <w:rPr>
          <w:rFonts w:ascii="微软雅黑" w:eastAsia="微软雅黑" w:hAnsi="微软雅黑" w:cs="微软雅黑" w:hint="eastAsia"/>
          <w:color w:val="auto"/>
          <w:spacing w:val="4"/>
          <w:lang w:eastAsia="zh-CN"/>
        </w:rPr>
        <w:t>；同比升</w:t>
      </w:r>
      <w:r w:rsidRPr="003C54B8">
        <w:rPr>
          <w:rFonts w:ascii="微软雅黑" w:eastAsia="微软雅黑" w:hAnsi="微软雅黑" w:cs="微软雅黑"/>
          <w:color w:val="auto"/>
          <w:spacing w:val="4"/>
          <w:lang w:eastAsia="zh-CN"/>
        </w:rPr>
        <w:t>3.6%</w:t>
      </w:r>
      <w:r w:rsidRPr="003C54B8">
        <w:rPr>
          <w:rFonts w:ascii="微软雅黑" w:eastAsia="微软雅黑" w:hAnsi="微软雅黑" w:cs="微软雅黑" w:hint="eastAsia"/>
          <w:color w:val="auto"/>
          <w:spacing w:val="4"/>
          <w:lang w:eastAsia="zh-CN"/>
        </w:rPr>
        <w:t>，预期升</w:t>
      </w:r>
      <w:r w:rsidRPr="003C54B8">
        <w:rPr>
          <w:rFonts w:ascii="微软雅黑" w:eastAsia="微软雅黑" w:hAnsi="微软雅黑" w:cs="微软雅黑"/>
          <w:color w:val="auto"/>
          <w:spacing w:val="4"/>
          <w:lang w:eastAsia="zh-CN"/>
        </w:rPr>
        <w:t>3.7%</w:t>
      </w:r>
      <w:r w:rsidRPr="003C54B8">
        <w:rPr>
          <w:rFonts w:ascii="微软雅黑" w:eastAsia="微软雅黑" w:hAnsi="微软雅黑" w:cs="微软雅黑" w:hint="eastAsia"/>
          <w:color w:val="auto"/>
          <w:spacing w:val="4"/>
          <w:lang w:eastAsia="zh-CN"/>
        </w:rPr>
        <w:t>，前值升</w:t>
      </w:r>
      <w:r w:rsidRPr="003C54B8">
        <w:rPr>
          <w:rFonts w:ascii="微软雅黑" w:eastAsia="微软雅黑" w:hAnsi="微软雅黑" w:cs="微软雅黑"/>
          <w:color w:val="auto"/>
          <w:spacing w:val="4"/>
          <w:lang w:eastAsia="zh-CN"/>
        </w:rPr>
        <w:t>3.4%</w:t>
      </w:r>
      <w:r w:rsidRPr="003C54B8">
        <w:rPr>
          <w:rFonts w:ascii="微软雅黑" w:eastAsia="微软雅黑" w:hAnsi="微软雅黑" w:cs="微软雅黑" w:hint="eastAsia"/>
          <w:color w:val="auto"/>
          <w:spacing w:val="4"/>
          <w:lang w:eastAsia="zh-CN"/>
        </w:rPr>
        <w:t>。】</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3C54B8" w:rsidTr="002731E2">
        <w:trPr>
          <w:trHeight w:val="618"/>
        </w:trPr>
        <w:tc>
          <w:tcPr>
            <w:tcW w:w="1731" w:type="dxa"/>
            <w:tcBorders>
              <w:top w:val="nil"/>
              <w:left w:val="nil"/>
              <w:bottom w:val="nil"/>
              <w:right w:val="nil"/>
            </w:tcBorders>
            <w:shd w:val="clear" w:color="auto" w:fill="auto"/>
          </w:tcPr>
          <w:p w:rsidR="003C54B8" w:rsidRDefault="003C54B8" w:rsidP="003C54B8">
            <w:pPr>
              <w:pStyle w:val="TableText"/>
              <w:ind w:firstLine="392"/>
              <w:rPr>
                <w:lang w:eastAsia="zh-CN"/>
              </w:rPr>
            </w:pPr>
            <w:r>
              <w:t>2024/12/19</w:t>
            </w:r>
          </w:p>
        </w:tc>
        <w:tc>
          <w:tcPr>
            <w:tcW w:w="1134" w:type="dxa"/>
            <w:tcBorders>
              <w:left w:val="nil"/>
            </w:tcBorders>
            <w:shd w:val="clear" w:color="auto" w:fill="auto"/>
          </w:tcPr>
          <w:p w:rsidR="003C54B8" w:rsidRPr="00853C1D" w:rsidRDefault="003C54B8" w:rsidP="003C54B8">
            <w:pPr>
              <w:pStyle w:val="TableText"/>
              <w:ind w:firstLine="392"/>
              <w:rPr>
                <w:lang w:eastAsia="zh-CN"/>
              </w:rPr>
            </w:pPr>
            <w:r>
              <w:rPr>
                <w:lang w:eastAsia="zh-CN"/>
              </w:rPr>
              <w:t>11</w:t>
            </w:r>
            <w:r>
              <w:rPr>
                <w:rFonts w:hint="eastAsia"/>
                <w:lang w:eastAsia="zh-CN"/>
              </w:rPr>
              <w:t>:</w:t>
            </w:r>
            <w:r>
              <w:rPr>
                <w:lang w:eastAsia="zh-CN"/>
              </w:rPr>
              <w:t>00</w:t>
            </w:r>
          </w:p>
        </w:tc>
        <w:tc>
          <w:tcPr>
            <w:tcW w:w="6524" w:type="dxa"/>
            <w:shd w:val="clear" w:color="auto" w:fill="auto"/>
          </w:tcPr>
          <w:p w:rsidR="003C54B8" w:rsidRPr="003C54B8" w:rsidRDefault="003C54B8" w:rsidP="003C54B8">
            <w:pPr>
              <w:pStyle w:val="TableText"/>
              <w:ind w:firstLine="392"/>
              <w:rPr>
                <w:b w:val="0"/>
                <w:lang w:eastAsia="zh-CN"/>
              </w:rPr>
            </w:pPr>
            <w:r w:rsidRPr="003C54B8">
              <w:rPr>
                <w:rFonts w:hint="eastAsia"/>
                <w:b w:val="0"/>
                <w:lang w:eastAsia="zh-CN"/>
              </w:rPr>
              <w:t>日本央行公布利率决议</w:t>
            </w:r>
          </w:p>
        </w:tc>
      </w:tr>
      <w:tr w:rsidR="003C54B8" w:rsidTr="00214344">
        <w:trPr>
          <w:trHeight w:val="618"/>
        </w:trPr>
        <w:tc>
          <w:tcPr>
            <w:tcW w:w="1731" w:type="dxa"/>
            <w:tcBorders>
              <w:top w:val="nil"/>
              <w:left w:val="nil"/>
              <w:bottom w:val="nil"/>
              <w:right w:val="nil"/>
            </w:tcBorders>
            <w:shd w:val="clear" w:color="auto" w:fill="D3EAFF"/>
          </w:tcPr>
          <w:p w:rsidR="003C54B8" w:rsidRDefault="003C54B8" w:rsidP="003C54B8">
            <w:pPr>
              <w:pStyle w:val="TableText"/>
              <w:ind w:firstLine="392"/>
              <w:rPr>
                <w:lang w:eastAsia="zh-CN"/>
              </w:rPr>
            </w:pPr>
            <w:r>
              <w:t>2024/12/19</w:t>
            </w:r>
          </w:p>
        </w:tc>
        <w:tc>
          <w:tcPr>
            <w:tcW w:w="1134" w:type="dxa"/>
            <w:tcBorders>
              <w:left w:val="nil"/>
            </w:tcBorders>
            <w:shd w:val="clear" w:color="auto" w:fill="D3EAFF"/>
          </w:tcPr>
          <w:p w:rsidR="003C54B8" w:rsidRPr="00853C1D" w:rsidRDefault="003C54B8" w:rsidP="003C54B8">
            <w:pPr>
              <w:pStyle w:val="TableText"/>
              <w:ind w:firstLine="392"/>
              <w:rPr>
                <w:lang w:eastAsia="zh-CN"/>
              </w:rPr>
            </w:pPr>
            <w:r>
              <w:rPr>
                <w:lang w:eastAsia="zh-CN"/>
              </w:rPr>
              <w:t>17:00</w:t>
            </w:r>
          </w:p>
        </w:tc>
        <w:tc>
          <w:tcPr>
            <w:tcW w:w="6524" w:type="dxa"/>
            <w:shd w:val="clear" w:color="auto" w:fill="D3EAFF"/>
          </w:tcPr>
          <w:p w:rsidR="003C54B8" w:rsidRPr="003C54B8" w:rsidRDefault="003C54B8" w:rsidP="003C54B8">
            <w:pPr>
              <w:pStyle w:val="TableText"/>
              <w:ind w:firstLine="392"/>
              <w:rPr>
                <w:b w:val="0"/>
                <w:lang w:eastAsia="zh-CN"/>
              </w:rPr>
            </w:pPr>
            <w:r w:rsidRPr="003C54B8">
              <w:rPr>
                <w:rFonts w:hint="eastAsia"/>
                <w:b w:val="0"/>
                <w:lang w:eastAsia="zh-CN"/>
              </w:rPr>
              <w:t>欧元区</w:t>
            </w:r>
            <w:r w:rsidRPr="003C54B8">
              <w:rPr>
                <w:b w:val="0"/>
                <w:lang w:eastAsia="zh-CN"/>
              </w:rPr>
              <w:t>10</w:t>
            </w:r>
            <w:r w:rsidRPr="003C54B8">
              <w:rPr>
                <w:rFonts w:hint="eastAsia"/>
                <w:b w:val="0"/>
                <w:lang w:eastAsia="zh-CN"/>
              </w:rPr>
              <w:t>月季调后经常帐</w:t>
            </w:r>
          </w:p>
        </w:tc>
      </w:tr>
      <w:tr w:rsidR="003C54B8" w:rsidTr="00214344">
        <w:trPr>
          <w:trHeight w:val="618"/>
        </w:trPr>
        <w:tc>
          <w:tcPr>
            <w:tcW w:w="1731" w:type="dxa"/>
            <w:tcBorders>
              <w:top w:val="nil"/>
            </w:tcBorders>
            <w:shd w:val="clear" w:color="auto" w:fill="auto"/>
          </w:tcPr>
          <w:p w:rsidR="003C54B8" w:rsidRPr="00853C1D" w:rsidRDefault="003C54B8" w:rsidP="003C54B8">
            <w:pPr>
              <w:pStyle w:val="TableText"/>
              <w:ind w:firstLine="392"/>
              <w:rPr>
                <w:lang w:eastAsia="zh-CN"/>
              </w:rPr>
            </w:pPr>
            <w:r>
              <w:t>2024/12/19</w:t>
            </w:r>
          </w:p>
        </w:tc>
        <w:tc>
          <w:tcPr>
            <w:tcW w:w="1134" w:type="dxa"/>
            <w:shd w:val="clear" w:color="auto" w:fill="auto"/>
          </w:tcPr>
          <w:p w:rsidR="003C54B8" w:rsidRPr="00853C1D" w:rsidRDefault="003C54B8" w:rsidP="003C54B8">
            <w:pPr>
              <w:pStyle w:val="TableText"/>
              <w:ind w:firstLine="392"/>
              <w:rPr>
                <w:lang w:eastAsia="zh-CN"/>
              </w:rPr>
            </w:pPr>
            <w:r>
              <w:rPr>
                <w:lang w:eastAsia="zh-CN"/>
              </w:rPr>
              <w:t>20</w:t>
            </w:r>
            <w:r>
              <w:rPr>
                <w:rFonts w:hint="eastAsia"/>
                <w:lang w:eastAsia="zh-CN"/>
              </w:rPr>
              <w:t>:</w:t>
            </w:r>
            <w:r>
              <w:rPr>
                <w:lang w:eastAsia="zh-CN"/>
              </w:rPr>
              <w:t>00</w:t>
            </w:r>
          </w:p>
        </w:tc>
        <w:tc>
          <w:tcPr>
            <w:tcW w:w="6524" w:type="dxa"/>
            <w:shd w:val="clear" w:color="auto" w:fill="auto"/>
          </w:tcPr>
          <w:p w:rsidR="003C54B8" w:rsidRPr="003C54B8" w:rsidRDefault="003C54B8" w:rsidP="003C54B8">
            <w:pPr>
              <w:pStyle w:val="TableText"/>
              <w:ind w:firstLine="392"/>
              <w:rPr>
                <w:b w:val="0"/>
                <w:lang w:eastAsia="zh-CN"/>
              </w:rPr>
            </w:pPr>
            <w:r w:rsidRPr="003C54B8">
              <w:rPr>
                <w:rFonts w:hint="eastAsia"/>
                <w:b w:val="0"/>
                <w:lang w:eastAsia="zh-CN"/>
              </w:rPr>
              <w:t>英国央行公布利率决议和会议纪要</w:t>
            </w:r>
          </w:p>
        </w:tc>
      </w:tr>
      <w:tr w:rsidR="003C54B8" w:rsidTr="00214344">
        <w:trPr>
          <w:trHeight w:val="618"/>
        </w:trPr>
        <w:tc>
          <w:tcPr>
            <w:tcW w:w="1731" w:type="dxa"/>
            <w:shd w:val="clear" w:color="auto" w:fill="D3EAFF"/>
          </w:tcPr>
          <w:p w:rsidR="003C54B8" w:rsidRDefault="003C54B8" w:rsidP="003C54B8">
            <w:pPr>
              <w:pStyle w:val="TableText"/>
              <w:ind w:firstLine="392"/>
              <w:rPr>
                <w:lang w:eastAsia="zh-CN"/>
              </w:rPr>
            </w:pPr>
            <w:r>
              <w:t>2024/12/19</w:t>
            </w:r>
          </w:p>
        </w:tc>
        <w:tc>
          <w:tcPr>
            <w:tcW w:w="1134" w:type="dxa"/>
            <w:shd w:val="clear" w:color="auto" w:fill="D3EAFF"/>
          </w:tcPr>
          <w:p w:rsidR="003C54B8" w:rsidRDefault="003C54B8" w:rsidP="003C54B8">
            <w:pPr>
              <w:pStyle w:val="TableText"/>
              <w:ind w:firstLine="392"/>
              <w:rPr>
                <w:b w:val="0"/>
                <w:bCs w:val="0"/>
                <w:lang w:eastAsia="zh-CN"/>
              </w:rPr>
            </w:pPr>
            <w:r>
              <w:rPr>
                <w:lang w:eastAsia="zh-CN"/>
              </w:rPr>
              <w:t>18</w:t>
            </w:r>
            <w:r>
              <w:rPr>
                <w:rFonts w:hint="eastAsia"/>
                <w:lang w:eastAsia="zh-CN"/>
              </w:rPr>
              <w:t>:</w:t>
            </w:r>
            <w:r>
              <w:rPr>
                <w:lang w:eastAsia="zh-CN"/>
              </w:rPr>
              <w:t>00</w:t>
            </w:r>
          </w:p>
        </w:tc>
        <w:tc>
          <w:tcPr>
            <w:tcW w:w="6524" w:type="dxa"/>
            <w:shd w:val="clear" w:color="auto" w:fill="D3EAFF"/>
          </w:tcPr>
          <w:p w:rsidR="003C54B8" w:rsidRPr="003C54B8" w:rsidRDefault="003C54B8" w:rsidP="003C54B8">
            <w:pPr>
              <w:pStyle w:val="TableText"/>
              <w:ind w:firstLine="392"/>
              <w:rPr>
                <w:b w:val="0"/>
                <w:lang w:eastAsia="zh-CN"/>
              </w:rPr>
            </w:pPr>
            <w:r w:rsidRPr="003C54B8">
              <w:rPr>
                <w:rFonts w:hint="eastAsia"/>
                <w:b w:val="0"/>
                <w:lang w:eastAsia="zh-CN"/>
              </w:rPr>
              <w:t>欧元区</w:t>
            </w:r>
            <w:r w:rsidRPr="003C54B8">
              <w:rPr>
                <w:b w:val="0"/>
                <w:lang w:eastAsia="zh-CN"/>
              </w:rPr>
              <w:t>11</w:t>
            </w:r>
            <w:r w:rsidRPr="003C54B8">
              <w:rPr>
                <w:rFonts w:hint="eastAsia"/>
                <w:b w:val="0"/>
                <w:lang w:eastAsia="zh-CN"/>
              </w:rPr>
              <w:t>月</w:t>
            </w:r>
            <w:r w:rsidRPr="003C54B8">
              <w:rPr>
                <w:b w:val="0"/>
                <w:lang w:eastAsia="zh-CN"/>
              </w:rPr>
              <w:t>CPI</w:t>
            </w:r>
            <w:r w:rsidRPr="003C54B8">
              <w:rPr>
                <w:rFonts w:hint="eastAsia"/>
                <w:b w:val="0"/>
                <w:lang w:eastAsia="zh-CN"/>
              </w:rPr>
              <w:t>月率终值</w:t>
            </w:r>
          </w:p>
        </w:tc>
      </w:tr>
      <w:tr w:rsidR="003C54B8" w:rsidTr="005D2A13">
        <w:trPr>
          <w:trHeight w:val="618"/>
        </w:trPr>
        <w:tc>
          <w:tcPr>
            <w:tcW w:w="1731" w:type="dxa"/>
            <w:shd w:val="clear" w:color="auto" w:fill="FFFFFF" w:themeFill="background1"/>
          </w:tcPr>
          <w:p w:rsidR="003C54B8" w:rsidRDefault="003C54B8" w:rsidP="003C54B8">
            <w:pPr>
              <w:pStyle w:val="TableText"/>
              <w:ind w:firstLine="392"/>
            </w:pPr>
            <w:r>
              <w:t>2024/12/19</w:t>
            </w:r>
          </w:p>
        </w:tc>
        <w:tc>
          <w:tcPr>
            <w:tcW w:w="1134" w:type="dxa"/>
            <w:shd w:val="clear" w:color="auto" w:fill="FFFFFF" w:themeFill="background1"/>
          </w:tcPr>
          <w:p w:rsidR="003C54B8" w:rsidRDefault="003C54B8" w:rsidP="003C54B8">
            <w:pPr>
              <w:pStyle w:val="TableText"/>
              <w:ind w:firstLine="392"/>
              <w:rPr>
                <w:lang w:eastAsia="zh-CN"/>
              </w:rPr>
            </w:pPr>
            <w:r>
              <w:rPr>
                <w:lang w:eastAsia="zh-CN"/>
              </w:rPr>
              <w:t>21</w:t>
            </w:r>
            <w:r>
              <w:rPr>
                <w:rFonts w:hint="eastAsia"/>
                <w:lang w:eastAsia="zh-CN"/>
              </w:rPr>
              <w:t>:</w:t>
            </w:r>
            <w:r>
              <w:rPr>
                <w:lang w:eastAsia="zh-CN"/>
              </w:rPr>
              <w:t>30</w:t>
            </w:r>
          </w:p>
        </w:tc>
        <w:tc>
          <w:tcPr>
            <w:tcW w:w="6524" w:type="dxa"/>
            <w:shd w:val="clear" w:color="auto" w:fill="FFFFFF" w:themeFill="background1"/>
          </w:tcPr>
          <w:p w:rsidR="003C54B8" w:rsidRPr="003C54B8" w:rsidRDefault="003C54B8" w:rsidP="003C54B8">
            <w:pPr>
              <w:pStyle w:val="TableText"/>
              <w:ind w:firstLine="392"/>
              <w:rPr>
                <w:b w:val="0"/>
                <w:lang w:eastAsia="zh-CN"/>
              </w:rPr>
            </w:pPr>
            <w:r w:rsidRPr="003C54B8">
              <w:rPr>
                <w:rFonts w:hint="eastAsia"/>
                <w:b w:val="0"/>
                <w:lang w:eastAsia="zh-CN"/>
              </w:rPr>
              <w:t>美国至</w:t>
            </w:r>
            <w:r w:rsidRPr="003C54B8">
              <w:rPr>
                <w:b w:val="0"/>
                <w:lang w:eastAsia="zh-CN"/>
              </w:rPr>
              <w:t>12</w:t>
            </w:r>
            <w:r w:rsidRPr="003C54B8">
              <w:rPr>
                <w:rFonts w:hint="eastAsia"/>
                <w:b w:val="0"/>
                <w:lang w:eastAsia="zh-CN"/>
              </w:rPr>
              <w:t>月</w:t>
            </w:r>
            <w:r w:rsidRPr="003C54B8">
              <w:rPr>
                <w:b w:val="0"/>
                <w:lang w:eastAsia="zh-CN"/>
              </w:rPr>
              <w:t>14</w:t>
            </w:r>
            <w:r w:rsidRPr="003C54B8">
              <w:rPr>
                <w:rFonts w:hint="eastAsia"/>
                <w:b w:val="0"/>
                <w:lang w:eastAsia="zh-CN"/>
              </w:rPr>
              <w:t>日当周初请失业金人数</w:t>
            </w:r>
          </w:p>
        </w:tc>
      </w:tr>
      <w:tr w:rsidR="003C54B8" w:rsidTr="006B4BE7">
        <w:trPr>
          <w:trHeight w:val="618"/>
        </w:trPr>
        <w:tc>
          <w:tcPr>
            <w:tcW w:w="1731" w:type="dxa"/>
            <w:shd w:val="clear" w:color="auto" w:fill="D3EAFF"/>
          </w:tcPr>
          <w:p w:rsidR="003C54B8" w:rsidRDefault="003C54B8" w:rsidP="003C54B8">
            <w:pPr>
              <w:pStyle w:val="TableText"/>
              <w:ind w:firstLine="392"/>
              <w:rPr>
                <w:lang w:eastAsia="zh-CN"/>
              </w:rPr>
            </w:pPr>
            <w:r>
              <w:t>2024/12/</w:t>
            </w:r>
            <w:r>
              <w:t>19</w:t>
            </w:r>
          </w:p>
        </w:tc>
        <w:tc>
          <w:tcPr>
            <w:tcW w:w="1134" w:type="dxa"/>
            <w:shd w:val="clear" w:color="auto" w:fill="D3EAFF"/>
          </w:tcPr>
          <w:p w:rsidR="003C54B8" w:rsidRDefault="003C54B8" w:rsidP="003C54B8">
            <w:pPr>
              <w:pStyle w:val="TableText"/>
              <w:ind w:firstLine="392"/>
              <w:rPr>
                <w:b w:val="0"/>
                <w:bCs w:val="0"/>
                <w:lang w:eastAsia="zh-CN"/>
              </w:rPr>
            </w:pPr>
            <w:r>
              <w:rPr>
                <w:lang w:eastAsia="zh-CN"/>
              </w:rPr>
              <w:t>21</w:t>
            </w:r>
            <w:r>
              <w:rPr>
                <w:rFonts w:hint="eastAsia"/>
                <w:lang w:eastAsia="zh-CN"/>
              </w:rPr>
              <w:t>:</w:t>
            </w:r>
            <w:r>
              <w:rPr>
                <w:lang w:eastAsia="zh-CN"/>
              </w:rPr>
              <w:t>3</w:t>
            </w:r>
            <w:r>
              <w:rPr>
                <w:lang w:eastAsia="zh-CN"/>
              </w:rPr>
              <w:t>0</w:t>
            </w:r>
          </w:p>
        </w:tc>
        <w:tc>
          <w:tcPr>
            <w:tcW w:w="6524" w:type="dxa"/>
            <w:shd w:val="clear" w:color="auto" w:fill="D3EAFF"/>
          </w:tcPr>
          <w:p w:rsidR="003C54B8" w:rsidRPr="003F1B2F" w:rsidRDefault="003C54B8" w:rsidP="003C54B8">
            <w:pPr>
              <w:pStyle w:val="TableText"/>
              <w:ind w:firstLine="392"/>
              <w:rPr>
                <w:b w:val="0"/>
                <w:lang w:eastAsia="zh-CN"/>
              </w:rPr>
            </w:pPr>
            <w:r w:rsidRPr="003C54B8">
              <w:rPr>
                <w:rFonts w:hint="eastAsia"/>
                <w:b w:val="0"/>
                <w:lang w:eastAsia="zh-CN"/>
              </w:rPr>
              <w:t>美国第三季度实际</w:t>
            </w:r>
            <w:r w:rsidRPr="003C54B8">
              <w:rPr>
                <w:b w:val="0"/>
                <w:lang w:eastAsia="zh-CN"/>
              </w:rPr>
              <w:t>GDP</w:t>
            </w:r>
            <w:r w:rsidRPr="003C54B8">
              <w:rPr>
                <w:rFonts w:hint="eastAsia"/>
                <w:b w:val="0"/>
                <w:lang w:eastAsia="zh-CN"/>
              </w:rPr>
              <w:t>年化季率终值</w:t>
            </w:r>
          </w:p>
        </w:tc>
      </w:tr>
      <w:tr w:rsidR="003C54B8" w:rsidTr="003C54B8">
        <w:trPr>
          <w:trHeight w:val="618"/>
        </w:trPr>
        <w:tc>
          <w:tcPr>
            <w:tcW w:w="1731" w:type="dxa"/>
            <w:shd w:val="clear" w:color="auto" w:fill="FFFFFF" w:themeFill="background1"/>
          </w:tcPr>
          <w:p w:rsidR="003C54B8" w:rsidRDefault="003C54B8" w:rsidP="003C54B8">
            <w:pPr>
              <w:pStyle w:val="TableText"/>
              <w:ind w:firstLine="392"/>
              <w:rPr>
                <w:lang w:eastAsia="zh-CN"/>
              </w:rPr>
            </w:pPr>
            <w:r>
              <w:t>2024/12/</w:t>
            </w:r>
            <w:r>
              <w:t>19</w:t>
            </w:r>
          </w:p>
        </w:tc>
        <w:tc>
          <w:tcPr>
            <w:tcW w:w="1134" w:type="dxa"/>
            <w:shd w:val="clear" w:color="auto" w:fill="FFFFFF" w:themeFill="background1"/>
          </w:tcPr>
          <w:p w:rsidR="003C54B8" w:rsidRDefault="003C54B8" w:rsidP="003C54B8">
            <w:pPr>
              <w:pStyle w:val="TableText"/>
              <w:ind w:firstLine="392"/>
              <w:rPr>
                <w:b w:val="0"/>
                <w:bCs w:val="0"/>
                <w:lang w:eastAsia="zh-CN"/>
              </w:rPr>
            </w:pPr>
            <w:r>
              <w:rPr>
                <w:lang w:eastAsia="zh-CN"/>
              </w:rPr>
              <w:t>21</w:t>
            </w:r>
            <w:r>
              <w:rPr>
                <w:rFonts w:hint="eastAsia"/>
                <w:lang w:eastAsia="zh-CN"/>
              </w:rPr>
              <w:t>:</w:t>
            </w:r>
            <w:r>
              <w:rPr>
                <w:lang w:eastAsia="zh-CN"/>
              </w:rPr>
              <w:t>3</w:t>
            </w:r>
            <w:r>
              <w:rPr>
                <w:lang w:eastAsia="zh-CN"/>
              </w:rPr>
              <w:t>0</w:t>
            </w:r>
          </w:p>
        </w:tc>
        <w:tc>
          <w:tcPr>
            <w:tcW w:w="6524" w:type="dxa"/>
            <w:shd w:val="clear" w:color="auto" w:fill="FFFFFF" w:themeFill="background1"/>
          </w:tcPr>
          <w:p w:rsidR="003C54B8" w:rsidRPr="004D48C6" w:rsidRDefault="003C54B8" w:rsidP="003C54B8">
            <w:pPr>
              <w:pStyle w:val="TableText"/>
              <w:ind w:firstLine="392"/>
              <w:rPr>
                <w:rFonts w:hint="eastAsia"/>
                <w:b w:val="0"/>
                <w:lang w:eastAsia="zh-CN"/>
              </w:rPr>
            </w:pPr>
            <w:r w:rsidRPr="003C54B8">
              <w:rPr>
                <w:rFonts w:hint="eastAsia"/>
                <w:b w:val="0"/>
                <w:lang w:eastAsia="zh-CN"/>
              </w:rPr>
              <w:t>美国第三季度核心</w:t>
            </w:r>
            <w:r w:rsidRPr="003C54B8">
              <w:rPr>
                <w:b w:val="0"/>
                <w:lang w:eastAsia="zh-CN"/>
              </w:rPr>
              <w:t>PCE</w:t>
            </w:r>
            <w:r w:rsidRPr="003C54B8">
              <w:rPr>
                <w:rFonts w:hint="eastAsia"/>
                <w:b w:val="0"/>
                <w:lang w:eastAsia="zh-CN"/>
              </w:rPr>
              <w:t>物价指数年化季率终值</w:t>
            </w:r>
          </w:p>
        </w:tc>
      </w:tr>
      <w:tr w:rsidR="003C54B8" w:rsidTr="006B4BE7">
        <w:trPr>
          <w:trHeight w:val="618"/>
        </w:trPr>
        <w:tc>
          <w:tcPr>
            <w:tcW w:w="1731" w:type="dxa"/>
            <w:shd w:val="clear" w:color="auto" w:fill="D3EAFF"/>
          </w:tcPr>
          <w:p w:rsidR="003C54B8" w:rsidRDefault="003C54B8" w:rsidP="003C54B8">
            <w:pPr>
              <w:pStyle w:val="TableText"/>
              <w:ind w:firstLine="392"/>
              <w:rPr>
                <w:lang w:eastAsia="zh-CN"/>
              </w:rPr>
            </w:pPr>
            <w:bookmarkStart w:id="0" w:name="_Hlk185489943"/>
            <w:r>
              <w:t>2024/12/</w:t>
            </w:r>
            <w:r>
              <w:t>19</w:t>
            </w:r>
          </w:p>
        </w:tc>
        <w:tc>
          <w:tcPr>
            <w:tcW w:w="1134" w:type="dxa"/>
            <w:shd w:val="clear" w:color="auto" w:fill="D3EAFF"/>
          </w:tcPr>
          <w:p w:rsidR="003C54B8" w:rsidRDefault="003C54B8" w:rsidP="003C54B8">
            <w:pPr>
              <w:pStyle w:val="TableText"/>
              <w:ind w:firstLine="392"/>
              <w:rPr>
                <w:b w:val="0"/>
                <w:bCs w:val="0"/>
                <w:lang w:eastAsia="zh-CN"/>
              </w:rPr>
            </w:pPr>
            <w:r>
              <w:rPr>
                <w:lang w:eastAsia="zh-CN"/>
              </w:rPr>
              <w:t>21</w:t>
            </w:r>
            <w:r>
              <w:rPr>
                <w:rFonts w:hint="eastAsia"/>
                <w:lang w:eastAsia="zh-CN"/>
              </w:rPr>
              <w:t>:</w:t>
            </w:r>
            <w:r>
              <w:rPr>
                <w:lang w:eastAsia="zh-CN"/>
              </w:rPr>
              <w:t>3</w:t>
            </w:r>
            <w:r>
              <w:rPr>
                <w:lang w:eastAsia="zh-CN"/>
              </w:rPr>
              <w:t>0</w:t>
            </w:r>
          </w:p>
        </w:tc>
        <w:tc>
          <w:tcPr>
            <w:tcW w:w="6524" w:type="dxa"/>
            <w:shd w:val="clear" w:color="auto" w:fill="D3EAFF"/>
          </w:tcPr>
          <w:p w:rsidR="003C54B8" w:rsidRPr="003C54B8" w:rsidRDefault="003C54B8" w:rsidP="003C54B8">
            <w:pPr>
              <w:pStyle w:val="TableText"/>
              <w:ind w:firstLine="392"/>
              <w:rPr>
                <w:b w:val="0"/>
                <w:lang w:eastAsia="zh-CN"/>
              </w:rPr>
            </w:pPr>
            <w:r w:rsidRPr="003C54B8">
              <w:rPr>
                <w:rFonts w:hint="eastAsia"/>
                <w:b w:val="0"/>
                <w:lang w:eastAsia="zh-CN"/>
              </w:rPr>
              <w:t>美国第三季度实际个人消费支出季率终值</w:t>
            </w:r>
          </w:p>
        </w:tc>
      </w:tr>
      <w:bookmarkEnd w:id="0"/>
    </w:tbl>
    <w:p w:rsidR="00882A0E" w:rsidRDefault="00882A0E" w:rsidP="00942C9E">
      <w:pPr>
        <w:spacing w:before="102" w:line="257" w:lineRule="auto"/>
        <w:ind w:right="646" w:firstLineChars="200" w:firstLine="420"/>
        <w:jc w:val="both"/>
        <w:rPr>
          <w:lang w:eastAsia="zh-CN"/>
        </w:rPr>
      </w:pPr>
    </w:p>
    <w:p w:rsidR="009372C5" w:rsidRDefault="003C54B8">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pt;height:14.4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D754A1" w:rsidRPr="00D754A1" w:rsidRDefault="00D754A1" w:rsidP="00D754A1">
      <w:pPr>
        <w:spacing w:before="103" w:line="256" w:lineRule="auto"/>
        <w:ind w:right="743" w:firstLineChars="200" w:firstLine="468"/>
        <w:jc w:val="both"/>
        <w:rPr>
          <w:rFonts w:ascii="微软雅黑" w:eastAsia="微软雅黑" w:hAnsi="微软雅黑" w:cs="微软雅黑"/>
          <w:spacing w:val="12"/>
          <w:lang w:eastAsia="zh-CN"/>
        </w:rPr>
      </w:pPr>
      <w:r w:rsidRPr="00D754A1">
        <w:rPr>
          <w:rFonts w:ascii="微软雅黑" w:eastAsia="微软雅黑" w:hAnsi="微软雅黑" w:cs="微软雅黑" w:hint="eastAsia"/>
          <w:spacing w:val="12"/>
          <w:lang w:eastAsia="zh-CN"/>
        </w:rPr>
        <w:t>美元指数上涨</w:t>
      </w:r>
      <w:r w:rsidRPr="00D754A1">
        <w:rPr>
          <w:rFonts w:ascii="微软雅黑" w:eastAsia="微软雅黑" w:hAnsi="微软雅黑" w:cs="微软雅黑"/>
          <w:spacing w:val="12"/>
          <w:lang w:eastAsia="zh-CN"/>
        </w:rPr>
        <w:t>1.23%</w:t>
      </w:r>
      <w:r w:rsidRPr="00D754A1">
        <w:rPr>
          <w:rFonts w:ascii="微软雅黑" w:eastAsia="微软雅黑" w:hAnsi="微软雅黑" w:cs="微软雅黑" w:hint="eastAsia"/>
          <w:spacing w:val="12"/>
          <w:lang w:eastAsia="zh-CN"/>
        </w:rPr>
        <w:t>，报</w:t>
      </w:r>
      <w:r w:rsidRPr="00D754A1">
        <w:rPr>
          <w:rFonts w:ascii="微软雅黑" w:eastAsia="微软雅黑" w:hAnsi="微软雅黑" w:cs="微软雅黑"/>
          <w:spacing w:val="12"/>
          <w:lang w:eastAsia="zh-CN"/>
        </w:rPr>
        <w:t>108.26</w:t>
      </w:r>
      <w:r w:rsidRPr="00D754A1">
        <w:rPr>
          <w:rFonts w:ascii="微软雅黑" w:eastAsia="微软雅黑" w:hAnsi="微软雅黑" w:cs="微软雅黑" w:hint="eastAsia"/>
          <w:spacing w:val="12"/>
          <w:lang w:eastAsia="zh-CN"/>
        </w:rPr>
        <w:t>，非美货币普遍下跌。欧元兑美元下跌</w:t>
      </w:r>
      <w:r w:rsidRPr="00D754A1">
        <w:rPr>
          <w:rFonts w:ascii="微软雅黑" w:eastAsia="微软雅黑" w:hAnsi="微软雅黑" w:cs="微软雅黑"/>
          <w:spacing w:val="12"/>
          <w:lang w:eastAsia="zh-CN"/>
        </w:rPr>
        <w:t>1.32%</w:t>
      </w:r>
      <w:r w:rsidRPr="00D754A1">
        <w:rPr>
          <w:rFonts w:ascii="微软雅黑" w:eastAsia="微软雅黑" w:hAnsi="微软雅黑" w:cs="微软雅黑" w:hint="eastAsia"/>
          <w:spacing w:val="12"/>
          <w:lang w:eastAsia="zh-CN"/>
        </w:rPr>
        <w:t>，报</w:t>
      </w:r>
      <w:r w:rsidRPr="00D754A1">
        <w:rPr>
          <w:rFonts w:ascii="微软雅黑" w:eastAsia="微软雅黑" w:hAnsi="微软雅黑" w:cs="微软雅黑"/>
          <w:spacing w:val="12"/>
          <w:lang w:eastAsia="zh-CN"/>
        </w:rPr>
        <w:t>1.0353</w:t>
      </w:r>
      <w:r w:rsidRPr="00D754A1">
        <w:rPr>
          <w:rFonts w:ascii="微软雅黑" w:eastAsia="微软雅黑" w:hAnsi="微软雅黑" w:cs="微软雅黑" w:hint="eastAsia"/>
          <w:spacing w:val="12"/>
          <w:lang w:eastAsia="zh-CN"/>
        </w:rPr>
        <w:t>；英镑兑美元下跌</w:t>
      </w:r>
      <w:r w:rsidRPr="00D754A1">
        <w:rPr>
          <w:rFonts w:ascii="微软雅黑" w:eastAsia="微软雅黑" w:hAnsi="微软雅黑" w:cs="微软雅黑"/>
          <w:spacing w:val="12"/>
          <w:lang w:eastAsia="zh-CN"/>
        </w:rPr>
        <w:t>1.06%</w:t>
      </w:r>
      <w:r w:rsidRPr="00D754A1">
        <w:rPr>
          <w:rFonts w:ascii="微软雅黑" w:eastAsia="微软雅黑" w:hAnsi="微软雅黑" w:cs="微软雅黑" w:hint="eastAsia"/>
          <w:spacing w:val="12"/>
          <w:lang w:eastAsia="zh-CN"/>
        </w:rPr>
        <w:t>，报</w:t>
      </w:r>
      <w:r w:rsidRPr="00D754A1">
        <w:rPr>
          <w:rFonts w:ascii="微软雅黑" w:eastAsia="微软雅黑" w:hAnsi="微软雅黑" w:cs="微软雅黑"/>
          <w:spacing w:val="12"/>
          <w:lang w:eastAsia="zh-CN"/>
        </w:rPr>
        <w:t>1.2576</w:t>
      </w:r>
      <w:r w:rsidRPr="00D754A1">
        <w:rPr>
          <w:rFonts w:ascii="微软雅黑" w:eastAsia="微软雅黑" w:hAnsi="微软雅黑" w:cs="微软雅黑" w:hint="eastAsia"/>
          <w:spacing w:val="12"/>
          <w:lang w:eastAsia="zh-CN"/>
        </w:rPr>
        <w:t>；澳元兑美元下跌</w:t>
      </w:r>
      <w:r w:rsidRPr="00D754A1">
        <w:rPr>
          <w:rFonts w:ascii="微软雅黑" w:eastAsia="微软雅黑" w:hAnsi="微软雅黑" w:cs="微软雅黑"/>
          <w:spacing w:val="12"/>
          <w:lang w:eastAsia="zh-CN"/>
        </w:rPr>
        <w:t>1.89%</w:t>
      </w:r>
      <w:r w:rsidRPr="00D754A1">
        <w:rPr>
          <w:rFonts w:ascii="微软雅黑" w:eastAsia="微软雅黑" w:hAnsi="微软雅黑" w:cs="微软雅黑" w:hint="eastAsia"/>
          <w:spacing w:val="12"/>
          <w:lang w:eastAsia="zh-CN"/>
        </w:rPr>
        <w:t>，报</w:t>
      </w:r>
      <w:r w:rsidRPr="00D754A1">
        <w:rPr>
          <w:rFonts w:ascii="微软雅黑" w:eastAsia="微软雅黑" w:hAnsi="微软雅黑" w:cs="微软雅黑"/>
          <w:spacing w:val="12"/>
          <w:lang w:eastAsia="zh-CN"/>
        </w:rPr>
        <w:t>0.6218</w:t>
      </w:r>
      <w:r w:rsidRPr="00D754A1">
        <w:rPr>
          <w:rFonts w:ascii="微软雅黑" w:eastAsia="微软雅黑" w:hAnsi="微软雅黑" w:cs="微软雅黑" w:hint="eastAsia"/>
          <w:spacing w:val="12"/>
          <w:lang w:eastAsia="zh-CN"/>
        </w:rPr>
        <w:t>；美元兑日元上涨</w:t>
      </w:r>
      <w:r w:rsidRPr="00D754A1">
        <w:rPr>
          <w:rFonts w:ascii="微软雅黑" w:eastAsia="微软雅黑" w:hAnsi="微软雅黑" w:cs="微软雅黑"/>
          <w:spacing w:val="12"/>
          <w:lang w:eastAsia="zh-CN"/>
        </w:rPr>
        <w:t>0.89%</w:t>
      </w:r>
      <w:r w:rsidRPr="00D754A1">
        <w:rPr>
          <w:rFonts w:ascii="微软雅黑" w:eastAsia="微软雅黑" w:hAnsi="微软雅黑" w:cs="微软雅黑" w:hint="eastAsia"/>
          <w:spacing w:val="12"/>
          <w:lang w:eastAsia="zh-CN"/>
        </w:rPr>
        <w:lastRenderedPageBreak/>
        <w:t>，报</w:t>
      </w:r>
      <w:r w:rsidRPr="00D754A1">
        <w:rPr>
          <w:rFonts w:ascii="微软雅黑" w:eastAsia="微软雅黑" w:hAnsi="微软雅黑" w:cs="微软雅黑"/>
          <w:spacing w:val="12"/>
          <w:lang w:eastAsia="zh-CN"/>
        </w:rPr>
        <w:t>154.84</w:t>
      </w:r>
      <w:r w:rsidRPr="00D754A1">
        <w:rPr>
          <w:rFonts w:ascii="微软雅黑" w:eastAsia="微软雅黑" w:hAnsi="微软雅黑" w:cs="微软雅黑" w:hint="eastAsia"/>
          <w:spacing w:val="12"/>
          <w:lang w:eastAsia="zh-CN"/>
        </w:rPr>
        <w:t>。</w:t>
      </w:r>
      <w:bookmarkStart w:id="1" w:name="_GoBack"/>
      <w:bookmarkEnd w:id="1"/>
      <w:r w:rsidRPr="00D754A1">
        <w:rPr>
          <w:rFonts w:ascii="微软雅黑" w:eastAsia="微软雅黑" w:hAnsi="微软雅黑" w:cs="微软雅黑" w:hint="eastAsia"/>
          <w:spacing w:val="12"/>
          <w:lang w:eastAsia="zh-CN"/>
        </w:rPr>
        <w:t>昨日美元指数创下两年新高，这主要得益于美联储</w:t>
      </w:r>
      <w:r w:rsidRPr="00D754A1">
        <w:rPr>
          <w:rFonts w:ascii="微软雅黑" w:eastAsia="微软雅黑" w:hAnsi="微软雅黑" w:cs="微软雅黑"/>
          <w:spacing w:val="12"/>
          <w:lang w:eastAsia="zh-CN"/>
        </w:rPr>
        <w:t>FOMC</w:t>
      </w:r>
      <w:r w:rsidRPr="00D754A1">
        <w:rPr>
          <w:rFonts w:ascii="微软雅黑" w:eastAsia="微软雅黑" w:hAnsi="微软雅黑" w:cs="微软雅黑" w:hint="eastAsia"/>
          <w:spacing w:val="12"/>
          <w:lang w:eastAsia="zh-CN"/>
        </w:rPr>
        <w:t>的最新政策信号——预计明年仅降息</w:t>
      </w:r>
      <w:r w:rsidRPr="00D754A1">
        <w:rPr>
          <w:rFonts w:ascii="微软雅黑" w:eastAsia="微软雅黑" w:hAnsi="微软雅黑" w:cs="微软雅黑"/>
          <w:spacing w:val="12"/>
          <w:lang w:eastAsia="zh-CN"/>
        </w:rPr>
        <w:t>50</w:t>
      </w:r>
      <w:r w:rsidRPr="00D754A1">
        <w:rPr>
          <w:rFonts w:ascii="微软雅黑" w:eastAsia="微软雅黑" w:hAnsi="微软雅黑" w:cs="微软雅黑" w:hint="eastAsia"/>
          <w:spacing w:val="12"/>
          <w:lang w:eastAsia="zh-CN"/>
        </w:rPr>
        <w:t>个基点，低于</w:t>
      </w:r>
      <w:r w:rsidRPr="00D754A1">
        <w:rPr>
          <w:rFonts w:ascii="微软雅黑" w:eastAsia="微软雅黑" w:hAnsi="微软雅黑" w:cs="微软雅黑"/>
          <w:spacing w:val="12"/>
          <w:lang w:eastAsia="zh-CN"/>
        </w:rPr>
        <w:t>9</w:t>
      </w:r>
      <w:r w:rsidRPr="00D754A1">
        <w:rPr>
          <w:rFonts w:ascii="微软雅黑" w:eastAsia="微软雅黑" w:hAnsi="微软雅黑" w:cs="微软雅黑" w:hint="eastAsia"/>
          <w:spacing w:val="12"/>
          <w:lang w:eastAsia="zh-CN"/>
        </w:rPr>
        <w:t>月预测的降息</w:t>
      </w:r>
      <w:r w:rsidRPr="00D754A1">
        <w:rPr>
          <w:rFonts w:ascii="微软雅黑" w:eastAsia="微软雅黑" w:hAnsi="微软雅黑" w:cs="微软雅黑"/>
          <w:spacing w:val="12"/>
          <w:lang w:eastAsia="zh-CN"/>
        </w:rPr>
        <w:t>100</w:t>
      </w:r>
      <w:r w:rsidRPr="00D754A1">
        <w:rPr>
          <w:rFonts w:ascii="微软雅黑" w:eastAsia="微软雅黑" w:hAnsi="微软雅黑" w:cs="微软雅黑" w:hint="eastAsia"/>
          <w:spacing w:val="12"/>
          <w:lang w:eastAsia="zh-CN"/>
        </w:rPr>
        <w:t>个基点。此外，美联储上调了</w:t>
      </w:r>
      <w:r w:rsidRPr="00D754A1">
        <w:rPr>
          <w:rFonts w:ascii="微软雅黑" w:eastAsia="微软雅黑" w:hAnsi="微软雅黑" w:cs="微软雅黑"/>
          <w:spacing w:val="12"/>
          <w:lang w:eastAsia="zh-CN"/>
        </w:rPr>
        <w:t>2024</w:t>
      </w:r>
      <w:r w:rsidRPr="00D754A1">
        <w:rPr>
          <w:rFonts w:ascii="微软雅黑" w:eastAsia="微软雅黑" w:hAnsi="微软雅黑" w:cs="微软雅黑" w:hint="eastAsia"/>
          <w:spacing w:val="12"/>
          <w:lang w:eastAsia="zh-CN"/>
        </w:rPr>
        <w:t>年美国</w:t>
      </w:r>
      <w:r w:rsidRPr="00D754A1">
        <w:rPr>
          <w:rFonts w:ascii="微软雅黑" w:eastAsia="微软雅黑" w:hAnsi="微软雅黑" w:cs="微软雅黑"/>
          <w:spacing w:val="12"/>
          <w:lang w:eastAsia="zh-CN"/>
        </w:rPr>
        <w:t>GDP</w:t>
      </w:r>
      <w:r w:rsidRPr="00D754A1">
        <w:rPr>
          <w:rFonts w:ascii="微软雅黑" w:eastAsia="微软雅黑" w:hAnsi="微软雅黑" w:cs="微软雅黑" w:hint="eastAsia"/>
          <w:spacing w:val="12"/>
          <w:lang w:eastAsia="zh-CN"/>
        </w:rPr>
        <w:t>增速和核心</w:t>
      </w:r>
      <w:r w:rsidRPr="00D754A1">
        <w:rPr>
          <w:rFonts w:ascii="微软雅黑" w:eastAsia="微软雅黑" w:hAnsi="微软雅黑" w:cs="微软雅黑"/>
          <w:spacing w:val="12"/>
          <w:lang w:eastAsia="zh-CN"/>
        </w:rPr>
        <w:t>PCE</w:t>
      </w:r>
      <w:r w:rsidRPr="00D754A1">
        <w:rPr>
          <w:rFonts w:ascii="微软雅黑" w:eastAsia="微软雅黑" w:hAnsi="微软雅黑" w:cs="微软雅黑" w:hint="eastAsia"/>
          <w:spacing w:val="12"/>
          <w:lang w:eastAsia="zh-CN"/>
        </w:rPr>
        <w:t>物价指数的预期，并下调了失业率预测。美联储主席鲍威尔的鹰派言论进一步提振美元，他表示，为实现通胀目标，需要实施限制性的货币政策。美国住房数据对美元影响不一，</w:t>
      </w:r>
      <w:r w:rsidRPr="00D754A1">
        <w:rPr>
          <w:rFonts w:ascii="微软雅黑" w:eastAsia="微软雅黑" w:hAnsi="微软雅黑" w:cs="微软雅黑"/>
          <w:spacing w:val="12"/>
          <w:lang w:eastAsia="zh-CN"/>
        </w:rPr>
        <w:t>11</w:t>
      </w:r>
      <w:r w:rsidRPr="00D754A1">
        <w:rPr>
          <w:rFonts w:ascii="微软雅黑" w:eastAsia="微软雅黑" w:hAnsi="微软雅黑" w:cs="微软雅黑" w:hint="eastAsia"/>
          <w:spacing w:val="12"/>
          <w:lang w:eastAsia="zh-CN"/>
        </w:rPr>
        <w:t>月新屋开工总数意外下降，但营建许可数上升。然而，美国第三季度经常账户赤字创历史新高，可能对美元构成一定压力。</w:t>
      </w:r>
    </w:p>
    <w:p w:rsidR="00D754A1" w:rsidRPr="00D754A1" w:rsidRDefault="00D754A1" w:rsidP="00D754A1">
      <w:pPr>
        <w:spacing w:before="103" w:line="256" w:lineRule="auto"/>
        <w:ind w:right="743" w:firstLineChars="200" w:firstLine="468"/>
        <w:jc w:val="both"/>
        <w:rPr>
          <w:rFonts w:ascii="微软雅黑" w:eastAsia="微软雅黑" w:hAnsi="微软雅黑" w:cs="微软雅黑"/>
          <w:spacing w:val="12"/>
          <w:lang w:eastAsia="zh-CN"/>
        </w:rPr>
      </w:pPr>
      <w:r w:rsidRPr="00D754A1">
        <w:rPr>
          <w:rFonts w:ascii="微软雅黑" w:eastAsia="微软雅黑" w:hAnsi="微软雅黑" w:cs="微软雅黑" w:hint="eastAsia"/>
          <w:spacing w:val="12"/>
          <w:lang w:eastAsia="zh-CN"/>
        </w:rPr>
        <w:t>欧元兑美元跌至三周低点。同样，日元兑美元也跌至三周低点。主要受美国国债收益率飙升及美联储对明年减少货币宽松预期的影响，非美货币承压。日本贸易数据表现不一：</w:t>
      </w:r>
      <w:r w:rsidRPr="00D754A1">
        <w:rPr>
          <w:rFonts w:ascii="微软雅黑" w:eastAsia="微软雅黑" w:hAnsi="微软雅黑" w:cs="微软雅黑"/>
          <w:spacing w:val="12"/>
          <w:lang w:eastAsia="zh-CN"/>
        </w:rPr>
        <w:t>11</w:t>
      </w:r>
      <w:r w:rsidRPr="00D754A1">
        <w:rPr>
          <w:rFonts w:ascii="微软雅黑" w:eastAsia="微软雅黑" w:hAnsi="微软雅黑" w:cs="微软雅黑" w:hint="eastAsia"/>
          <w:spacing w:val="12"/>
          <w:lang w:eastAsia="zh-CN"/>
        </w:rPr>
        <w:t>月出口同比增长好于预期，但进口同比意外下降，为</w:t>
      </w:r>
      <w:r w:rsidRPr="00D754A1">
        <w:rPr>
          <w:rFonts w:ascii="微软雅黑" w:eastAsia="微软雅黑" w:hAnsi="微软雅黑" w:cs="微软雅黑"/>
          <w:spacing w:val="12"/>
          <w:lang w:eastAsia="zh-CN"/>
        </w:rPr>
        <w:t>8</w:t>
      </w:r>
      <w:r w:rsidRPr="00D754A1">
        <w:rPr>
          <w:rFonts w:ascii="微软雅黑" w:eastAsia="微软雅黑" w:hAnsi="微软雅黑" w:cs="微软雅黑" w:hint="eastAsia"/>
          <w:spacing w:val="12"/>
          <w:lang w:eastAsia="zh-CN"/>
        </w:rPr>
        <w:t>个月来最大降幅。市场普遍预期日本央行将在周四的政策会议上维持利率不变，这进一步压低了日元。</w:t>
      </w:r>
    </w:p>
    <w:p w:rsidR="00882A0E" w:rsidRPr="00882A0E" w:rsidRDefault="00D754A1" w:rsidP="00D754A1">
      <w:pPr>
        <w:spacing w:before="103" w:line="256" w:lineRule="auto"/>
        <w:ind w:right="743" w:firstLineChars="200" w:firstLine="468"/>
        <w:jc w:val="both"/>
        <w:rPr>
          <w:rFonts w:ascii="微软雅黑" w:eastAsia="微软雅黑" w:hAnsi="微软雅黑" w:cs="微软雅黑"/>
          <w:spacing w:val="12"/>
          <w:lang w:eastAsia="zh-CN"/>
        </w:rPr>
      </w:pPr>
      <w:r w:rsidRPr="00D754A1">
        <w:rPr>
          <w:rFonts w:ascii="微软雅黑" w:eastAsia="微软雅黑" w:hAnsi="微软雅黑" w:cs="微软雅黑" w:hint="eastAsia"/>
          <w:spacing w:val="12"/>
          <w:lang w:eastAsia="zh-CN"/>
        </w:rPr>
        <w:t>展望未来，随着美联储上调核心通胀预期并调整点阵图，市场正消化明年的降息预期。短期来看，美联储鹰派特征对美元形成支撑。</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1757BA">
      <w:pPr>
        <w:spacing w:before="103" w:line="256" w:lineRule="auto"/>
        <w:ind w:right="743"/>
        <w:jc w:val="both"/>
        <w:rPr>
          <w:lang w:eastAsia="zh-CN"/>
        </w:rPr>
      </w:pPr>
      <w:r>
        <w:rPr>
          <w:noProof/>
          <w:snapToGrid/>
          <w:lang w:eastAsia="zh-CN"/>
        </w:rPr>
        <w:drawing>
          <wp:inline distT="0" distB="0" distL="0" distR="0" wp14:anchorId="57D473B3" wp14:editId="3074BC7A">
            <wp:extent cx="6573520" cy="3302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73520" cy="3302000"/>
                    </a:xfrm>
                    <a:prstGeom prst="rect">
                      <a:avLst/>
                    </a:prstGeom>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rsidR="00882A0E" w:rsidRDefault="00882A0E">
      <w:pPr>
        <w:spacing w:before="103" w:line="256" w:lineRule="auto"/>
        <w:ind w:right="743"/>
        <w:jc w:val="both"/>
        <w:rPr>
          <w:rFonts w:ascii="微软雅黑" w:eastAsia="微软雅黑" w:hAnsi="微软雅黑" w:cs="微软雅黑"/>
          <w:b/>
          <w:bCs/>
          <w:spacing w:val="12"/>
          <w:lang w:eastAsia="zh-CN"/>
        </w:rPr>
      </w:pP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rsidR="009372C5" w:rsidRPr="00EE7376" w:rsidRDefault="00074DDF">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074DDF">
        <w:rPr>
          <w:rFonts w:ascii="微软雅黑" w:eastAsia="微软雅黑" w:hAnsi="微软雅黑" w:cs="微软雅黑" w:hint="eastAsia"/>
          <w:spacing w:val="12"/>
          <w:lang w:eastAsia="zh-CN"/>
        </w:rPr>
        <w:t>截至</w:t>
      </w:r>
      <w:r w:rsidRPr="00074DDF">
        <w:rPr>
          <w:rFonts w:ascii="微软雅黑" w:eastAsia="微软雅黑" w:hAnsi="微软雅黑" w:cs="微软雅黑"/>
          <w:spacing w:val="12"/>
          <w:lang w:eastAsia="zh-CN"/>
        </w:rPr>
        <w:t>12</w:t>
      </w:r>
      <w:r w:rsidRPr="00074DDF">
        <w:rPr>
          <w:rFonts w:ascii="微软雅黑" w:eastAsia="微软雅黑" w:hAnsi="微软雅黑" w:cs="微软雅黑" w:hint="eastAsia"/>
          <w:spacing w:val="12"/>
          <w:lang w:eastAsia="zh-CN"/>
        </w:rPr>
        <w:t>月</w:t>
      </w:r>
      <w:r w:rsidRPr="00074DDF">
        <w:rPr>
          <w:rFonts w:ascii="微软雅黑" w:eastAsia="微软雅黑" w:hAnsi="微软雅黑" w:cs="微软雅黑"/>
          <w:spacing w:val="12"/>
          <w:lang w:eastAsia="zh-CN"/>
        </w:rPr>
        <w:t>18</w:t>
      </w:r>
      <w:r w:rsidRPr="00074DDF">
        <w:rPr>
          <w:rFonts w:ascii="微软雅黑" w:eastAsia="微软雅黑" w:hAnsi="微软雅黑" w:cs="微软雅黑" w:hint="eastAsia"/>
          <w:spacing w:val="12"/>
          <w:lang w:eastAsia="zh-CN"/>
        </w:rPr>
        <w:t>日，标普</w:t>
      </w:r>
      <w:r w:rsidRPr="00074DDF">
        <w:rPr>
          <w:rFonts w:ascii="微软雅黑" w:eastAsia="微软雅黑" w:hAnsi="微软雅黑" w:cs="微软雅黑"/>
          <w:spacing w:val="12"/>
          <w:lang w:eastAsia="zh-CN"/>
        </w:rPr>
        <w:t>500</w:t>
      </w:r>
      <w:r w:rsidRPr="00074DDF">
        <w:rPr>
          <w:rFonts w:ascii="微软雅黑" w:eastAsia="微软雅黑" w:hAnsi="微软雅黑" w:cs="微软雅黑" w:hint="eastAsia"/>
          <w:spacing w:val="12"/>
          <w:lang w:eastAsia="zh-CN"/>
        </w:rPr>
        <w:t>指数下跌</w:t>
      </w:r>
      <w:r w:rsidRPr="00074DDF">
        <w:rPr>
          <w:rFonts w:ascii="微软雅黑" w:eastAsia="微软雅黑" w:hAnsi="微软雅黑" w:cs="微软雅黑"/>
          <w:spacing w:val="12"/>
          <w:lang w:eastAsia="zh-CN"/>
        </w:rPr>
        <w:t>2.95%</w:t>
      </w:r>
      <w:r w:rsidRPr="00074DDF">
        <w:rPr>
          <w:rFonts w:ascii="微软雅黑" w:eastAsia="微软雅黑" w:hAnsi="微软雅黑" w:cs="微软雅黑" w:hint="eastAsia"/>
          <w:spacing w:val="12"/>
          <w:lang w:eastAsia="zh-CN"/>
        </w:rPr>
        <w:t>，至</w:t>
      </w:r>
      <w:r w:rsidRPr="00074DDF">
        <w:rPr>
          <w:rFonts w:ascii="微软雅黑" w:eastAsia="微软雅黑" w:hAnsi="微软雅黑" w:cs="微软雅黑"/>
          <w:spacing w:val="12"/>
          <w:lang w:eastAsia="zh-CN"/>
        </w:rPr>
        <w:t>5872.16</w:t>
      </w:r>
      <w:r w:rsidRPr="00074DDF">
        <w:rPr>
          <w:rFonts w:ascii="微软雅黑" w:eastAsia="微软雅黑" w:hAnsi="微软雅黑" w:cs="微软雅黑" w:hint="eastAsia"/>
          <w:spacing w:val="12"/>
          <w:lang w:eastAsia="zh-CN"/>
        </w:rPr>
        <w:t>点；迷你标普</w:t>
      </w:r>
      <w:r w:rsidRPr="00074DDF">
        <w:rPr>
          <w:rFonts w:ascii="微软雅黑" w:eastAsia="微软雅黑" w:hAnsi="微软雅黑" w:cs="微软雅黑"/>
          <w:spacing w:val="12"/>
          <w:lang w:eastAsia="zh-CN"/>
        </w:rPr>
        <w:t>500</w:t>
      </w:r>
      <w:r w:rsidRPr="00074DDF">
        <w:rPr>
          <w:rFonts w:ascii="微软雅黑" w:eastAsia="微软雅黑" w:hAnsi="微软雅黑" w:cs="微软雅黑" w:hint="eastAsia"/>
          <w:spacing w:val="12"/>
          <w:lang w:eastAsia="zh-CN"/>
        </w:rPr>
        <w:t>主力合约下跌</w:t>
      </w:r>
      <w:r w:rsidRPr="00074DDF">
        <w:rPr>
          <w:rFonts w:ascii="微软雅黑" w:eastAsia="微软雅黑" w:hAnsi="微软雅黑" w:cs="微软雅黑"/>
          <w:spacing w:val="12"/>
          <w:lang w:eastAsia="zh-CN"/>
        </w:rPr>
        <w:t>1.86%</w:t>
      </w:r>
      <w:r w:rsidRPr="00074DDF">
        <w:rPr>
          <w:rFonts w:ascii="微软雅黑" w:eastAsia="微软雅黑" w:hAnsi="微软雅黑" w:cs="微软雅黑" w:hint="eastAsia"/>
          <w:spacing w:val="12"/>
          <w:lang w:eastAsia="zh-CN"/>
        </w:rPr>
        <w:t>至</w:t>
      </w:r>
      <w:r w:rsidRPr="00074DDF">
        <w:rPr>
          <w:rFonts w:ascii="微软雅黑" w:eastAsia="微软雅黑" w:hAnsi="微软雅黑" w:cs="微软雅黑"/>
          <w:spacing w:val="12"/>
          <w:lang w:eastAsia="zh-CN"/>
        </w:rPr>
        <w:t>5939.5</w:t>
      </w:r>
      <w:r w:rsidRPr="00074DDF">
        <w:rPr>
          <w:rFonts w:ascii="微软雅黑" w:eastAsia="微软雅黑" w:hAnsi="微软雅黑" w:cs="微软雅黑" w:hint="eastAsia"/>
          <w:spacing w:val="12"/>
          <w:lang w:eastAsia="zh-CN"/>
        </w:rPr>
        <w:t>点。美股三大股指集体大幅收跌，道指连跌</w:t>
      </w:r>
      <w:r w:rsidRPr="00074DDF">
        <w:rPr>
          <w:rFonts w:ascii="微软雅黑" w:eastAsia="微软雅黑" w:hAnsi="微软雅黑" w:cs="微软雅黑"/>
          <w:spacing w:val="12"/>
          <w:lang w:eastAsia="zh-CN"/>
        </w:rPr>
        <w:t>10</w:t>
      </w:r>
      <w:r w:rsidRPr="00074DDF">
        <w:rPr>
          <w:rFonts w:ascii="微软雅黑" w:eastAsia="微软雅黑" w:hAnsi="微软雅黑" w:cs="微软雅黑" w:hint="eastAsia"/>
          <w:spacing w:val="12"/>
          <w:lang w:eastAsia="zh-CN"/>
        </w:rPr>
        <w:t>日。美联储宣布降息</w:t>
      </w:r>
      <w:r w:rsidRPr="00074DDF">
        <w:rPr>
          <w:rFonts w:ascii="微软雅黑" w:eastAsia="微软雅黑" w:hAnsi="微软雅黑" w:cs="微软雅黑"/>
          <w:spacing w:val="12"/>
          <w:lang w:eastAsia="zh-CN"/>
        </w:rPr>
        <w:t>25</w:t>
      </w:r>
      <w:r w:rsidRPr="00074DDF">
        <w:rPr>
          <w:rFonts w:ascii="微软雅黑" w:eastAsia="微软雅黑" w:hAnsi="微软雅黑" w:cs="微软雅黑" w:hint="eastAsia"/>
          <w:spacing w:val="12"/>
          <w:lang w:eastAsia="zh-CN"/>
        </w:rPr>
        <w:t>个基点，同时会后公布的点阵图中，美联储官员大幅上调未来政策利率目标区间的中位数，预计</w:t>
      </w:r>
      <w:r w:rsidRPr="00074DDF">
        <w:rPr>
          <w:rFonts w:ascii="微软雅黑" w:eastAsia="微软雅黑" w:hAnsi="微软雅黑" w:cs="微软雅黑"/>
          <w:spacing w:val="12"/>
          <w:lang w:eastAsia="zh-CN"/>
        </w:rPr>
        <w:t>2025</w:t>
      </w:r>
      <w:r w:rsidRPr="00074DDF">
        <w:rPr>
          <w:rFonts w:ascii="微软雅黑" w:eastAsia="微软雅黑" w:hAnsi="微软雅黑" w:cs="微软雅黑" w:hint="eastAsia"/>
          <w:spacing w:val="12"/>
          <w:lang w:eastAsia="zh-CN"/>
        </w:rPr>
        <w:t>年仅降息两次，此外，对明年和后年的通胀预期也显著上调。美联储鹰派会议声明，压制股市，并推动美元、美债大幅走高。策略上，建议暂时观望。</w:t>
      </w:r>
    </w:p>
    <w:p w:rsidR="009372C5" w:rsidRPr="00EE7376" w:rsidRDefault="00115A1A">
      <w:pPr>
        <w:spacing w:before="103" w:line="256" w:lineRule="auto"/>
        <w:ind w:right="743"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lastRenderedPageBreak/>
        <w:t>图</w:t>
      </w:r>
      <w:r w:rsidR="004E3F95">
        <w:rPr>
          <w:rFonts w:ascii="微软雅黑" w:eastAsia="微软雅黑" w:hAnsi="微软雅黑" w:cs="微软雅黑" w:hint="eastAsia"/>
          <w:spacing w:val="7"/>
          <w:lang w:eastAsia="zh-CN"/>
        </w:rPr>
        <w:t>表</w:t>
      </w:r>
      <w:r w:rsidRPr="00EE7376">
        <w:rPr>
          <w:rFonts w:ascii="微软雅黑" w:eastAsia="微软雅黑" w:hAnsi="微软雅黑" w:cs="微软雅黑" w:hint="eastAsia"/>
          <w:spacing w:val="7"/>
          <w:lang w:eastAsia="zh-CN"/>
        </w:rPr>
        <w:t>3：S&amp;P500走势图</w:t>
      </w:r>
      <w:r w:rsidRPr="00EE7376">
        <w:rPr>
          <w:rFonts w:ascii="新宋体" w:eastAsia="新宋体" w:hAnsi="新宋体"/>
          <w:b/>
          <w:lang w:eastAsia="zh-CN"/>
        </w:rPr>
        <w:br w:type="textWrapping" w:clear="all"/>
      </w:r>
      <w:r w:rsidR="00074DDF" w:rsidRPr="00FA4CB0">
        <w:rPr>
          <w:rFonts w:ascii="新宋体" w:eastAsia="新宋体" w:hAnsi="新宋体"/>
          <w:b/>
          <w:noProof/>
        </w:rPr>
        <w:drawing>
          <wp:inline distT="0" distB="0" distL="0" distR="0" wp14:anchorId="57616E03" wp14:editId="4FC64DA5">
            <wp:extent cx="6146800" cy="1676400"/>
            <wp:effectExtent l="0" t="0" r="6350" b="0"/>
            <wp:docPr id="8" name="图片 8" descr="C:\Users\Administrator\Documents\WeChat Files\wxid_vkxlzo0vqu7s22\FileStorage\Temp\1734568613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456861370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7805" cy="1676674"/>
                    </a:xfrm>
                    <a:prstGeom prst="rect">
                      <a:avLst/>
                    </a:prstGeom>
                    <a:noFill/>
                    <a:ln>
                      <a:noFill/>
                    </a:ln>
                  </pic:spPr>
                </pic:pic>
              </a:graphicData>
            </a:graphic>
          </wp:inline>
        </w:drawing>
      </w:r>
    </w:p>
    <w:p w:rsidR="009372C5" w:rsidRPr="00EE7376" w:rsidRDefault="00115A1A">
      <w:pPr>
        <w:spacing w:before="120" w:line="190" w:lineRule="auto"/>
        <w:ind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rsidR="00C125FF" w:rsidRDefault="00C125FF">
      <w:pPr>
        <w:spacing w:before="103" w:line="256" w:lineRule="auto"/>
        <w:ind w:right="743"/>
        <w:jc w:val="both"/>
        <w:rPr>
          <w:rFonts w:ascii="微软雅黑" w:eastAsia="微软雅黑" w:hAnsi="微软雅黑" w:cs="微软雅黑"/>
          <w:b/>
          <w:bCs/>
          <w:spacing w:val="12"/>
          <w:lang w:eastAsia="zh-CN"/>
        </w:rPr>
      </w:pPr>
    </w:p>
    <w:p w:rsidR="009372C5" w:rsidRPr="00EE7376" w:rsidRDefault="00115A1A">
      <w:pPr>
        <w:spacing w:before="103" w:line="256" w:lineRule="auto"/>
        <w:ind w:right="743"/>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rsidR="005D2A13" w:rsidRDefault="00074DDF">
      <w:pPr>
        <w:spacing w:before="103" w:line="256" w:lineRule="auto"/>
        <w:ind w:right="743" w:firstLine="448"/>
        <w:jc w:val="both"/>
        <w:rPr>
          <w:rFonts w:ascii="微软雅黑" w:eastAsia="微软雅黑" w:hAnsi="微软雅黑" w:cs="微软雅黑"/>
          <w:spacing w:val="12"/>
          <w:lang w:eastAsia="zh-CN"/>
        </w:rPr>
      </w:pPr>
      <w:r w:rsidRPr="00074DDF">
        <w:rPr>
          <w:rFonts w:ascii="微软雅黑" w:eastAsia="微软雅黑" w:hAnsi="微软雅黑" w:cs="微软雅黑" w:hint="eastAsia"/>
          <w:spacing w:val="12"/>
          <w:lang w:eastAsia="zh-CN"/>
        </w:rPr>
        <w:t>截至</w:t>
      </w:r>
      <w:r w:rsidRPr="00074DDF">
        <w:rPr>
          <w:rFonts w:ascii="微软雅黑" w:eastAsia="微软雅黑" w:hAnsi="微软雅黑" w:cs="微软雅黑"/>
          <w:spacing w:val="12"/>
          <w:lang w:eastAsia="zh-CN"/>
        </w:rPr>
        <w:t>12</w:t>
      </w:r>
      <w:r w:rsidRPr="00074DDF">
        <w:rPr>
          <w:rFonts w:ascii="微软雅黑" w:eastAsia="微软雅黑" w:hAnsi="微软雅黑" w:cs="微软雅黑" w:hint="eastAsia"/>
          <w:spacing w:val="12"/>
          <w:lang w:eastAsia="zh-CN"/>
        </w:rPr>
        <w:t>月</w:t>
      </w:r>
      <w:r w:rsidRPr="00074DDF">
        <w:rPr>
          <w:rFonts w:ascii="微软雅黑" w:eastAsia="微软雅黑" w:hAnsi="微软雅黑" w:cs="微软雅黑"/>
          <w:spacing w:val="12"/>
          <w:lang w:eastAsia="zh-CN"/>
        </w:rPr>
        <w:t>18</w:t>
      </w:r>
      <w:r w:rsidRPr="00074DDF">
        <w:rPr>
          <w:rFonts w:ascii="微软雅黑" w:eastAsia="微软雅黑" w:hAnsi="微软雅黑" w:cs="微软雅黑" w:hint="eastAsia"/>
          <w:spacing w:val="12"/>
          <w:lang w:eastAsia="zh-CN"/>
        </w:rPr>
        <w:t>日，富时中国</w:t>
      </w:r>
      <w:r w:rsidRPr="00074DDF">
        <w:rPr>
          <w:rFonts w:ascii="微软雅黑" w:eastAsia="微软雅黑" w:hAnsi="微软雅黑" w:cs="微软雅黑"/>
          <w:spacing w:val="12"/>
          <w:lang w:eastAsia="zh-CN"/>
        </w:rPr>
        <w:t>A50</w:t>
      </w:r>
      <w:r w:rsidRPr="00074DDF">
        <w:rPr>
          <w:rFonts w:ascii="微软雅黑" w:eastAsia="微软雅黑" w:hAnsi="微软雅黑" w:cs="微软雅黑" w:hint="eastAsia"/>
          <w:spacing w:val="12"/>
          <w:lang w:eastAsia="zh-CN"/>
        </w:rPr>
        <w:t>指数上涨</w:t>
      </w:r>
      <w:r w:rsidRPr="00074DDF">
        <w:rPr>
          <w:rFonts w:ascii="微软雅黑" w:eastAsia="微软雅黑" w:hAnsi="微软雅黑" w:cs="微软雅黑"/>
          <w:spacing w:val="12"/>
          <w:lang w:eastAsia="zh-CN"/>
        </w:rPr>
        <w:t>0.36%</w:t>
      </w:r>
      <w:r w:rsidRPr="00074DDF">
        <w:rPr>
          <w:rFonts w:ascii="微软雅黑" w:eastAsia="微软雅黑" w:hAnsi="微软雅黑" w:cs="微软雅黑" w:hint="eastAsia"/>
          <w:spacing w:val="12"/>
          <w:lang w:eastAsia="zh-CN"/>
        </w:rPr>
        <w:t>至</w:t>
      </w:r>
      <w:r w:rsidRPr="00074DDF">
        <w:rPr>
          <w:rFonts w:ascii="微软雅黑" w:eastAsia="微软雅黑" w:hAnsi="微软雅黑" w:cs="微软雅黑"/>
          <w:spacing w:val="12"/>
          <w:lang w:eastAsia="zh-CN"/>
        </w:rPr>
        <w:t>13471.18</w:t>
      </w:r>
      <w:r w:rsidRPr="00074DDF">
        <w:rPr>
          <w:rFonts w:ascii="微软雅黑" w:eastAsia="微软雅黑" w:hAnsi="微软雅黑" w:cs="微软雅黑" w:hint="eastAsia"/>
          <w:spacing w:val="12"/>
          <w:lang w:eastAsia="zh-CN"/>
        </w:rPr>
        <w:t>点；新交所富时</w:t>
      </w:r>
      <w:r w:rsidRPr="00074DDF">
        <w:rPr>
          <w:rFonts w:ascii="微软雅黑" w:eastAsia="微软雅黑" w:hAnsi="微软雅黑" w:cs="微软雅黑"/>
          <w:spacing w:val="12"/>
          <w:lang w:eastAsia="zh-CN"/>
        </w:rPr>
        <w:t>A50</w:t>
      </w:r>
      <w:r w:rsidRPr="00074DDF">
        <w:rPr>
          <w:rFonts w:ascii="微软雅黑" w:eastAsia="微软雅黑" w:hAnsi="微软雅黑" w:cs="微软雅黑" w:hint="eastAsia"/>
          <w:spacing w:val="12"/>
          <w:lang w:eastAsia="zh-CN"/>
        </w:rPr>
        <w:t>期指主力合约上涨</w:t>
      </w:r>
      <w:r w:rsidRPr="00074DDF">
        <w:rPr>
          <w:rFonts w:ascii="微软雅黑" w:eastAsia="微软雅黑" w:hAnsi="微软雅黑" w:cs="微软雅黑"/>
          <w:spacing w:val="12"/>
          <w:lang w:eastAsia="zh-CN"/>
        </w:rPr>
        <w:t>0.57%</w:t>
      </w:r>
      <w:r w:rsidRPr="00074DDF">
        <w:rPr>
          <w:rFonts w:ascii="微软雅黑" w:eastAsia="微软雅黑" w:hAnsi="微软雅黑" w:cs="微软雅黑" w:hint="eastAsia"/>
          <w:spacing w:val="12"/>
          <w:lang w:eastAsia="zh-CN"/>
        </w:rPr>
        <w:t>至</w:t>
      </w:r>
      <w:r w:rsidRPr="00074DDF">
        <w:rPr>
          <w:rFonts w:ascii="微软雅黑" w:eastAsia="微软雅黑" w:hAnsi="微软雅黑" w:cs="微软雅黑"/>
          <w:spacing w:val="12"/>
          <w:lang w:eastAsia="zh-CN"/>
        </w:rPr>
        <w:t>13488</w:t>
      </w:r>
      <w:r w:rsidRPr="00074DDF">
        <w:rPr>
          <w:rFonts w:ascii="微软雅黑" w:eastAsia="微软雅黑" w:hAnsi="微软雅黑" w:cs="微软雅黑" w:hint="eastAsia"/>
          <w:spacing w:val="12"/>
          <w:lang w:eastAsia="zh-CN"/>
        </w:rPr>
        <w:t>点。海外方面，美联储宣布降息</w:t>
      </w:r>
      <w:r w:rsidRPr="00074DDF">
        <w:rPr>
          <w:rFonts w:ascii="微软雅黑" w:eastAsia="微软雅黑" w:hAnsi="微软雅黑" w:cs="微软雅黑"/>
          <w:spacing w:val="12"/>
          <w:lang w:eastAsia="zh-CN"/>
        </w:rPr>
        <w:t>25</w:t>
      </w:r>
      <w:r w:rsidRPr="00074DDF">
        <w:rPr>
          <w:rFonts w:ascii="微软雅黑" w:eastAsia="微软雅黑" w:hAnsi="微软雅黑" w:cs="微软雅黑" w:hint="eastAsia"/>
          <w:spacing w:val="12"/>
          <w:lang w:eastAsia="zh-CN"/>
        </w:rPr>
        <w:t>个基点，但在会后政策声明中大幅下调</w:t>
      </w:r>
      <w:r w:rsidRPr="00074DDF">
        <w:rPr>
          <w:rFonts w:ascii="微软雅黑" w:eastAsia="微软雅黑" w:hAnsi="微软雅黑" w:cs="微软雅黑"/>
          <w:spacing w:val="12"/>
          <w:lang w:eastAsia="zh-CN"/>
        </w:rPr>
        <w:t>2025</w:t>
      </w:r>
      <w:r w:rsidRPr="00074DDF">
        <w:rPr>
          <w:rFonts w:ascii="微软雅黑" w:eastAsia="微软雅黑" w:hAnsi="微软雅黑" w:cs="微软雅黑" w:hint="eastAsia"/>
          <w:spacing w:val="12"/>
          <w:lang w:eastAsia="zh-CN"/>
        </w:rPr>
        <w:t>年降息预期，美联储鹰派态度推动美元大幅走高，美元指数站上</w:t>
      </w:r>
      <w:r w:rsidRPr="00074DDF">
        <w:rPr>
          <w:rFonts w:ascii="微软雅黑" w:eastAsia="微软雅黑" w:hAnsi="微软雅黑" w:cs="微软雅黑"/>
          <w:spacing w:val="12"/>
          <w:lang w:eastAsia="zh-CN"/>
        </w:rPr>
        <w:t>108</w:t>
      </w:r>
      <w:r w:rsidRPr="00074DDF">
        <w:rPr>
          <w:rFonts w:ascii="微软雅黑" w:eastAsia="微软雅黑" w:hAnsi="微软雅黑" w:cs="微软雅黑" w:hint="eastAsia"/>
          <w:spacing w:val="12"/>
          <w:lang w:eastAsia="zh-CN"/>
        </w:rPr>
        <w:t>点，离岸人民币汇率跌破</w:t>
      </w:r>
      <w:r w:rsidRPr="00074DDF">
        <w:rPr>
          <w:rFonts w:ascii="微软雅黑" w:eastAsia="微软雅黑" w:hAnsi="微软雅黑" w:cs="微软雅黑"/>
          <w:spacing w:val="12"/>
          <w:lang w:eastAsia="zh-CN"/>
        </w:rPr>
        <w:t>7.32</w:t>
      </w:r>
      <w:r w:rsidRPr="00074DDF">
        <w:rPr>
          <w:rFonts w:ascii="微软雅黑" w:eastAsia="微软雅黑" w:hAnsi="微软雅黑" w:cs="微软雅黑" w:hint="eastAsia"/>
          <w:spacing w:val="12"/>
          <w:lang w:eastAsia="zh-CN"/>
        </w:rPr>
        <w:t>，人民币汇率走弱预计对市场情绪产生负面影响。国内方面，经济基本面，</w:t>
      </w:r>
      <w:r w:rsidRPr="00074DDF">
        <w:rPr>
          <w:rFonts w:ascii="微软雅黑" w:eastAsia="微软雅黑" w:hAnsi="微软雅黑" w:cs="微软雅黑"/>
          <w:spacing w:val="12"/>
          <w:lang w:eastAsia="zh-CN"/>
        </w:rPr>
        <w:t>11</w:t>
      </w:r>
      <w:r w:rsidRPr="00074DDF">
        <w:rPr>
          <w:rFonts w:ascii="微软雅黑" w:eastAsia="微软雅黑" w:hAnsi="微软雅黑" w:cs="微软雅黑" w:hint="eastAsia"/>
          <w:spacing w:val="12"/>
          <w:lang w:eastAsia="zh-CN"/>
        </w:rPr>
        <w:t>月经济数据中除社零大幅回落外，工业增加值及房地产销售均有所回升，经济基本面呈现缓慢修复。整体来看，海外美联储鹰派降息，对全球风险资产产生较大利空。国内年底相关会议已经落地，市场短期暂时处于数据与政策空窗期，在此情况下股指预计维持震荡格局，从长期来看，政策对经济起到托底，随着明年相关政策的逐步落地，经济有望企稳回升，并推动投资者信心回暖。策略上，建议暂时观望。</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Pr="00C07FA3">
        <w:rPr>
          <w:rFonts w:ascii="微软雅黑" w:eastAsia="微软雅黑" w:hAnsi="微软雅黑" w:cs="微软雅黑" w:hint="eastAsia"/>
          <w:spacing w:val="7"/>
          <w:lang w:eastAsia="zh-CN"/>
        </w:rPr>
        <w:t>4：富时中国A50走势图</w:t>
      </w:r>
    </w:p>
    <w:p w:rsidR="009372C5" w:rsidRDefault="00074DDF">
      <w:pPr>
        <w:spacing w:before="103" w:line="256" w:lineRule="auto"/>
        <w:ind w:right="743"/>
        <w:jc w:val="both"/>
        <w:rPr>
          <w:rFonts w:ascii="新宋体" w:eastAsia="新宋体" w:hAnsi="新宋体"/>
        </w:rPr>
      </w:pPr>
      <w:r w:rsidRPr="00FB6048">
        <w:rPr>
          <w:rFonts w:ascii="新宋体" w:eastAsia="新宋体" w:hAnsi="新宋体"/>
          <w:noProof/>
        </w:rPr>
        <w:drawing>
          <wp:inline distT="0" distB="0" distL="0" distR="0" wp14:anchorId="43AA8A3D" wp14:editId="00862A1E">
            <wp:extent cx="6156960" cy="1584960"/>
            <wp:effectExtent l="0" t="0" r="0" b="0"/>
            <wp:docPr id="11" name="图片 11" descr="C:\Users\Administrator\Documents\WeChat Files\wxid_vkxlzo0vqu7s22\FileStorage\Temp\1734568815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456881505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7011" cy="1584973"/>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rsidR="00574708" w:rsidRDefault="00574708">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Pr="00CB2E6B" w:rsidRDefault="00074DDF" w:rsidP="006B4BE7">
      <w:pPr>
        <w:spacing w:before="103" w:line="256" w:lineRule="auto"/>
        <w:ind w:right="743" w:firstLineChars="200" w:firstLine="468"/>
        <w:jc w:val="both"/>
        <w:rPr>
          <w:rFonts w:ascii="微软雅黑" w:eastAsia="微软雅黑" w:hAnsi="微软雅黑" w:cs="微软雅黑"/>
          <w:spacing w:val="12"/>
          <w:lang w:eastAsia="zh-CN"/>
        </w:rPr>
      </w:pPr>
      <w:r w:rsidRPr="00074DDF">
        <w:rPr>
          <w:rFonts w:ascii="微软雅黑" w:eastAsia="微软雅黑" w:hAnsi="微软雅黑" w:cs="微软雅黑" w:hint="eastAsia"/>
          <w:spacing w:val="12"/>
          <w:lang w:eastAsia="zh-CN"/>
        </w:rPr>
        <w:t>隔夜</w:t>
      </w:r>
      <w:r w:rsidRPr="00074DDF">
        <w:rPr>
          <w:rFonts w:ascii="微软雅黑" w:eastAsia="微软雅黑" w:hAnsi="微软雅黑" w:cs="微软雅黑"/>
          <w:spacing w:val="12"/>
          <w:lang w:eastAsia="zh-CN"/>
        </w:rPr>
        <w:t>COMEX</w:t>
      </w:r>
      <w:r w:rsidRPr="00074DDF">
        <w:rPr>
          <w:rFonts w:ascii="微软雅黑" w:eastAsia="微软雅黑" w:hAnsi="微软雅黑" w:cs="微软雅黑" w:hint="eastAsia"/>
          <w:spacing w:val="12"/>
          <w:lang w:eastAsia="zh-CN"/>
        </w:rPr>
        <w:t>铜震荡偏弱，报收</w:t>
      </w:r>
      <w:r w:rsidRPr="00074DDF">
        <w:rPr>
          <w:rFonts w:ascii="微软雅黑" w:eastAsia="微软雅黑" w:hAnsi="微软雅黑" w:cs="微软雅黑"/>
          <w:spacing w:val="12"/>
          <w:lang w:eastAsia="zh-CN"/>
        </w:rPr>
        <w:t>4.089</w:t>
      </w:r>
      <w:r w:rsidRPr="00074DDF">
        <w:rPr>
          <w:rFonts w:ascii="微软雅黑" w:eastAsia="微软雅黑" w:hAnsi="微软雅黑" w:cs="微软雅黑" w:hint="eastAsia"/>
          <w:spacing w:val="12"/>
          <w:lang w:eastAsia="zh-CN"/>
        </w:rPr>
        <w:t>美元</w:t>
      </w:r>
      <w:r w:rsidRPr="00074DDF">
        <w:rPr>
          <w:rFonts w:ascii="微软雅黑" w:eastAsia="微软雅黑" w:hAnsi="微软雅黑" w:cs="微软雅黑"/>
          <w:spacing w:val="12"/>
          <w:lang w:eastAsia="zh-CN"/>
        </w:rPr>
        <w:t>/</w:t>
      </w:r>
      <w:r w:rsidRPr="00074DDF">
        <w:rPr>
          <w:rFonts w:ascii="微软雅黑" w:eastAsia="微软雅黑" w:hAnsi="微软雅黑" w:cs="微软雅黑" w:hint="eastAsia"/>
          <w:spacing w:val="12"/>
          <w:lang w:eastAsia="zh-CN"/>
        </w:rPr>
        <w:t>磅，涨跌幅</w:t>
      </w:r>
      <w:r w:rsidRPr="00074DDF">
        <w:rPr>
          <w:rFonts w:ascii="微软雅黑" w:eastAsia="微软雅黑" w:hAnsi="微软雅黑" w:cs="微软雅黑"/>
          <w:spacing w:val="12"/>
          <w:lang w:eastAsia="zh-CN"/>
        </w:rPr>
        <w:t>-1.4%</w:t>
      </w:r>
      <w:r w:rsidRPr="00074DDF">
        <w:rPr>
          <w:rFonts w:ascii="微软雅黑" w:eastAsia="微软雅黑" w:hAnsi="微软雅黑" w:cs="微软雅黑" w:hint="eastAsia"/>
          <w:spacing w:val="12"/>
          <w:lang w:eastAsia="zh-CN"/>
        </w:rPr>
        <w:t>。国际方面，美联储</w:t>
      </w:r>
      <w:r w:rsidRPr="00074DDF">
        <w:rPr>
          <w:rFonts w:ascii="微软雅黑" w:eastAsia="微软雅黑" w:hAnsi="微软雅黑" w:cs="微软雅黑"/>
          <w:spacing w:val="12"/>
          <w:lang w:eastAsia="zh-CN"/>
        </w:rPr>
        <w:t>12</w:t>
      </w:r>
      <w:r w:rsidRPr="00074DDF">
        <w:rPr>
          <w:rFonts w:ascii="微软雅黑" w:eastAsia="微软雅黑" w:hAnsi="微软雅黑" w:cs="微软雅黑" w:hint="eastAsia"/>
          <w:spacing w:val="12"/>
          <w:lang w:eastAsia="zh-CN"/>
        </w:rPr>
        <w:t>月议息</w:t>
      </w:r>
      <w:r w:rsidRPr="00074DDF">
        <w:rPr>
          <w:rFonts w:ascii="微软雅黑" w:eastAsia="微软雅黑" w:hAnsi="微软雅黑" w:cs="微软雅黑"/>
          <w:spacing w:val="12"/>
          <w:lang w:eastAsia="zh-CN"/>
        </w:rPr>
        <w:t>-</w:t>
      </w:r>
      <w:r w:rsidRPr="00074DDF">
        <w:rPr>
          <w:rFonts w:ascii="微软雅黑" w:eastAsia="微软雅黑" w:hAnsi="微软雅黑" w:cs="微软雅黑" w:hint="eastAsia"/>
          <w:spacing w:val="12"/>
          <w:lang w:eastAsia="zh-CN"/>
        </w:rPr>
        <w:t>以</w:t>
      </w:r>
      <w:r w:rsidRPr="00074DDF">
        <w:rPr>
          <w:rFonts w:ascii="微软雅黑" w:eastAsia="微软雅黑" w:hAnsi="微软雅黑" w:cs="微软雅黑"/>
          <w:spacing w:val="12"/>
          <w:lang w:eastAsia="zh-CN"/>
        </w:rPr>
        <w:t>11:1</w:t>
      </w:r>
      <w:r w:rsidRPr="00074DDF">
        <w:rPr>
          <w:rFonts w:ascii="微软雅黑" w:eastAsia="微软雅黑" w:hAnsi="微软雅黑" w:cs="微软雅黑" w:hint="eastAsia"/>
          <w:spacing w:val="12"/>
          <w:lang w:eastAsia="zh-CN"/>
        </w:rPr>
        <w:t>通过降息</w:t>
      </w:r>
      <w:r w:rsidRPr="00074DDF">
        <w:rPr>
          <w:rFonts w:ascii="微软雅黑" w:eastAsia="微软雅黑" w:hAnsi="微软雅黑" w:cs="微软雅黑"/>
          <w:spacing w:val="12"/>
          <w:lang w:eastAsia="zh-CN"/>
        </w:rPr>
        <w:t>25</w:t>
      </w:r>
      <w:r w:rsidRPr="00074DDF">
        <w:rPr>
          <w:rFonts w:ascii="微软雅黑" w:eastAsia="微软雅黑" w:hAnsi="微软雅黑" w:cs="微软雅黑" w:hint="eastAsia"/>
          <w:spacing w:val="12"/>
          <w:lang w:eastAsia="zh-CN"/>
        </w:rPr>
        <w:t>基点的决定，声明暗示放缓降息步伐；点阵图显示，明年降息幅度预测从</w:t>
      </w:r>
      <w:r w:rsidRPr="00074DDF">
        <w:rPr>
          <w:rFonts w:ascii="微软雅黑" w:eastAsia="微软雅黑" w:hAnsi="微软雅黑" w:cs="微软雅黑"/>
          <w:spacing w:val="12"/>
          <w:lang w:eastAsia="zh-CN"/>
        </w:rPr>
        <w:t>4</w:t>
      </w:r>
      <w:r w:rsidRPr="00074DDF">
        <w:rPr>
          <w:rFonts w:ascii="微软雅黑" w:eastAsia="微软雅黑" w:hAnsi="微软雅黑" w:cs="微软雅黑" w:hint="eastAsia"/>
          <w:spacing w:val="12"/>
          <w:lang w:eastAsia="zh-CN"/>
        </w:rPr>
        <w:t>次调整为</w:t>
      </w:r>
      <w:r w:rsidRPr="00074DDF">
        <w:rPr>
          <w:rFonts w:ascii="微软雅黑" w:eastAsia="微软雅黑" w:hAnsi="微软雅黑" w:cs="微软雅黑"/>
          <w:spacing w:val="12"/>
          <w:lang w:eastAsia="zh-CN"/>
        </w:rPr>
        <w:t>2</w:t>
      </w:r>
      <w:r w:rsidRPr="00074DDF">
        <w:rPr>
          <w:rFonts w:ascii="微软雅黑" w:eastAsia="微软雅黑" w:hAnsi="微软雅黑" w:cs="微软雅黑" w:hint="eastAsia"/>
          <w:spacing w:val="12"/>
          <w:lang w:eastAsia="zh-CN"/>
        </w:rPr>
        <w:t>次。国内方面，</w:t>
      </w:r>
      <w:r w:rsidRPr="00074DDF">
        <w:rPr>
          <w:rFonts w:ascii="微软雅黑" w:eastAsia="微软雅黑" w:hAnsi="微软雅黑" w:cs="微软雅黑"/>
          <w:spacing w:val="12"/>
          <w:lang w:eastAsia="zh-CN"/>
        </w:rPr>
        <w:t xml:space="preserve"> 2023</w:t>
      </w:r>
      <w:r w:rsidRPr="00074DDF">
        <w:rPr>
          <w:rFonts w:ascii="微软雅黑" w:eastAsia="微软雅黑" w:hAnsi="微软雅黑" w:cs="微软雅黑" w:hint="eastAsia"/>
          <w:spacing w:val="12"/>
          <w:lang w:eastAsia="zh-CN"/>
        </w:rPr>
        <w:t>年中国智能网联汽车市场规模为</w:t>
      </w:r>
      <w:r w:rsidRPr="00074DDF">
        <w:rPr>
          <w:rFonts w:ascii="微软雅黑" w:eastAsia="微软雅黑" w:hAnsi="微软雅黑" w:cs="微软雅黑"/>
          <w:spacing w:val="12"/>
          <w:lang w:eastAsia="zh-CN"/>
        </w:rPr>
        <w:t>1613</w:t>
      </w:r>
      <w:r w:rsidRPr="00074DDF">
        <w:rPr>
          <w:rFonts w:ascii="微软雅黑" w:eastAsia="微软雅黑" w:hAnsi="微软雅黑" w:cs="微软雅黑" w:hint="eastAsia"/>
          <w:spacing w:val="12"/>
          <w:lang w:eastAsia="zh-CN"/>
        </w:rPr>
        <w:t>亿元，预测</w:t>
      </w:r>
      <w:r w:rsidRPr="00074DDF">
        <w:rPr>
          <w:rFonts w:ascii="微软雅黑" w:eastAsia="微软雅黑" w:hAnsi="微软雅黑" w:cs="微软雅黑"/>
          <w:spacing w:val="12"/>
          <w:lang w:eastAsia="zh-CN"/>
        </w:rPr>
        <w:t>2024</w:t>
      </w:r>
      <w:r w:rsidRPr="00074DDF">
        <w:rPr>
          <w:rFonts w:ascii="微软雅黑" w:eastAsia="微软雅黑" w:hAnsi="微软雅黑" w:cs="微软雅黑" w:hint="eastAsia"/>
          <w:spacing w:val="12"/>
          <w:lang w:eastAsia="zh-CN"/>
        </w:rPr>
        <w:t>年将达到</w:t>
      </w:r>
      <w:r w:rsidRPr="00074DDF">
        <w:rPr>
          <w:rFonts w:ascii="微软雅黑" w:eastAsia="微软雅黑" w:hAnsi="微软雅黑" w:cs="微软雅黑"/>
          <w:spacing w:val="12"/>
          <w:lang w:eastAsia="zh-CN"/>
        </w:rPr>
        <w:t>2152</w:t>
      </w:r>
      <w:r w:rsidRPr="00074DDF">
        <w:rPr>
          <w:rFonts w:ascii="微软雅黑" w:eastAsia="微软雅黑" w:hAnsi="微软雅黑" w:cs="微软雅黑" w:hint="eastAsia"/>
          <w:spacing w:val="12"/>
          <w:lang w:eastAsia="zh-CN"/>
        </w:rPr>
        <w:t>亿元。在政策、技术、市场等因素的共同作用下，我国智能网联汽车渗透率不断提升，逐步走向大规模商业化应用阶段。消费端发力，助推下游需求。库存方面，截至</w:t>
      </w:r>
      <w:r w:rsidRPr="00074DDF">
        <w:rPr>
          <w:rFonts w:ascii="微软雅黑" w:eastAsia="微软雅黑" w:hAnsi="微软雅黑" w:cs="微软雅黑"/>
          <w:spacing w:val="12"/>
          <w:lang w:eastAsia="zh-CN"/>
        </w:rPr>
        <w:t>12</w:t>
      </w:r>
      <w:r w:rsidRPr="00074DDF">
        <w:rPr>
          <w:rFonts w:ascii="微软雅黑" w:eastAsia="微软雅黑" w:hAnsi="微软雅黑" w:cs="微软雅黑" w:hint="eastAsia"/>
          <w:spacing w:val="12"/>
          <w:lang w:eastAsia="zh-CN"/>
        </w:rPr>
        <w:t>月</w:t>
      </w:r>
      <w:r w:rsidRPr="00074DDF">
        <w:rPr>
          <w:rFonts w:ascii="微软雅黑" w:eastAsia="微软雅黑" w:hAnsi="微软雅黑" w:cs="微软雅黑"/>
          <w:spacing w:val="12"/>
          <w:lang w:eastAsia="zh-CN"/>
        </w:rPr>
        <w:t>18</w:t>
      </w:r>
      <w:r w:rsidRPr="00074DDF">
        <w:rPr>
          <w:rFonts w:ascii="微软雅黑" w:eastAsia="微软雅黑" w:hAnsi="微软雅黑" w:cs="微软雅黑" w:hint="eastAsia"/>
          <w:spacing w:val="12"/>
          <w:lang w:eastAsia="zh-CN"/>
        </w:rPr>
        <w:t>日，</w:t>
      </w:r>
      <w:r w:rsidRPr="00074DDF">
        <w:rPr>
          <w:rFonts w:ascii="微软雅黑" w:eastAsia="微软雅黑" w:hAnsi="微软雅黑" w:cs="微软雅黑"/>
          <w:spacing w:val="12"/>
          <w:lang w:eastAsia="zh-CN"/>
        </w:rPr>
        <w:t>LME</w:t>
      </w:r>
      <w:r w:rsidRPr="00074DDF">
        <w:rPr>
          <w:rFonts w:ascii="微软雅黑" w:eastAsia="微软雅黑" w:hAnsi="微软雅黑" w:cs="微软雅黑" w:hint="eastAsia"/>
          <w:spacing w:val="12"/>
          <w:lang w:eastAsia="zh-CN"/>
        </w:rPr>
        <w:t>铜库存为</w:t>
      </w:r>
      <w:r w:rsidRPr="00074DDF">
        <w:rPr>
          <w:rFonts w:ascii="微软雅黑" w:eastAsia="微软雅黑" w:hAnsi="微软雅黑" w:cs="微软雅黑"/>
          <w:spacing w:val="12"/>
          <w:lang w:eastAsia="zh-CN"/>
        </w:rPr>
        <w:t>272325</w:t>
      </w:r>
      <w:r w:rsidRPr="00074DDF">
        <w:rPr>
          <w:rFonts w:ascii="微软雅黑" w:eastAsia="微软雅黑" w:hAnsi="微软雅黑" w:cs="微软雅黑" w:hint="eastAsia"/>
          <w:spacing w:val="12"/>
          <w:lang w:eastAsia="zh-CN"/>
        </w:rPr>
        <w:t>吨，环比</w:t>
      </w:r>
      <w:r w:rsidRPr="00074DDF">
        <w:rPr>
          <w:rFonts w:ascii="微软雅黑" w:eastAsia="微软雅黑" w:hAnsi="微软雅黑" w:cs="微软雅黑"/>
          <w:spacing w:val="12"/>
          <w:lang w:eastAsia="zh-CN"/>
        </w:rPr>
        <w:t>-125</w:t>
      </w:r>
      <w:r w:rsidRPr="00074DDF">
        <w:rPr>
          <w:rFonts w:ascii="微软雅黑" w:eastAsia="微软雅黑" w:hAnsi="微软雅黑" w:cs="微软雅黑" w:hint="eastAsia"/>
          <w:spacing w:val="12"/>
          <w:lang w:eastAsia="zh-CN"/>
        </w:rPr>
        <w:t>吨；</w:t>
      </w:r>
      <w:r w:rsidRPr="00074DDF">
        <w:rPr>
          <w:rFonts w:ascii="微软雅黑" w:eastAsia="微软雅黑" w:hAnsi="微软雅黑" w:cs="微软雅黑"/>
          <w:spacing w:val="12"/>
          <w:lang w:eastAsia="zh-CN"/>
        </w:rPr>
        <w:t>COMEX</w:t>
      </w:r>
      <w:r w:rsidRPr="00074DDF">
        <w:rPr>
          <w:rFonts w:ascii="微软雅黑" w:eastAsia="微软雅黑" w:hAnsi="微软雅黑" w:cs="微软雅黑" w:hint="eastAsia"/>
          <w:spacing w:val="12"/>
          <w:lang w:eastAsia="zh-CN"/>
        </w:rPr>
        <w:t>铜库存</w:t>
      </w:r>
      <w:r w:rsidRPr="00074DDF">
        <w:rPr>
          <w:rFonts w:ascii="微软雅黑" w:eastAsia="微软雅黑" w:hAnsi="微软雅黑" w:cs="微软雅黑"/>
          <w:spacing w:val="12"/>
          <w:lang w:eastAsia="zh-CN"/>
        </w:rPr>
        <w:t>93472</w:t>
      </w:r>
      <w:r w:rsidRPr="00074DDF">
        <w:rPr>
          <w:rFonts w:ascii="微软雅黑" w:eastAsia="微软雅黑" w:hAnsi="微软雅黑" w:cs="微软雅黑" w:hint="eastAsia"/>
          <w:spacing w:val="12"/>
          <w:lang w:eastAsia="zh-CN"/>
        </w:rPr>
        <w:t>短吨，环比</w:t>
      </w:r>
      <w:r w:rsidRPr="00074DDF">
        <w:rPr>
          <w:rFonts w:ascii="微软雅黑" w:eastAsia="微软雅黑" w:hAnsi="微软雅黑" w:cs="微软雅黑"/>
          <w:spacing w:val="12"/>
          <w:lang w:eastAsia="zh-CN"/>
        </w:rPr>
        <w:t>-586</w:t>
      </w:r>
      <w:r w:rsidRPr="00074DDF">
        <w:rPr>
          <w:rFonts w:ascii="微软雅黑" w:eastAsia="微软雅黑" w:hAnsi="微软雅黑" w:cs="微软雅黑" w:hint="eastAsia"/>
          <w:spacing w:val="12"/>
          <w:lang w:eastAsia="zh-CN"/>
        </w:rPr>
        <w:t>短吨；</w:t>
      </w:r>
      <w:r w:rsidRPr="00074DDF">
        <w:rPr>
          <w:rFonts w:ascii="微软雅黑" w:eastAsia="微软雅黑" w:hAnsi="微软雅黑" w:cs="微软雅黑"/>
          <w:spacing w:val="12"/>
          <w:lang w:eastAsia="zh-CN"/>
        </w:rPr>
        <w:t>SHFE</w:t>
      </w:r>
      <w:r w:rsidRPr="00074DDF">
        <w:rPr>
          <w:rFonts w:ascii="微软雅黑" w:eastAsia="微软雅黑" w:hAnsi="微软雅黑" w:cs="微软雅黑" w:hint="eastAsia"/>
          <w:spacing w:val="12"/>
          <w:lang w:eastAsia="zh-CN"/>
        </w:rPr>
        <w:t>每日仓单</w:t>
      </w:r>
      <w:r w:rsidRPr="00074DDF">
        <w:rPr>
          <w:rFonts w:ascii="微软雅黑" w:eastAsia="微软雅黑" w:hAnsi="微软雅黑" w:cs="微软雅黑"/>
          <w:spacing w:val="12"/>
          <w:lang w:eastAsia="zh-CN"/>
        </w:rPr>
        <w:t>27450</w:t>
      </w:r>
      <w:r w:rsidRPr="00074DDF">
        <w:rPr>
          <w:rFonts w:ascii="微软雅黑" w:eastAsia="微软雅黑" w:hAnsi="微软雅黑" w:cs="微软雅黑" w:hint="eastAsia"/>
          <w:spacing w:val="12"/>
          <w:lang w:eastAsia="zh-CN"/>
        </w:rPr>
        <w:t>吨，环比</w:t>
      </w:r>
      <w:r w:rsidRPr="00074DDF">
        <w:rPr>
          <w:rFonts w:ascii="微软雅黑" w:eastAsia="微软雅黑" w:hAnsi="微软雅黑" w:cs="微软雅黑"/>
          <w:spacing w:val="12"/>
          <w:lang w:eastAsia="zh-CN"/>
        </w:rPr>
        <w:t>-2526</w:t>
      </w:r>
      <w:r w:rsidRPr="00074DDF">
        <w:rPr>
          <w:rFonts w:ascii="微软雅黑" w:eastAsia="微软雅黑" w:hAnsi="微软雅黑" w:cs="微软雅黑" w:hint="eastAsia"/>
          <w:spacing w:val="12"/>
          <w:lang w:eastAsia="zh-CN"/>
        </w:rPr>
        <w:t>吨。美元美债方面，美联储意外将明年降息预期砍半，美元指数暴力拉升</w:t>
      </w:r>
      <w:r w:rsidRPr="00074DDF">
        <w:rPr>
          <w:rFonts w:ascii="微软雅黑" w:eastAsia="微软雅黑" w:hAnsi="微软雅黑" w:cs="微软雅黑"/>
          <w:spacing w:val="12"/>
          <w:lang w:eastAsia="zh-CN"/>
        </w:rPr>
        <w:t>120</w:t>
      </w:r>
      <w:r w:rsidRPr="00074DDF">
        <w:rPr>
          <w:rFonts w:ascii="微软雅黑" w:eastAsia="微软雅黑" w:hAnsi="微软雅黑" w:cs="微软雅黑" w:hint="eastAsia"/>
          <w:spacing w:val="12"/>
          <w:lang w:eastAsia="zh-CN"/>
        </w:rPr>
        <w:t>点，最终收涨</w:t>
      </w:r>
      <w:r w:rsidRPr="00074DDF">
        <w:rPr>
          <w:rFonts w:ascii="微软雅黑" w:eastAsia="微软雅黑" w:hAnsi="微软雅黑" w:cs="微软雅黑"/>
          <w:spacing w:val="12"/>
          <w:lang w:eastAsia="zh-CN"/>
        </w:rPr>
        <w:t>1.228%</w:t>
      </w:r>
      <w:r w:rsidRPr="00074DDF">
        <w:rPr>
          <w:rFonts w:ascii="微软雅黑" w:eastAsia="微软雅黑" w:hAnsi="微软雅黑" w:cs="微软雅黑" w:hint="eastAsia"/>
          <w:spacing w:val="12"/>
          <w:lang w:eastAsia="zh-CN"/>
        </w:rPr>
        <w:t>，报</w:t>
      </w:r>
      <w:r w:rsidRPr="00074DDF">
        <w:rPr>
          <w:rFonts w:ascii="微软雅黑" w:eastAsia="微软雅黑" w:hAnsi="微软雅黑" w:cs="微软雅黑"/>
          <w:spacing w:val="12"/>
          <w:lang w:eastAsia="zh-CN"/>
        </w:rPr>
        <w:t>108.26</w:t>
      </w:r>
      <w:r w:rsidRPr="00074DDF">
        <w:rPr>
          <w:rFonts w:ascii="微软雅黑" w:eastAsia="微软雅黑" w:hAnsi="微软雅黑" w:cs="微软雅黑" w:hint="eastAsia"/>
          <w:spacing w:val="12"/>
          <w:lang w:eastAsia="zh-CN"/>
        </w:rPr>
        <w:t>，刷新</w:t>
      </w:r>
      <w:r w:rsidRPr="00074DDF">
        <w:rPr>
          <w:rFonts w:ascii="微软雅黑" w:eastAsia="微软雅黑" w:hAnsi="微软雅黑" w:cs="微软雅黑"/>
          <w:spacing w:val="12"/>
          <w:lang w:eastAsia="zh-CN"/>
        </w:rPr>
        <w:t>2022</w:t>
      </w:r>
      <w:r w:rsidRPr="00074DDF">
        <w:rPr>
          <w:rFonts w:ascii="微软雅黑" w:eastAsia="微软雅黑" w:hAnsi="微软雅黑" w:cs="微软雅黑" w:hint="eastAsia"/>
          <w:spacing w:val="12"/>
          <w:lang w:eastAsia="zh-CN"/>
        </w:rPr>
        <w:t>年</w:t>
      </w:r>
      <w:r w:rsidRPr="00074DDF">
        <w:rPr>
          <w:rFonts w:ascii="微软雅黑" w:eastAsia="微软雅黑" w:hAnsi="微软雅黑" w:cs="微软雅黑"/>
          <w:spacing w:val="12"/>
          <w:lang w:eastAsia="zh-CN"/>
        </w:rPr>
        <w:t>11</w:t>
      </w:r>
      <w:r w:rsidRPr="00074DDF">
        <w:rPr>
          <w:rFonts w:ascii="微软雅黑" w:eastAsia="微软雅黑" w:hAnsi="微软雅黑" w:cs="微软雅黑" w:hint="eastAsia"/>
          <w:spacing w:val="12"/>
          <w:lang w:eastAsia="zh-CN"/>
        </w:rPr>
        <w:t>月以来新高。美债收益率集体攀升，两年期美债收益率收报</w:t>
      </w:r>
      <w:r w:rsidRPr="00074DDF">
        <w:rPr>
          <w:rFonts w:ascii="微软雅黑" w:eastAsia="微软雅黑" w:hAnsi="微软雅黑" w:cs="微软雅黑"/>
          <w:spacing w:val="12"/>
          <w:lang w:eastAsia="zh-CN"/>
        </w:rPr>
        <w:t>4.363%</w:t>
      </w:r>
      <w:r w:rsidRPr="00074DDF">
        <w:rPr>
          <w:rFonts w:ascii="微软雅黑" w:eastAsia="微软雅黑" w:hAnsi="微软雅黑" w:cs="微软雅黑" w:hint="eastAsia"/>
          <w:spacing w:val="12"/>
          <w:lang w:eastAsia="zh-CN"/>
        </w:rPr>
        <w:t>，</w:t>
      </w:r>
      <w:r w:rsidRPr="00074DDF">
        <w:rPr>
          <w:rFonts w:ascii="微软雅黑" w:eastAsia="微软雅黑" w:hAnsi="微软雅黑" w:cs="微软雅黑"/>
          <w:spacing w:val="12"/>
          <w:lang w:eastAsia="zh-CN"/>
        </w:rPr>
        <w:t>10</w:t>
      </w:r>
      <w:r w:rsidRPr="00074DDF">
        <w:rPr>
          <w:rFonts w:ascii="微软雅黑" w:eastAsia="微软雅黑" w:hAnsi="微软雅黑" w:cs="微软雅黑" w:hint="eastAsia"/>
          <w:spacing w:val="12"/>
          <w:lang w:eastAsia="zh-CN"/>
        </w:rPr>
        <w:t>年期美债收益率收报</w:t>
      </w:r>
      <w:r w:rsidRPr="00074DDF">
        <w:rPr>
          <w:rFonts w:ascii="微软雅黑" w:eastAsia="微软雅黑" w:hAnsi="微软雅黑" w:cs="微软雅黑"/>
          <w:spacing w:val="12"/>
          <w:lang w:eastAsia="zh-CN"/>
        </w:rPr>
        <w:t>4.519%</w:t>
      </w:r>
      <w:r w:rsidRPr="00074DDF">
        <w:rPr>
          <w:rFonts w:ascii="微软雅黑" w:eastAsia="微软雅黑" w:hAnsi="微软雅黑" w:cs="微软雅黑" w:hint="eastAsia"/>
          <w:spacing w:val="12"/>
          <w:lang w:eastAsia="zh-CN"/>
        </w:rPr>
        <w:t>，日内均涨超</w:t>
      </w:r>
      <w:r w:rsidRPr="00074DDF">
        <w:rPr>
          <w:rFonts w:ascii="微软雅黑" w:eastAsia="微软雅黑" w:hAnsi="微软雅黑" w:cs="微软雅黑"/>
          <w:spacing w:val="12"/>
          <w:lang w:eastAsia="zh-CN"/>
        </w:rPr>
        <w:t>10</w:t>
      </w:r>
      <w:r w:rsidRPr="00074DDF">
        <w:rPr>
          <w:rFonts w:ascii="微软雅黑" w:eastAsia="微软雅黑" w:hAnsi="微软雅黑" w:cs="微软雅黑" w:hint="eastAsia"/>
          <w:spacing w:val="12"/>
          <w:lang w:eastAsia="zh-CN"/>
        </w:rPr>
        <w:t>个基点。操作建议，纽铜主力合约轻仓震荡偏弱交易，仅供参考。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Pr>
          <w:rFonts w:ascii="微软雅黑" w:eastAsia="微软雅黑" w:hAnsi="微软雅黑" w:cs="微软雅黑" w:hint="eastAsia"/>
          <w:spacing w:val="7"/>
          <w:lang w:eastAsia="zh-CN"/>
        </w:rPr>
        <w:t>5：铜日线走势图</w:t>
      </w:r>
    </w:p>
    <w:p w:rsidR="006B4BE7" w:rsidRDefault="00074DDF">
      <w:pPr>
        <w:spacing w:before="103" w:line="256" w:lineRule="auto"/>
        <w:ind w:right="743"/>
        <w:jc w:val="both"/>
      </w:pPr>
      <w:r>
        <w:rPr>
          <w:noProof/>
        </w:rPr>
        <w:drawing>
          <wp:inline distT="0" distB="0" distL="0" distR="0" wp14:anchorId="5883F8E3" wp14:editId="59EFF45B">
            <wp:extent cx="6106160" cy="1957705"/>
            <wp:effectExtent l="0" t="0" r="889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4900" cy="1960507"/>
                    </a:xfrm>
                    <a:prstGeom prst="rect">
                      <a:avLst/>
                    </a:prstGeom>
                  </pic:spPr>
                </pic:pic>
              </a:graphicData>
            </a:graphic>
          </wp:inline>
        </w:drawing>
      </w:r>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rsidR="00376CF6" w:rsidRDefault="00376CF6" w:rsidP="002D3C2B">
      <w:pPr>
        <w:spacing w:before="120" w:line="190" w:lineRule="auto"/>
        <w:jc w:val="both"/>
        <w:rPr>
          <w:rFonts w:ascii="微软雅黑" w:eastAsia="微软雅黑" w:hAnsi="微软雅黑" w:cs="微软雅黑"/>
          <w:b/>
          <w:bCs/>
          <w:spacing w:val="12"/>
          <w:lang w:eastAsia="zh-CN"/>
        </w:rPr>
      </w:pPr>
    </w:p>
    <w:p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rsidR="00C125FF" w:rsidRPr="00C125FF" w:rsidRDefault="00D754A1" w:rsidP="00574708">
      <w:pPr>
        <w:spacing w:before="103" w:line="256" w:lineRule="auto"/>
        <w:ind w:right="743" w:firstLine="448"/>
        <w:jc w:val="both"/>
        <w:rPr>
          <w:rFonts w:ascii="微软雅黑" w:eastAsia="微软雅黑" w:hAnsi="微软雅黑" w:cs="微软雅黑"/>
          <w:spacing w:val="12"/>
          <w:lang w:eastAsia="zh-CN"/>
        </w:rPr>
      </w:pPr>
      <w:r w:rsidRPr="00D754A1">
        <w:rPr>
          <w:rFonts w:ascii="微软雅黑" w:eastAsia="微软雅黑" w:hAnsi="微软雅黑" w:cs="微软雅黑" w:hint="eastAsia"/>
          <w:spacing w:val="12"/>
          <w:lang w:eastAsia="zh-CN"/>
        </w:rPr>
        <w:t>夜盘沪市贵金属涨跌不一，沪金收涨，沪银收跌。昨日美联储如期降息</w:t>
      </w:r>
      <w:r w:rsidRPr="00D754A1">
        <w:rPr>
          <w:rFonts w:ascii="微软雅黑" w:eastAsia="微软雅黑" w:hAnsi="微软雅黑" w:cs="微软雅黑"/>
          <w:spacing w:val="12"/>
          <w:lang w:eastAsia="zh-CN"/>
        </w:rPr>
        <w:t>25</w:t>
      </w:r>
      <w:r w:rsidRPr="00D754A1">
        <w:rPr>
          <w:rFonts w:ascii="微软雅黑" w:eastAsia="微软雅黑" w:hAnsi="微软雅黑" w:cs="微软雅黑" w:hint="eastAsia"/>
          <w:spacing w:val="12"/>
          <w:lang w:eastAsia="zh-CN"/>
        </w:rPr>
        <w:t>个基点，将联邦基金利率的目标区间从</w:t>
      </w:r>
      <w:r w:rsidRPr="00D754A1">
        <w:rPr>
          <w:rFonts w:ascii="微软雅黑" w:eastAsia="微软雅黑" w:hAnsi="微软雅黑" w:cs="微软雅黑"/>
          <w:spacing w:val="12"/>
          <w:lang w:eastAsia="zh-CN"/>
        </w:rPr>
        <w:t>4.5%</w:t>
      </w:r>
      <w:r w:rsidRPr="00D754A1">
        <w:rPr>
          <w:rFonts w:ascii="微软雅黑" w:eastAsia="微软雅黑" w:hAnsi="微软雅黑" w:cs="微软雅黑" w:hint="eastAsia"/>
          <w:spacing w:val="12"/>
          <w:lang w:eastAsia="zh-CN"/>
        </w:rPr>
        <w:t>至</w:t>
      </w:r>
      <w:r w:rsidRPr="00D754A1">
        <w:rPr>
          <w:rFonts w:ascii="微软雅黑" w:eastAsia="微软雅黑" w:hAnsi="微软雅黑" w:cs="微软雅黑"/>
          <w:spacing w:val="12"/>
          <w:lang w:eastAsia="zh-CN"/>
        </w:rPr>
        <w:t>4.75%</w:t>
      </w:r>
      <w:r w:rsidRPr="00D754A1">
        <w:rPr>
          <w:rFonts w:ascii="微软雅黑" w:eastAsia="微软雅黑" w:hAnsi="微软雅黑" w:cs="微软雅黑" w:hint="eastAsia"/>
          <w:spacing w:val="12"/>
          <w:lang w:eastAsia="zh-CN"/>
        </w:rPr>
        <w:t>降至</w:t>
      </w:r>
      <w:r w:rsidRPr="00D754A1">
        <w:rPr>
          <w:rFonts w:ascii="微软雅黑" w:eastAsia="微软雅黑" w:hAnsi="微软雅黑" w:cs="微软雅黑"/>
          <w:spacing w:val="12"/>
          <w:lang w:eastAsia="zh-CN"/>
        </w:rPr>
        <w:t>4.25%</w:t>
      </w:r>
      <w:r w:rsidRPr="00D754A1">
        <w:rPr>
          <w:rFonts w:ascii="微软雅黑" w:eastAsia="微软雅黑" w:hAnsi="微软雅黑" w:cs="微软雅黑" w:hint="eastAsia"/>
          <w:spacing w:val="12"/>
          <w:lang w:eastAsia="zh-CN"/>
        </w:rPr>
        <w:t>至</w:t>
      </w:r>
      <w:r w:rsidRPr="00D754A1">
        <w:rPr>
          <w:rFonts w:ascii="微软雅黑" w:eastAsia="微软雅黑" w:hAnsi="微软雅黑" w:cs="微软雅黑"/>
          <w:spacing w:val="12"/>
          <w:lang w:eastAsia="zh-CN"/>
        </w:rPr>
        <w:t>4.5%</w:t>
      </w:r>
      <w:r w:rsidRPr="00D754A1">
        <w:rPr>
          <w:rFonts w:ascii="微软雅黑" w:eastAsia="微软雅黑" w:hAnsi="微软雅黑" w:cs="微软雅黑" w:hint="eastAsia"/>
          <w:spacing w:val="12"/>
          <w:lang w:eastAsia="zh-CN"/>
        </w:rPr>
        <w:t>。最新出炉的点阵图显示，美联储官员们大幅上调未来政策利率目标区间的中位数，对明年和后年的通胀预期也显著上调。美联储主席鲍威尔表示，不再紧缩的政策会让美联储进一步调整利率时更加谨慎，决议声明意味着，美联储处于或接近放慢降息节奏、或暂停降息步伐。除此之外，美联储</w:t>
      </w:r>
      <w:r w:rsidRPr="00D754A1">
        <w:rPr>
          <w:rFonts w:ascii="微软雅黑" w:eastAsia="微软雅黑" w:hAnsi="微软雅黑" w:cs="微软雅黑"/>
          <w:spacing w:val="12"/>
          <w:lang w:eastAsia="zh-CN"/>
        </w:rPr>
        <w:t>12</w:t>
      </w:r>
      <w:r w:rsidRPr="00D754A1">
        <w:rPr>
          <w:rFonts w:ascii="微软雅黑" w:eastAsia="微软雅黑" w:hAnsi="微软雅黑" w:cs="微软雅黑" w:hint="eastAsia"/>
          <w:spacing w:val="12"/>
          <w:lang w:eastAsia="zh-CN"/>
        </w:rPr>
        <w:t>月点阵图中值显示，美联储预期</w:t>
      </w:r>
      <w:r w:rsidRPr="00D754A1">
        <w:rPr>
          <w:rFonts w:ascii="微软雅黑" w:eastAsia="微软雅黑" w:hAnsi="微软雅黑" w:cs="微软雅黑"/>
          <w:spacing w:val="12"/>
          <w:lang w:eastAsia="zh-CN"/>
        </w:rPr>
        <w:t>2025</w:t>
      </w:r>
      <w:r w:rsidRPr="00D754A1">
        <w:rPr>
          <w:rFonts w:ascii="微软雅黑" w:eastAsia="微软雅黑" w:hAnsi="微软雅黑" w:cs="微软雅黑" w:hint="eastAsia"/>
          <w:spacing w:val="12"/>
          <w:lang w:eastAsia="zh-CN"/>
        </w:rPr>
        <w:t>年将降息两次，每次</w:t>
      </w:r>
      <w:r w:rsidRPr="00D754A1">
        <w:rPr>
          <w:rFonts w:ascii="微软雅黑" w:eastAsia="微软雅黑" w:hAnsi="微软雅黑" w:cs="微软雅黑"/>
          <w:spacing w:val="12"/>
          <w:lang w:eastAsia="zh-CN"/>
        </w:rPr>
        <w:t>25</w:t>
      </w:r>
      <w:r w:rsidRPr="00D754A1">
        <w:rPr>
          <w:rFonts w:ascii="微软雅黑" w:eastAsia="微软雅黑" w:hAnsi="微软雅黑" w:cs="微软雅黑" w:hint="eastAsia"/>
          <w:spacing w:val="12"/>
          <w:lang w:eastAsia="zh-CN"/>
        </w:rPr>
        <w:t>个基点；</w:t>
      </w:r>
      <w:r w:rsidRPr="00D754A1">
        <w:rPr>
          <w:rFonts w:ascii="微软雅黑" w:eastAsia="微软雅黑" w:hAnsi="微软雅黑" w:cs="微软雅黑"/>
          <w:spacing w:val="12"/>
          <w:lang w:eastAsia="zh-CN"/>
        </w:rPr>
        <w:t>9</w:t>
      </w:r>
      <w:r w:rsidRPr="00D754A1">
        <w:rPr>
          <w:rFonts w:ascii="微软雅黑" w:eastAsia="微软雅黑" w:hAnsi="微软雅黑" w:cs="微软雅黑" w:hint="eastAsia"/>
          <w:spacing w:val="12"/>
          <w:lang w:eastAsia="zh-CN"/>
        </w:rPr>
        <w:t>月份预期为降息四次，每次</w:t>
      </w:r>
      <w:r w:rsidRPr="00D754A1">
        <w:rPr>
          <w:rFonts w:ascii="微软雅黑" w:eastAsia="微软雅黑" w:hAnsi="微软雅黑" w:cs="微软雅黑"/>
          <w:spacing w:val="12"/>
          <w:lang w:eastAsia="zh-CN"/>
        </w:rPr>
        <w:t>25</w:t>
      </w:r>
      <w:r w:rsidRPr="00D754A1">
        <w:rPr>
          <w:rFonts w:ascii="微软雅黑" w:eastAsia="微软雅黑" w:hAnsi="微软雅黑" w:cs="微软雅黑" w:hint="eastAsia"/>
          <w:spacing w:val="12"/>
          <w:lang w:eastAsia="zh-CN"/>
        </w:rPr>
        <w:t>个基点。美联储预期</w:t>
      </w:r>
      <w:r w:rsidRPr="00D754A1">
        <w:rPr>
          <w:rFonts w:ascii="微软雅黑" w:eastAsia="微软雅黑" w:hAnsi="微软雅黑" w:cs="微软雅黑"/>
          <w:spacing w:val="12"/>
          <w:lang w:eastAsia="zh-CN"/>
        </w:rPr>
        <w:t>2026</w:t>
      </w:r>
      <w:r w:rsidRPr="00D754A1">
        <w:rPr>
          <w:rFonts w:ascii="微软雅黑" w:eastAsia="微软雅黑" w:hAnsi="微软雅黑" w:cs="微软雅黑" w:hint="eastAsia"/>
          <w:spacing w:val="12"/>
          <w:lang w:eastAsia="zh-CN"/>
        </w:rPr>
        <w:t>年将降息两次，每次</w:t>
      </w:r>
      <w:r w:rsidRPr="00D754A1">
        <w:rPr>
          <w:rFonts w:ascii="微软雅黑" w:eastAsia="微软雅黑" w:hAnsi="微软雅黑" w:cs="微软雅黑"/>
          <w:spacing w:val="12"/>
          <w:lang w:eastAsia="zh-CN"/>
        </w:rPr>
        <w:t>25</w:t>
      </w:r>
      <w:r w:rsidRPr="00D754A1">
        <w:rPr>
          <w:rFonts w:ascii="微软雅黑" w:eastAsia="微软雅黑" w:hAnsi="微软雅黑" w:cs="微软雅黑" w:hint="eastAsia"/>
          <w:spacing w:val="12"/>
          <w:lang w:eastAsia="zh-CN"/>
        </w:rPr>
        <w:t>个基点，与</w:t>
      </w:r>
      <w:r w:rsidRPr="00D754A1">
        <w:rPr>
          <w:rFonts w:ascii="微软雅黑" w:eastAsia="微软雅黑" w:hAnsi="微软雅黑" w:cs="微软雅黑"/>
          <w:spacing w:val="12"/>
          <w:lang w:eastAsia="zh-CN"/>
        </w:rPr>
        <w:t>9</w:t>
      </w:r>
      <w:r w:rsidRPr="00D754A1">
        <w:rPr>
          <w:rFonts w:ascii="微软雅黑" w:eastAsia="微软雅黑" w:hAnsi="微软雅黑" w:cs="微软雅黑" w:hint="eastAsia"/>
          <w:spacing w:val="12"/>
          <w:lang w:eastAsia="zh-CN"/>
        </w:rPr>
        <w:t>月份预期一致。往后看，昨日</w:t>
      </w:r>
      <w:r w:rsidRPr="00D754A1">
        <w:rPr>
          <w:rFonts w:ascii="微软雅黑" w:eastAsia="微软雅黑" w:hAnsi="微软雅黑" w:cs="微软雅黑"/>
          <w:spacing w:val="12"/>
          <w:lang w:eastAsia="zh-CN"/>
        </w:rPr>
        <w:t>FOMC</w:t>
      </w:r>
      <w:r w:rsidRPr="00D754A1">
        <w:rPr>
          <w:rFonts w:ascii="微软雅黑" w:eastAsia="微软雅黑" w:hAnsi="微软雅黑" w:cs="微软雅黑" w:hint="eastAsia"/>
          <w:spacing w:val="12"/>
          <w:lang w:eastAsia="zh-CN"/>
        </w:rPr>
        <w:t>会议后，市场或持续上调未来美国利率预期，美元指数在短期内或持续走强，贵金属价格或将相对承压。操作上建议，日内轻仓做空，请投资者注意风险控制。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Pr="00D01818">
        <w:rPr>
          <w:rFonts w:ascii="微软雅黑" w:eastAsia="微软雅黑" w:hAnsi="微软雅黑" w:cs="微软雅黑" w:hint="eastAsia"/>
          <w:spacing w:val="7"/>
          <w:lang w:eastAsia="zh-CN"/>
        </w:rPr>
        <w:t>6：COMEX黄金日线走势</w:t>
      </w:r>
      <w:r w:rsidRPr="0067592E">
        <w:rPr>
          <w:rFonts w:ascii="微软雅黑" w:eastAsia="微软雅黑" w:hAnsi="微软雅黑" w:cs="微软雅黑" w:hint="eastAsia"/>
          <w:spacing w:val="7"/>
          <w:lang w:eastAsia="zh-CN"/>
        </w:rPr>
        <w:t>图</w:t>
      </w:r>
    </w:p>
    <w:p w:rsidR="009372C5" w:rsidRDefault="005D2A13">
      <w:pPr>
        <w:spacing w:before="103" w:line="256" w:lineRule="auto"/>
        <w:ind w:right="743"/>
        <w:jc w:val="both"/>
        <w:rPr>
          <w:rFonts w:ascii="微软雅黑" w:eastAsia="微软雅黑" w:hAnsi="微软雅黑" w:cs="微软雅黑"/>
          <w:spacing w:val="12"/>
          <w:sz w:val="24"/>
          <w:szCs w:val="24"/>
          <w:lang w:eastAsia="zh-CN"/>
        </w:rPr>
      </w:pPr>
      <w:r w:rsidRPr="005D2A13">
        <w:rPr>
          <w:rFonts w:ascii="微软雅黑" w:eastAsia="微软雅黑" w:hAnsi="微软雅黑" w:cs="微软雅黑"/>
          <w:noProof/>
          <w:spacing w:val="12"/>
          <w:sz w:val="24"/>
          <w:szCs w:val="24"/>
          <w:lang w:eastAsia="zh-CN"/>
        </w:rPr>
        <w:lastRenderedPageBreak/>
        <w:drawing>
          <wp:inline distT="0" distB="0" distL="0" distR="0">
            <wp:extent cx="6429375" cy="3671598"/>
            <wp:effectExtent l="0" t="0" r="0" b="5080"/>
            <wp:docPr id="24" name="图片 24" descr="C:\Users\Administrator\Documents\WeChat Files\wxid_vkxlzo0vqu7s22\FileStorage\Temp\1733446995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vkxlzo0vqu7s22\FileStorage\Temp\173344699544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31746" cy="3672952"/>
                    </a:xfrm>
                    <a:prstGeom prst="rect">
                      <a:avLst/>
                    </a:prstGeom>
                    <a:noFill/>
                    <a:ln>
                      <a:noFill/>
                    </a:ln>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rsidR="00892B66" w:rsidRDefault="00892B66">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DE289B" w:rsidRDefault="00DB2737" w:rsidP="00DB2737">
      <w:pPr>
        <w:spacing w:before="103" w:line="256" w:lineRule="auto"/>
        <w:ind w:right="743" w:firstLineChars="200" w:firstLine="448"/>
        <w:jc w:val="both"/>
        <w:rPr>
          <w:rFonts w:ascii="微软雅黑" w:eastAsia="微软雅黑" w:hAnsi="微软雅黑" w:cs="微软雅黑"/>
          <w:spacing w:val="7"/>
          <w:lang w:eastAsia="zh-CN"/>
        </w:rPr>
      </w:pPr>
      <w:r w:rsidRPr="00DB2737">
        <w:rPr>
          <w:rFonts w:ascii="微软雅黑" w:eastAsia="微软雅黑" w:hAnsi="微软雅黑" w:cs="微软雅黑" w:hint="eastAsia"/>
          <w:spacing w:val="7"/>
          <w:lang w:eastAsia="zh-CN"/>
        </w:rPr>
        <w:t>美国能源信息署</w:t>
      </w:r>
      <w:r w:rsidRPr="00DB2737">
        <w:rPr>
          <w:rFonts w:ascii="微软雅黑" w:eastAsia="微软雅黑" w:hAnsi="微软雅黑" w:cs="微软雅黑"/>
          <w:spacing w:val="7"/>
          <w:lang w:eastAsia="zh-CN"/>
        </w:rPr>
        <w:t>(EIA)</w:t>
      </w:r>
      <w:r w:rsidRPr="00DB2737">
        <w:rPr>
          <w:rFonts w:ascii="微软雅黑" w:eastAsia="微软雅黑" w:hAnsi="微软雅黑" w:cs="微软雅黑" w:hint="eastAsia"/>
          <w:spacing w:val="7"/>
          <w:lang w:eastAsia="zh-CN"/>
        </w:rPr>
        <w:t>公布的数据显示，截至</w:t>
      </w:r>
      <w:r w:rsidRPr="00DB2737">
        <w:rPr>
          <w:rFonts w:ascii="微软雅黑" w:eastAsia="微软雅黑" w:hAnsi="微软雅黑" w:cs="微软雅黑"/>
          <w:spacing w:val="7"/>
          <w:lang w:eastAsia="zh-CN"/>
        </w:rPr>
        <w:t>12</w:t>
      </w:r>
      <w:r w:rsidRPr="00DB2737">
        <w:rPr>
          <w:rFonts w:ascii="微软雅黑" w:eastAsia="微软雅黑" w:hAnsi="微软雅黑" w:cs="微软雅黑" w:hint="eastAsia"/>
          <w:spacing w:val="7"/>
          <w:lang w:eastAsia="zh-CN"/>
        </w:rPr>
        <w:t>月</w:t>
      </w:r>
      <w:r w:rsidRPr="00DB2737">
        <w:rPr>
          <w:rFonts w:ascii="微软雅黑" w:eastAsia="微软雅黑" w:hAnsi="微软雅黑" w:cs="微软雅黑"/>
          <w:spacing w:val="7"/>
          <w:lang w:eastAsia="zh-CN"/>
        </w:rPr>
        <w:t>6</w:t>
      </w:r>
      <w:r w:rsidRPr="00DB2737">
        <w:rPr>
          <w:rFonts w:ascii="微软雅黑" w:eastAsia="微软雅黑" w:hAnsi="微软雅黑" w:cs="微软雅黑" w:hint="eastAsia"/>
          <w:spacing w:val="7"/>
          <w:lang w:eastAsia="zh-CN"/>
        </w:rPr>
        <w:t>日当周美国商业原油库存减少</w:t>
      </w:r>
      <w:r w:rsidRPr="00DB2737">
        <w:rPr>
          <w:rFonts w:ascii="微软雅黑" w:eastAsia="微软雅黑" w:hAnsi="微软雅黑" w:cs="微软雅黑"/>
          <w:spacing w:val="7"/>
          <w:lang w:eastAsia="zh-CN"/>
        </w:rPr>
        <w:t>142.5</w:t>
      </w:r>
      <w:r w:rsidRPr="00DB2737">
        <w:rPr>
          <w:rFonts w:ascii="微软雅黑" w:eastAsia="微软雅黑" w:hAnsi="微软雅黑" w:cs="微软雅黑" w:hint="eastAsia"/>
          <w:spacing w:val="7"/>
          <w:lang w:eastAsia="zh-CN"/>
        </w:rPr>
        <w:t>万桶至</w:t>
      </w:r>
      <w:r w:rsidRPr="00DB2737">
        <w:rPr>
          <w:rFonts w:ascii="微软雅黑" w:eastAsia="微软雅黑" w:hAnsi="微软雅黑" w:cs="微软雅黑"/>
          <w:spacing w:val="7"/>
          <w:lang w:eastAsia="zh-CN"/>
        </w:rPr>
        <w:t>4.22</w:t>
      </w:r>
      <w:r w:rsidRPr="00DB2737">
        <w:rPr>
          <w:rFonts w:ascii="微软雅黑" w:eastAsia="微软雅黑" w:hAnsi="微软雅黑" w:cs="微软雅黑" w:hint="eastAsia"/>
          <w:spacing w:val="7"/>
          <w:lang w:eastAsia="zh-CN"/>
        </w:rPr>
        <w:t>亿桶，预期减少</w:t>
      </w:r>
      <w:r w:rsidRPr="00DB2737">
        <w:rPr>
          <w:rFonts w:ascii="微软雅黑" w:eastAsia="微软雅黑" w:hAnsi="微软雅黑" w:cs="微软雅黑"/>
          <w:spacing w:val="7"/>
          <w:lang w:eastAsia="zh-CN"/>
        </w:rPr>
        <w:t>90</w:t>
      </w:r>
      <w:r w:rsidRPr="00DB2737">
        <w:rPr>
          <w:rFonts w:ascii="微软雅黑" w:eastAsia="微软雅黑" w:hAnsi="微软雅黑" w:cs="微软雅黑" w:hint="eastAsia"/>
          <w:spacing w:val="7"/>
          <w:lang w:eastAsia="zh-CN"/>
        </w:rPr>
        <w:t>万桶；库欣原油库存减少</w:t>
      </w:r>
      <w:r w:rsidRPr="00DB2737">
        <w:rPr>
          <w:rFonts w:ascii="微软雅黑" w:eastAsia="微软雅黑" w:hAnsi="微软雅黑" w:cs="微软雅黑"/>
          <w:spacing w:val="7"/>
          <w:lang w:eastAsia="zh-CN"/>
        </w:rPr>
        <w:t>129.8</w:t>
      </w:r>
      <w:r w:rsidRPr="00DB2737">
        <w:rPr>
          <w:rFonts w:ascii="微软雅黑" w:eastAsia="微软雅黑" w:hAnsi="微软雅黑" w:cs="微软雅黑" w:hint="eastAsia"/>
          <w:spacing w:val="7"/>
          <w:lang w:eastAsia="zh-CN"/>
        </w:rPr>
        <w:t>万桶至</w:t>
      </w:r>
      <w:r w:rsidRPr="00DB2737">
        <w:rPr>
          <w:rFonts w:ascii="微软雅黑" w:eastAsia="微软雅黑" w:hAnsi="微软雅黑" w:cs="微软雅黑"/>
          <w:spacing w:val="7"/>
          <w:lang w:eastAsia="zh-CN"/>
        </w:rPr>
        <w:t>2289.4</w:t>
      </w:r>
      <w:r w:rsidRPr="00DB2737">
        <w:rPr>
          <w:rFonts w:ascii="微软雅黑" w:eastAsia="微软雅黑" w:hAnsi="微软雅黑" w:cs="微软雅黑" w:hint="eastAsia"/>
          <w:spacing w:val="7"/>
          <w:lang w:eastAsia="zh-CN"/>
        </w:rPr>
        <w:t>万桶；汽油库存增加</w:t>
      </w:r>
      <w:r w:rsidRPr="00DB2737">
        <w:rPr>
          <w:rFonts w:ascii="微软雅黑" w:eastAsia="微软雅黑" w:hAnsi="微软雅黑" w:cs="微软雅黑"/>
          <w:spacing w:val="7"/>
          <w:lang w:eastAsia="zh-CN"/>
        </w:rPr>
        <w:t>508.6</w:t>
      </w:r>
      <w:r w:rsidRPr="00DB2737">
        <w:rPr>
          <w:rFonts w:ascii="微软雅黑" w:eastAsia="微软雅黑" w:hAnsi="微软雅黑" w:cs="微软雅黑" w:hint="eastAsia"/>
          <w:spacing w:val="7"/>
          <w:lang w:eastAsia="zh-CN"/>
        </w:rPr>
        <w:t>万桶，精炼油库存增加</w:t>
      </w:r>
      <w:r w:rsidRPr="00DB2737">
        <w:rPr>
          <w:rFonts w:ascii="微软雅黑" w:eastAsia="微软雅黑" w:hAnsi="微软雅黑" w:cs="微软雅黑"/>
          <w:spacing w:val="7"/>
          <w:lang w:eastAsia="zh-CN"/>
        </w:rPr>
        <w:t>323.5</w:t>
      </w:r>
      <w:r w:rsidRPr="00DB2737">
        <w:rPr>
          <w:rFonts w:ascii="微软雅黑" w:eastAsia="微软雅黑" w:hAnsi="微软雅黑" w:cs="微软雅黑" w:hint="eastAsia"/>
          <w:spacing w:val="7"/>
          <w:lang w:eastAsia="zh-CN"/>
        </w:rPr>
        <w:t>万桶；美国战略石油储备（</w:t>
      </w:r>
      <w:r w:rsidRPr="00DB2737">
        <w:rPr>
          <w:rFonts w:ascii="微软雅黑" w:eastAsia="微软雅黑" w:hAnsi="微软雅黑" w:cs="微软雅黑"/>
          <w:spacing w:val="7"/>
          <w:lang w:eastAsia="zh-CN"/>
        </w:rPr>
        <w:t>SPR</w:t>
      </w:r>
      <w:r w:rsidRPr="00DB2737">
        <w:rPr>
          <w:rFonts w:ascii="微软雅黑" w:eastAsia="微软雅黑" w:hAnsi="微软雅黑" w:cs="微软雅黑" w:hint="eastAsia"/>
          <w:spacing w:val="7"/>
          <w:lang w:eastAsia="zh-CN"/>
        </w:rPr>
        <w:t>）库存增加</w:t>
      </w:r>
      <w:r w:rsidRPr="00DB2737">
        <w:rPr>
          <w:rFonts w:ascii="微软雅黑" w:eastAsia="微软雅黑" w:hAnsi="微软雅黑" w:cs="微软雅黑"/>
          <w:spacing w:val="7"/>
          <w:lang w:eastAsia="zh-CN"/>
        </w:rPr>
        <w:t>72</w:t>
      </w:r>
      <w:r w:rsidRPr="00DB2737">
        <w:rPr>
          <w:rFonts w:ascii="微软雅黑" w:eastAsia="微软雅黑" w:hAnsi="微软雅黑" w:cs="微软雅黑" w:hint="eastAsia"/>
          <w:spacing w:val="7"/>
          <w:lang w:eastAsia="zh-CN"/>
        </w:rPr>
        <w:t>万桶至</w:t>
      </w:r>
      <w:r w:rsidRPr="00DB2737">
        <w:rPr>
          <w:rFonts w:ascii="微软雅黑" w:eastAsia="微软雅黑" w:hAnsi="微软雅黑" w:cs="微软雅黑"/>
          <w:spacing w:val="7"/>
          <w:lang w:eastAsia="zh-CN"/>
        </w:rPr>
        <w:t>3.925</w:t>
      </w:r>
      <w:r w:rsidRPr="00DB2737">
        <w:rPr>
          <w:rFonts w:ascii="微软雅黑" w:eastAsia="微软雅黑" w:hAnsi="微软雅黑" w:cs="微软雅黑" w:hint="eastAsia"/>
          <w:spacing w:val="7"/>
          <w:lang w:eastAsia="zh-CN"/>
        </w:rPr>
        <w:t>亿桶。美国炼厂加工总量平均每天</w:t>
      </w:r>
      <w:r w:rsidRPr="00DB2737">
        <w:rPr>
          <w:rFonts w:ascii="微软雅黑" w:eastAsia="微软雅黑" w:hAnsi="微软雅黑" w:cs="微软雅黑"/>
          <w:spacing w:val="7"/>
          <w:lang w:eastAsia="zh-CN"/>
        </w:rPr>
        <w:t>1665.9</w:t>
      </w:r>
      <w:r w:rsidRPr="00DB2737">
        <w:rPr>
          <w:rFonts w:ascii="微软雅黑" w:eastAsia="微软雅黑" w:hAnsi="微软雅黑" w:cs="微软雅黑" w:hint="eastAsia"/>
          <w:spacing w:val="7"/>
          <w:lang w:eastAsia="zh-CN"/>
        </w:rPr>
        <w:t>万桶，比前一周减少</w:t>
      </w:r>
      <w:r w:rsidRPr="00DB2737">
        <w:rPr>
          <w:rFonts w:ascii="微软雅黑" w:eastAsia="微软雅黑" w:hAnsi="微软雅黑" w:cs="微软雅黑"/>
          <w:spacing w:val="7"/>
          <w:lang w:eastAsia="zh-CN"/>
        </w:rPr>
        <w:t>25.1</w:t>
      </w:r>
      <w:r w:rsidRPr="00DB2737">
        <w:rPr>
          <w:rFonts w:ascii="微软雅黑" w:eastAsia="微软雅黑" w:hAnsi="微软雅黑" w:cs="微软雅黑" w:hint="eastAsia"/>
          <w:spacing w:val="7"/>
          <w:lang w:eastAsia="zh-CN"/>
        </w:rPr>
        <w:t>万桶；炼油厂开工率</w:t>
      </w:r>
      <w:r w:rsidRPr="00DB2737">
        <w:rPr>
          <w:rFonts w:ascii="微软雅黑" w:eastAsia="微软雅黑" w:hAnsi="微软雅黑" w:cs="微软雅黑"/>
          <w:spacing w:val="7"/>
          <w:lang w:eastAsia="zh-CN"/>
        </w:rPr>
        <w:t>92.4%</w:t>
      </w:r>
      <w:r w:rsidRPr="00DB2737">
        <w:rPr>
          <w:rFonts w:ascii="微软雅黑" w:eastAsia="微软雅黑" w:hAnsi="微软雅黑" w:cs="微软雅黑" w:hint="eastAsia"/>
          <w:spacing w:val="7"/>
          <w:lang w:eastAsia="zh-CN"/>
        </w:rPr>
        <w:t>，比前一周下降</w:t>
      </w:r>
      <w:r w:rsidRPr="00DB2737">
        <w:rPr>
          <w:rFonts w:ascii="微软雅黑" w:eastAsia="微软雅黑" w:hAnsi="微软雅黑" w:cs="微软雅黑"/>
          <w:spacing w:val="7"/>
          <w:lang w:eastAsia="zh-CN"/>
        </w:rPr>
        <w:t>0.9</w:t>
      </w:r>
      <w:r w:rsidRPr="00DB2737">
        <w:rPr>
          <w:rFonts w:ascii="微软雅黑" w:eastAsia="微软雅黑" w:hAnsi="微软雅黑" w:cs="微软雅黑" w:hint="eastAsia"/>
          <w:spacing w:val="7"/>
          <w:lang w:eastAsia="zh-CN"/>
        </w:rPr>
        <w:t>个百分点。上周美国原油进口量平均每天</w:t>
      </w:r>
      <w:r w:rsidRPr="00DB2737">
        <w:rPr>
          <w:rFonts w:ascii="微软雅黑" w:eastAsia="微软雅黑" w:hAnsi="微软雅黑" w:cs="微软雅黑"/>
          <w:spacing w:val="7"/>
          <w:lang w:eastAsia="zh-CN"/>
        </w:rPr>
        <w:t>598.4</w:t>
      </w:r>
      <w:r w:rsidRPr="00DB2737">
        <w:rPr>
          <w:rFonts w:ascii="微软雅黑" w:eastAsia="微软雅黑" w:hAnsi="微软雅黑" w:cs="微软雅黑" w:hint="eastAsia"/>
          <w:spacing w:val="7"/>
          <w:lang w:eastAsia="zh-CN"/>
        </w:rPr>
        <w:t>万桶，比前一周减少</w:t>
      </w:r>
      <w:r w:rsidRPr="00DB2737">
        <w:rPr>
          <w:rFonts w:ascii="微软雅黑" w:eastAsia="微软雅黑" w:hAnsi="微软雅黑" w:cs="微软雅黑"/>
          <w:spacing w:val="7"/>
          <w:lang w:eastAsia="zh-CN"/>
        </w:rPr>
        <w:t>130.6</w:t>
      </w:r>
      <w:r w:rsidRPr="00DB2737">
        <w:rPr>
          <w:rFonts w:ascii="微软雅黑" w:eastAsia="微软雅黑" w:hAnsi="微软雅黑" w:cs="微软雅黑" w:hint="eastAsia"/>
          <w:spacing w:val="7"/>
          <w:lang w:eastAsia="zh-CN"/>
        </w:rPr>
        <w:t>万桶，成品油日均进口量</w:t>
      </w:r>
      <w:r w:rsidRPr="00DB2737">
        <w:rPr>
          <w:rFonts w:ascii="微软雅黑" w:eastAsia="微软雅黑" w:hAnsi="微软雅黑" w:cs="微软雅黑"/>
          <w:spacing w:val="7"/>
          <w:lang w:eastAsia="zh-CN"/>
        </w:rPr>
        <w:t>154.6</w:t>
      </w:r>
      <w:r w:rsidRPr="00DB2737">
        <w:rPr>
          <w:rFonts w:ascii="微软雅黑" w:eastAsia="微软雅黑" w:hAnsi="微软雅黑" w:cs="微软雅黑" w:hint="eastAsia"/>
          <w:spacing w:val="7"/>
          <w:lang w:eastAsia="zh-CN"/>
        </w:rPr>
        <w:t>桶，比前一周增长</w:t>
      </w:r>
      <w:r w:rsidRPr="00DB2737">
        <w:rPr>
          <w:rFonts w:ascii="微软雅黑" w:eastAsia="微软雅黑" w:hAnsi="微软雅黑" w:cs="微软雅黑"/>
          <w:spacing w:val="7"/>
          <w:lang w:eastAsia="zh-CN"/>
        </w:rPr>
        <w:t>6.7</w:t>
      </w:r>
      <w:r w:rsidRPr="00DB2737">
        <w:rPr>
          <w:rFonts w:ascii="微软雅黑" w:eastAsia="微软雅黑" w:hAnsi="微软雅黑" w:cs="微软雅黑" w:hint="eastAsia"/>
          <w:spacing w:val="7"/>
          <w:lang w:eastAsia="zh-CN"/>
        </w:rPr>
        <w:t>万桶。美国</w:t>
      </w:r>
      <w:r w:rsidRPr="00DB2737">
        <w:rPr>
          <w:rFonts w:ascii="微软雅黑" w:eastAsia="微软雅黑" w:hAnsi="微软雅黑" w:cs="微软雅黑"/>
          <w:spacing w:val="7"/>
          <w:lang w:eastAsia="zh-CN"/>
        </w:rPr>
        <w:t>11</w:t>
      </w:r>
      <w:r w:rsidRPr="00DB2737">
        <w:rPr>
          <w:rFonts w:ascii="微软雅黑" w:eastAsia="微软雅黑" w:hAnsi="微软雅黑" w:cs="微软雅黑" w:hint="eastAsia"/>
          <w:spacing w:val="7"/>
          <w:lang w:eastAsia="zh-CN"/>
        </w:rPr>
        <w:t>月</w:t>
      </w:r>
      <w:r w:rsidRPr="00DB2737">
        <w:rPr>
          <w:rFonts w:ascii="微软雅黑" w:eastAsia="微软雅黑" w:hAnsi="微软雅黑" w:cs="微软雅黑"/>
          <w:spacing w:val="7"/>
          <w:lang w:eastAsia="zh-CN"/>
        </w:rPr>
        <w:t>CPI</w:t>
      </w:r>
      <w:r w:rsidRPr="00DB2737">
        <w:rPr>
          <w:rFonts w:ascii="微软雅黑" w:eastAsia="微软雅黑" w:hAnsi="微软雅黑" w:cs="微软雅黑" w:hint="eastAsia"/>
          <w:spacing w:val="7"/>
          <w:lang w:eastAsia="zh-CN"/>
        </w:rPr>
        <w:t>数据表现温和，美联储</w:t>
      </w:r>
      <w:r w:rsidRPr="00DB2737">
        <w:rPr>
          <w:rFonts w:ascii="微软雅黑" w:eastAsia="微软雅黑" w:hAnsi="微软雅黑" w:cs="微软雅黑"/>
          <w:spacing w:val="7"/>
          <w:lang w:eastAsia="zh-CN"/>
        </w:rPr>
        <w:t>12</w:t>
      </w:r>
      <w:r w:rsidRPr="00DB2737">
        <w:rPr>
          <w:rFonts w:ascii="微软雅黑" w:eastAsia="微软雅黑" w:hAnsi="微软雅黑" w:cs="微软雅黑" w:hint="eastAsia"/>
          <w:spacing w:val="7"/>
          <w:lang w:eastAsia="zh-CN"/>
        </w:rPr>
        <w:t>月降息概率升高，欧洲央行如期降息</w:t>
      </w:r>
      <w:r w:rsidRPr="00DB2737">
        <w:rPr>
          <w:rFonts w:ascii="微软雅黑" w:eastAsia="微软雅黑" w:hAnsi="微软雅黑" w:cs="微软雅黑"/>
          <w:spacing w:val="7"/>
          <w:lang w:eastAsia="zh-CN"/>
        </w:rPr>
        <w:t>25</w:t>
      </w:r>
      <w:r w:rsidRPr="00DB2737">
        <w:rPr>
          <w:rFonts w:ascii="微软雅黑" w:eastAsia="微软雅黑" w:hAnsi="微软雅黑" w:cs="微软雅黑" w:hint="eastAsia"/>
          <w:spacing w:val="7"/>
          <w:lang w:eastAsia="zh-CN"/>
        </w:rPr>
        <w:t>个基点，美元指数震荡上行；中国表示将实行适度宽松货币政策提振经济预期。欧佩克联盟部长级会议延长额外减产举措至明年</w:t>
      </w:r>
      <w:r w:rsidRPr="00DB2737">
        <w:rPr>
          <w:rFonts w:ascii="微软雅黑" w:eastAsia="微软雅黑" w:hAnsi="微软雅黑" w:cs="微软雅黑"/>
          <w:spacing w:val="7"/>
          <w:lang w:eastAsia="zh-CN"/>
        </w:rPr>
        <w:t>4</w:t>
      </w:r>
      <w:r w:rsidRPr="00DB2737">
        <w:rPr>
          <w:rFonts w:ascii="微软雅黑" w:eastAsia="微软雅黑" w:hAnsi="微软雅黑" w:cs="微软雅黑" w:hint="eastAsia"/>
          <w:spacing w:val="7"/>
          <w:lang w:eastAsia="zh-CN"/>
        </w:rPr>
        <w:t>月份。以色列连续空袭叙利亚，并表示做好对伊朗核设施可能发动袭击的准备，欧美将对俄罗斯原油出口加强制裁，地缘局势有所反复。欧佩克下调全球原油需求增长预估，国际能源署预计明年供应仍较充足。整体上，欧佩克联盟推迟增产及欧美加强制裁俄罗斯支撑市场，全球经济放缓压制需求前景，短线原油期价呈现宽幅震荡。纽约商品期货交易所（</w:t>
      </w:r>
      <w:r w:rsidRPr="00DB2737">
        <w:rPr>
          <w:rFonts w:ascii="微软雅黑" w:eastAsia="微软雅黑" w:hAnsi="微软雅黑" w:cs="微软雅黑"/>
          <w:spacing w:val="7"/>
          <w:lang w:eastAsia="zh-CN"/>
        </w:rPr>
        <w:t>NYMEX</w:t>
      </w:r>
      <w:r w:rsidRPr="00DB2737">
        <w:rPr>
          <w:rFonts w:ascii="微软雅黑" w:eastAsia="微软雅黑" w:hAnsi="微软雅黑" w:cs="微软雅黑" w:hint="eastAsia"/>
          <w:spacing w:val="7"/>
          <w:lang w:eastAsia="zh-CN"/>
        </w:rPr>
        <w:t>）的西德克萨斯中质原油（</w:t>
      </w:r>
      <w:r w:rsidRPr="00DB2737">
        <w:rPr>
          <w:rFonts w:ascii="微软雅黑" w:eastAsia="微软雅黑" w:hAnsi="微软雅黑" w:cs="微软雅黑"/>
          <w:spacing w:val="7"/>
          <w:lang w:eastAsia="zh-CN"/>
        </w:rPr>
        <w:t>WTI</w:t>
      </w:r>
      <w:r w:rsidRPr="00DB2737">
        <w:rPr>
          <w:rFonts w:ascii="微软雅黑" w:eastAsia="微软雅黑" w:hAnsi="微软雅黑" w:cs="微软雅黑" w:hint="eastAsia"/>
          <w:spacing w:val="7"/>
          <w:lang w:eastAsia="zh-CN"/>
        </w:rPr>
        <w:t>）</w:t>
      </w:r>
      <w:r w:rsidRPr="00DB2737">
        <w:rPr>
          <w:rFonts w:ascii="微软雅黑" w:eastAsia="微软雅黑" w:hAnsi="微软雅黑" w:cs="微软雅黑"/>
          <w:spacing w:val="7"/>
          <w:lang w:eastAsia="zh-CN"/>
        </w:rPr>
        <w:t>2</w:t>
      </w:r>
      <w:r w:rsidRPr="00DB2737">
        <w:rPr>
          <w:rFonts w:ascii="微软雅黑" w:eastAsia="微软雅黑" w:hAnsi="微软雅黑" w:cs="微软雅黑" w:hint="eastAsia"/>
          <w:spacing w:val="7"/>
          <w:lang w:eastAsia="zh-CN"/>
        </w:rPr>
        <w:t>月合约周度支撑位：</w:t>
      </w:r>
      <w:r w:rsidRPr="00DB2737">
        <w:rPr>
          <w:rFonts w:ascii="微软雅黑" w:eastAsia="微软雅黑" w:hAnsi="微软雅黑" w:cs="微软雅黑"/>
          <w:spacing w:val="7"/>
          <w:lang w:eastAsia="zh-CN"/>
        </w:rPr>
        <w:t>68.7</w:t>
      </w:r>
      <w:r w:rsidRPr="00DB2737">
        <w:rPr>
          <w:rFonts w:ascii="微软雅黑" w:eastAsia="微软雅黑" w:hAnsi="微软雅黑" w:cs="微软雅黑" w:hint="eastAsia"/>
          <w:spacing w:val="7"/>
          <w:lang w:eastAsia="zh-CN"/>
        </w:rPr>
        <w:t>；压力位：</w:t>
      </w:r>
      <w:r w:rsidRPr="00DB2737">
        <w:rPr>
          <w:rFonts w:ascii="微软雅黑" w:eastAsia="微软雅黑" w:hAnsi="微软雅黑" w:cs="微软雅黑"/>
          <w:spacing w:val="7"/>
          <w:lang w:eastAsia="zh-CN"/>
        </w:rPr>
        <w:t>72</w:t>
      </w:r>
      <w:r w:rsidRPr="00DB2737">
        <w:rPr>
          <w:rFonts w:ascii="微软雅黑" w:eastAsia="微软雅黑" w:hAnsi="微软雅黑" w:cs="微软雅黑" w:hint="eastAsia"/>
          <w:spacing w:val="7"/>
          <w:lang w:eastAsia="zh-CN"/>
        </w:rPr>
        <w:t>。</w:t>
      </w:r>
    </w:p>
    <w:p w:rsidR="009372C5" w:rsidRDefault="00115A1A">
      <w:pPr>
        <w:spacing w:before="103" w:line="256" w:lineRule="auto"/>
        <w:ind w:right="743" w:firstLineChars="200" w:firstLine="448"/>
        <w:jc w:val="both"/>
        <w:rPr>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Pr="00EE7376">
        <w:rPr>
          <w:rFonts w:ascii="微软雅黑" w:eastAsia="微软雅黑" w:hAnsi="微软雅黑" w:cs="微软雅黑" w:hint="eastAsia"/>
          <w:spacing w:val="7"/>
          <w:lang w:eastAsia="zh-CN"/>
        </w:rPr>
        <w:t>7：原油（WTI）走势</w:t>
      </w:r>
      <w:r w:rsidRPr="00923293">
        <w:rPr>
          <w:rFonts w:ascii="微软雅黑" w:eastAsia="微软雅黑" w:hAnsi="微软雅黑" w:cs="微软雅黑" w:hint="eastAsia"/>
          <w:spacing w:val="7"/>
          <w:lang w:eastAsia="zh-CN"/>
        </w:rPr>
        <w:t>图</w:t>
      </w:r>
    </w:p>
    <w:p w:rsidR="009372C5" w:rsidRDefault="00DB2737">
      <w:pPr>
        <w:spacing w:before="103" w:line="256" w:lineRule="auto"/>
        <w:ind w:right="743"/>
        <w:jc w:val="both"/>
        <w:rPr>
          <w:lang w:eastAsia="zh-CN"/>
        </w:rPr>
      </w:pPr>
      <w:r>
        <w:rPr>
          <w:noProof/>
          <w:lang w:eastAsia="zh-CN"/>
        </w:rPr>
        <w:lastRenderedPageBreak/>
        <w:drawing>
          <wp:inline distT="0" distB="0" distL="0" distR="0" wp14:anchorId="082E586B" wp14:editId="7502AB81">
            <wp:extent cx="6217920" cy="32308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17920" cy="3230880"/>
                    </a:xfrm>
                    <a:prstGeom prst="rect">
                      <a:avLst/>
                    </a:prstGeom>
                  </pic:spPr>
                </pic:pic>
              </a:graphicData>
            </a:graphic>
          </wp:inline>
        </w:drawing>
      </w:r>
    </w:p>
    <w:p w:rsidR="0036330E" w:rsidRDefault="00115A1A" w:rsidP="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7E07D2">
        <w:rPr>
          <w:rFonts w:ascii="微软雅黑" w:eastAsia="微软雅黑" w:hAnsi="微软雅黑" w:cs="微软雅黑" w:hint="eastAsia"/>
          <w:spacing w:val="7"/>
          <w:lang w:eastAsia="zh-CN"/>
        </w:rPr>
        <w:t>Wind</w:t>
      </w:r>
      <w:r>
        <w:rPr>
          <w:rFonts w:ascii="微软雅黑" w:eastAsia="微软雅黑" w:hAnsi="微软雅黑" w:cs="微软雅黑" w:hint="eastAsia"/>
          <w:spacing w:val="7"/>
          <w:lang w:eastAsia="zh-CN"/>
        </w:rPr>
        <w:t>、瑞达国际</w:t>
      </w:r>
    </w:p>
    <w:p w:rsidR="00383E15" w:rsidRDefault="00383E15" w:rsidP="00383E15">
      <w:pPr>
        <w:spacing w:before="120" w:line="190" w:lineRule="auto"/>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r>
        <w:rPr>
          <w:rFonts w:ascii="微软雅黑" w:eastAsia="微软雅黑" w:hAnsi="微软雅黑" w:cs="微软雅黑" w:hint="eastAsia"/>
          <w:b/>
          <w:bCs/>
          <w:spacing w:val="12"/>
          <w:lang w:eastAsia="zh-CN"/>
        </w:rPr>
        <w:lastRenderedPageBreak/>
        <w:t>ICE原糖</w:t>
      </w:r>
      <w:bookmarkStart w:id="2" w:name="OLE_LINK4"/>
      <w:bookmarkStart w:id="3" w:name="OLE_LINK3"/>
    </w:p>
    <w:bookmarkEnd w:id="2"/>
    <w:bookmarkEnd w:id="3"/>
    <w:p w:rsidR="00383E15" w:rsidRDefault="00074DDF" w:rsidP="00074DDF">
      <w:pPr>
        <w:spacing w:before="103" w:line="256" w:lineRule="auto"/>
        <w:ind w:right="743" w:firstLine="448"/>
        <w:jc w:val="both"/>
        <w:rPr>
          <w:rFonts w:ascii="微软雅黑" w:eastAsia="微软雅黑" w:hAnsi="微软雅黑" w:cs="微软雅黑"/>
          <w:spacing w:val="12"/>
          <w:lang w:eastAsia="zh-CN"/>
        </w:rPr>
      </w:pPr>
      <w:r w:rsidRPr="00074DDF">
        <w:rPr>
          <w:rFonts w:ascii="微软雅黑" w:eastAsia="微软雅黑" w:hAnsi="微软雅黑" w:cs="微软雅黑" w:hint="eastAsia"/>
          <w:spacing w:val="12"/>
          <w:lang w:eastAsia="zh-CN"/>
        </w:rPr>
        <w:t>洲际期货交易所（</w:t>
      </w:r>
      <w:r w:rsidRPr="00074DDF">
        <w:rPr>
          <w:rFonts w:ascii="微软雅黑" w:eastAsia="微软雅黑" w:hAnsi="微软雅黑" w:cs="微软雅黑"/>
          <w:spacing w:val="12"/>
          <w:lang w:eastAsia="zh-CN"/>
        </w:rPr>
        <w:t>ICE</w:t>
      </w:r>
      <w:r w:rsidRPr="00074DDF">
        <w:rPr>
          <w:rFonts w:ascii="微软雅黑" w:eastAsia="微软雅黑" w:hAnsi="微软雅黑" w:cs="微软雅黑" w:hint="eastAsia"/>
          <w:spacing w:val="12"/>
          <w:lang w:eastAsia="zh-CN"/>
        </w:rPr>
        <w:t>）原糖期货周三触及三个月低点，因本币贬值和供应前景良好促使巴西生产商大举抛售。交投最活跃的</w:t>
      </w:r>
      <w:r w:rsidRPr="00074DDF">
        <w:rPr>
          <w:rFonts w:ascii="微软雅黑" w:eastAsia="微软雅黑" w:hAnsi="微软雅黑" w:cs="微软雅黑"/>
          <w:spacing w:val="12"/>
          <w:lang w:eastAsia="zh-CN"/>
        </w:rPr>
        <w:t>ICE 3</w:t>
      </w:r>
      <w:r w:rsidRPr="00074DDF">
        <w:rPr>
          <w:rFonts w:ascii="微软雅黑" w:eastAsia="微软雅黑" w:hAnsi="微软雅黑" w:cs="微软雅黑" w:hint="eastAsia"/>
          <w:spacing w:val="12"/>
          <w:lang w:eastAsia="zh-CN"/>
        </w:rPr>
        <w:t>月原糖期货合约收盘收跌</w:t>
      </w:r>
      <w:r w:rsidRPr="00074DDF">
        <w:rPr>
          <w:rFonts w:ascii="微软雅黑" w:eastAsia="微软雅黑" w:hAnsi="微软雅黑" w:cs="微软雅黑"/>
          <w:spacing w:val="12"/>
          <w:lang w:eastAsia="zh-CN"/>
        </w:rPr>
        <w:t>0.19</w:t>
      </w:r>
      <w:r w:rsidRPr="00074DDF">
        <w:rPr>
          <w:rFonts w:ascii="微软雅黑" w:eastAsia="微软雅黑" w:hAnsi="微软雅黑" w:cs="微软雅黑" w:hint="eastAsia"/>
          <w:spacing w:val="12"/>
          <w:lang w:eastAsia="zh-CN"/>
        </w:rPr>
        <w:t>美分或</w:t>
      </w:r>
      <w:r w:rsidRPr="00074DDF">
        <w:rPr>
          <w:rFonts w:ascii="微软雅黑" w:eastAsia="微软雅黑" w:hAnsi="微软雅黑" w:cs="微软雅黑"/>
          <w:spacing w:val="12"/>
          <w:lang w:eastAsia="zh-CN"/>
        </w:rPr>
        <w:t>1.0%</w:t>
      </w:r>
      <w:r w:rsidRPr="00074DDF">
        <w:rPr>
          <w:rFonts w:ascii="微软雅黑" w:eastAsia="微软雅黑" w:hAnsi="微软雅黑" w:cs="微软雅黑" w:hint="eastAsia"/>
          <w:spacing w:val="12"/>
          <w:lang w:eastAsia="zh-CN"/>
        </w:rPr>
        <w:t>，结算价每磅</w:t>
      </w:r>
      <w:r w:rsidRPr="00074DDF">
        <w:rPr>
          <w:rFonts w:ascii="微软雅黑" w:eastAsia="微软雅黑" w:hAnsi="微软雅黑" w:cs="微软雅黑"/>
          <w:spacing w:val="12"/>
          <w:lang w:eastAsia="zh-CN"/>
        </w:rPr>
        <w:t>19.65</w:t>
      </w:r>
      <w:r w:rsidRPr="00074DDF">
        <w:rPr>
          <w:rFonts w:ascii="微软雅黑" w:eastAsia="微软雅黑" w:hAnsi="微软雅黑" w:cs="微软雅黑" w:hint="eastAsia"/>
          <w:spacing w:val="12"/>
          <w:lang w:eastAsia="zh-CN"/>
        </w:rPr>
        <w:t>美分。据巴西蔗糖工业协会</w:t>
      </w:r>
      <w:r w:rsidRPr="00074DDF">
        <w:rPr>
          <w:rFonts w:ascii="微软雅黑" w:eastAsia="微软雅黑" w:hAnsi="微软雅黑" w:cs="微软雅黑"/>
          <w:spacing w:val="12"/>
          <w:lang w:eastAsia="zh-CN"/>
        </w:rPr>
        <w:t>Unica</w:t>
      </w:r>
      <w:r w:rsidRPr="00074DDF">
        <w:rPr>
          <w:rFonts w:ascii="微软雅黑" w:eastAsia="微软雅黑" w:hAnsi="微软雅黑" w:cs="微软雅黑" w:hint="eastAsia"/>
          <w:spacing w:val="12"/>
          <w:lang w:eastAsia="zh-CN"/>
        </w:rPr>
        <w:t>称，</w:t>
      </w:r>
      <w:r w:rsidRPr="00074DDF">
        <w:rPr>
          <w:rFonts w:ascii="微软雅黑" w:eastAsia="微软雅黑" w:hAnsi="微软雅黑" w:cs="微软雅黑"/>
          <w:spacing w:val="12"/>
          <w:lang w:eastAsia="zh-CN"/>
        </w:rPr>
        <w:t>11</w:t>
      </w:r>
      <w:r w:rsidRPr="00074DDF">
        <w:rPr>
          <w:rFonts w:ascii="微软雅黑" w:eastAsia="微软雅黑" w:hAnsi="微软雅黑" w:cs="微软雅黑" w:hint="eastAsia"/>
          <w:spacing w:val="12"/>
          <w:lang w:eastAsia="zh-CN"/>
        </w:rPr>
        <w:t>月下半月巴西中南部地区压榨甘蔗</w:t>
      </w:r>
      <w:r w:rsidRPr="00074DDF">
        <w:rPr>
          <w:rFonts w:ascii="微软雅黑" w:eastAsia="微软雅黑" w:hAnsi="微软雅黑" w:cs="微软雅黑"/>
          <w:spacing w:val="12"/>
          <w:lang w:eastAsia="zh-CN"/>
        </w:rPr>
        <w:t>2035</w:t>
      </w:r>
      <w:r w:rsidRPr="00074DDF">
        <w:rPr>
          <w:rFonts w:ascii="微软雅黑" w:eastAsia="微软雅黑" w:hAnsi="微软雅黑" w:cs="微软雅黑" w:hint="eastAsia"/>
          <w:spacing w:val="12"/>
          <w:lang w:eastAsia="zh-CN"/>
        </w:rPr>
        <w:t>万吨，同比下滑</w:t>
      </w:r>
      <w:r w:rsidRPr="00074DDF">
        <w:rPr>
          <w:rFonts w:ascii="微软雅黑" w:eastAsia="微软雅黑" w:hAnsi="微软雅黑" w:cs="微软雅黑"/>
          <w:spacing w:val="12"/>
          <w:lang w:eastAsia="zh-CN"/>
        </w:rPr>
        <w:t>15.2%</w:t>
      </w:r>
      <w:r w:rsidRPr="00074DDF">
        <w:rPr>
          <w:rFonts w:ascii="微软雅黑" w:eastAsia="微软雅黑" w:hAnsi="微软雅黑" w:cs="微软雅黑" w:hint="eastAsia"/>
          <w:spacing w:val="12"/>
          <w:lang w:eastAsia="zh-CN"/>
        </w:rPr>
        <w:t>；产糖</w:t>
      </w:r>
      <w:r w:rsidRPr="00074DDF">
        <w:rPr>
          <w:rFonts w:ascii="微软雅黑" w:eastAsia="微软雅黑" w:hAnsi="微软雅黑" w:cs="微软雅黑"/>
          <w:spacing w:val="12"/>
          <w:lang w:eastAsia="zh-CN"/>
        </w:rPr>
        <w:t>108</w:t>
      </w:r>
      <w:r w:rsidRPr="00074DDF">
        <w:rPr>
          <w:rFonts w:ascii="微软雅黑" w:eastAsia="微软雅黑" w:hAnsi="微软雅黑" w:cs="微软雅黑" w:hint="eastAsia"/>
          <w:spacing w:val="12"/>
          <w:lang w:eastAsia="zh-CN"/>
        </w:rPr>
        <w:t>万吨，同比下滑</w:t>
      </w:r>
      <w:r w:rsidRPr="00074DDF">
        <w:rPr>
          <w:rFonts w:ascii="微软雅黑" w:eastAsia="微软雅黑" w:hAnsi="微软雅黑" w:cs="微软雅黑"/>
          <w:spacing w:val="12"/>
          <w:lang w:eastAsia="zh-CN"/>
        </w:rPr>
        <w:t>23%</w:t>
      </w:r>
      <w:r w:rsidRPr="00074DDF">
        <w:rPr>
          <w:rFonts w:ascii="微软雅黑" w:eastAsia="微软雅黑" w:hAnsi="微软雅黑" w:cs="微软雅黑" w:hint="eastAsia"/>
          <w:spacing w:val="12"/>
          <w:lang w:eastAsia="zh-CN"/>
        </w:rPr>
        <w:t>；</w:t>
      </w:r>
      <w:r w:rsidRPr="00074DDF">
        <w:rPr>
          <w:rFonts w:ascii="微软雅黑" w:eastAsia="微软雅黑" w:hAnsi="微软雅黑" w:cs="微软雅黑"/>
          <w:spacing w:val="12"/>
          <w:lang w:eastAsia="zh-CN"/>
        </w:rPr>
        <w:t>11</w:t>
      </w:r>
      <w:r w:rsidRPr="00074DDF">
        <w:rPr>
          <w:rFonts w:ascii="微软雅黑" w:eastAsia="微软雅黑" w:hAnsi="微软雅黑" w:cs="微软雅黑" w:hint="eastAsia"/>
          <w:spacing w:val="12"/>
          <w:lang w:eastAsia="zh-CN"/>
        </w:rPr>
        <w:t>月下半月糖厂使用</w:t>
      </w:r>
      <w:r w:rsidRPr="00074DDF">
        <w:rPr>
          <w:rFonts w:ascii="微软雅黑" w:eastAsia="微软雅黑" w:hAnsi="微软雅黑" w:cs="微软雅黑"/>
          <w:spacing w:val="12"/>
          <w:lang w:eastAsia="zh-CN"/>
        </w:rPr>
        <w:t>44.89%</w:t>
      </w:r>
      <w:r w:rsidRPr="00074DDF">
        <w:rPr>
          <w:rFonts w:ascii="微软雅黑" w:eastAsia="微软雅黑" w:hAnsi="微软雅黑" w:cs="微软雅黑" w:hint="eastAsia"/>
          <w:spacing w:val="12"/>
          <w:lang w:eastAsia="zh-CN"/>
        </w:rPr>
        <w:t>的甘蔗比例产糖，低于去年同期</w:t>
      </w:r>
      <w:r w:rsidRPr="00074DDF">
        <w:rPr>
          <w:rFonts w:ascii="微软雅黑" w:eastAsia="微软雅黑" w:hAnsi="微软雅黑" w:cs="微软雅黑"/>
          <w:spacing w:val="12"/>
          <w:lang w:eastAsia="zh-CN"/>
        </w:rPr>
        <w:t>46.54%</w:t>
      </w:r>
      <w:r w:rsidRPr="00074DDF">
        <w:rPr>
          <w:rFonts w:ascii="微软雅黑" w:eastAsia="微软雅黑" w:hAnsi="微软雅黑" w:cs="微软雅黑" w:hint="eastAsia"/>
          <w:spacing w:val="12"/>
          <w:lang w:eastAsia="zh-CN"/>
        </w:rPr>
        <w:t>；</w:t>
      </w:r>
      <w:r w:rsidRPr="00074DDF">
        <w:rPr>
          <w:rFonts w:ascii="微软雅黑" w:eastAsia="微软雅黑" w:hAnsi="微软雅黑" w:cs="微软雅黑"/>
          <w:spacing w:val="12"/>
          <w:lang w:eastAsia="zh-CN"/>
        </w:rPr>
        <w:t>24/25</w:t>
      </w:r>
      <w:r w:rsidRPr="00074DDF">
        <w:rPr>
          <w:rFonts w:ascii="微软雅黑" w:eastAsia="微软雅黑" w:hAnsi="微软雅黑" w:cs="微软雅黑" w:hint="eastAsia"/>
          <w:spacing w:val="12"/>
          <w:lang w:eastAsia="zh-CN"/>
        </w:rPr>
        <w:t>榨季截至</w:t>
      </w:r>
      <w:r w:rsidRPr="00074DDF">
        <w:rPr>
          <w:rFonts w:ascii="微软雅黑" w:eastAsia="微软雅黑" w:hAnsi="微软雅黑" w:cs="微软雅黑"/>
          <w:spacing w:val="12"/>
          <w:lang w:eastAsia="zh-CN"/>
        </w:rPr>
        <w:t>12</w:t>
      </w:r>
      <w:r w:rsidRPr="00074DDF">
        <w:rPr>
          <w:rFonts w:ascii="微软雅黑" w:eastAsia="微软雅黑" w:hAnsi="微软雅黑" w:cs="微软雅黑" w:hint="eastAsia"/>
          <w:spacing w:val="12"/>
          <w:lang w:eastAsia="zh-CN"/>
        </w:rPr>
        <w:t>月</w:t>
      </w:r>
      <w:r w:rsidRPr="00074DDF">
        <w:rPr>
          <w:rFonts w:ascii="微软雅黑" w:eastAsia="微软雅黑" w:hAnsi="微软雅黑" w:cs="微软雅黑"/>
          <w:spacing w:val="12"/>
          <w:lang w:eastAsia="zh-CN"/>
        </w:rPr>
        <w:t>1</w:t>
      </w:r>
      <w:r w:rsidRPr="00074DDF">
        <w:rPr>
          <w:rFonts w:ascii="微软雅黑" w:eastAsia="微软雅黑" w:hAnsi="微软雅黑" w:cs="微软雅黑" w:hint="eastAsia"/>
          <w:spacing w:val="12"/>
          <w:lang w:eastAsia="zh-CN"/>
        </w:rPr>
        <w:t>日中南部累计压榨甘蔗</w:t>
      </w:r>
      <w:r w:rsidRPr="00074DDF">
        <w:rPr>
          <w:rFonts w:ascii="微软雅黑" w:eastAsia="微软雅黑" w:hAnsi="微软雅黑" w:cs="微软雅黑"/>
          <w:spacing w:val="12"/>
          <w:lang w:eastAsia="zh-CN"/>
        </w:rPr>
        <w:t>6.02</w:t>
      </w:r>
      <w:r w:rsidRPr="00074DDF">
        <w:rPr>
          <w:rFonts w:ascii="微软雅黑" w:eastAsia="微软雅黑" w:hAnsi="微软雅黑" w:cs="微软雅黑" w:hint="eastAsia"/>
          <w:spacing w:val="12"/>
          <w:lang w:eastAsia="zh-CN"/>
        </w:rPr>
        <w:t>亿吨，同比下滑</w:t>
      </w:r>
      <w:r w:rsidRPr="00074DDF">
        <w:rPr>
          <w:rFonts w:ascii="微软雅黑" w:eastAsia="微软雅黑" w:hAnsi="微软雅黑" w:cs="微软雅黑"/>
          <w:spacing w:val="12"/>
          <w:lang w:eastAsia="zh-CN"/>
        </w:rPr>
        <w:t>2.75%</w:t>
      </w:r>
      <w:r w:rsidRPr="00074DDF">
        <w:rPr>
          <w:rFonts w:ascii="微软雅黑" w:eastAsia="微软雅黑" w:hAnsi="微软雅黑" w:cs="微软雅黑" w:hint="eastAsia"/>
          <w:spacing w:val="12"/>
          <w:lang w:eastAsia="zh-CN"/>
        </w:rPr>
        <w:t>，累计产糖</w:t>
      </w:r>
      <w:r w:rsidRPr="00074DDF">
        <w:rPr>
          <w:rFonts w:ascii="微软雅黑" w:eastAsia="微软雅黑" w:hAnsi="微软雅黑" w:cs="微软雅黑"/>
          <w:spacing w:val="12"/>
          <w:lang w:eastAsia="zh-CN"/>
        </w:rPr>
        <w:t>3936.1</w:t>
      </w:r>
      <w:r w:rsidRPr="00074DDF">
        <w:rPr>
          <w:rFonts w:ascii="微软雅黑" w:eastAsia="微软雅黑" w:hAnsi="微软雅黑" w:cs="微软雅黑" w:hint="eastAsia"/>
          <w:spacing w:val="12"/>
          <w:lang w:eastAsia="zh-CN"/>
        </w:rPr>
        <w:t>万吨，同比下滑</w:t>
      </w:r>
      <w:r w:rsidRPr="00074DDF">
        <w:rPr>
          <w:rFonts w:ascii="微软雅黑" w:eastAsia="微软雅黑" w:hAnsi="微软雅黑" w:cs="微软雅黑"/>
          <w:spacing w:val="12"/>
          <w:lang w:eastAsia="zh-CN"/>
        </w:rPr>
        <w:t>3.72%</w:t>
      </w:r>
      <w:r w:rsidRPr="00074DDF">
        <w:rPr>
          <w:rFonts w:ascii="微软雅黑" w:eastAsia="微软雅黑" w:hAnsi="微软雅黑" w:cs="微软雅黑" w:hint="eastAsia"/>
          <w:spacing w:val="12"/>
          <w:lang w:eastAsia="zh-CN"/>
        </w:rPr>
        <w:t>。以上数据可以看出，</w:t>
      </w:r>
      <w:r w:rsidRPr="00074DDF">
        <w:rPr>
          <w:rFonts w:ascii="微软雅黑" w:eastAsia="微软雅黑" w:hAnsi="微软雅黑" w:cs="微软雅黑"/>
          <w:spacing w:val="12"/>
          <w:lang w:eastAsia="zh-CN"/>
        </w:rPr>
        <w:t>11</w:t>
      </w:r>
      <w:r w:rsidRPr="00074DDF">
        <w:rPr>
          <w:rFonts w:ascii="微软雅黑" w:eastAsia="微软雅黑" w:hAnsi="微软雅黑" w:cs="微软雅黑" w:hint="eastAsia"/>
          <w:spacing w:val="12"/>
          <w:lang w:eastAsia="zh-CN"/>
        </w:rPr>
        <w:t>月下半月巴西产糖量同比降幅持续，不过双周糖产量大于预期，数据相对利空糖市。美糖主力价格关注上方压力</w:t>
      </w:r>
      <w:r w:rsidRPr="00074DDF">
        <w:rPr>
          <w:rFonts w:ascii="微软雅黑" w:eastAsia="微软雅黑" w:hAnsi="微软雅黑" w:cs="微软雅黑"/>
          <w:spacing w:val="12"/>
          <w:lang w:eastAsia="zh-CN"/>
        </w:rPr>
        <w:t>22.0</w:t>
      </w:r>
      <w:r w:rsidRPr="00074DDF">
        <w:rPr>
          <w:rFonts w:ascii="微软雅黑" w:eastAsia="微软雅黑" w:hAnsi="微软雅黑" w:cs="微软雅黑" w:hint="eastAsia"/>
          <w:spacing w:val="12"/>
          <w:lang w:eastAsia="zh-CN"/>
        </w:rPr>
        <w:t>美分</w:t>
      </w:r>
      <w:r w:rsidRPr="00074DDF">
        <w:rPr>
          <w:rFonts w:ascii="微软雅黑" w:eastAsia="微软雅黑" w:hAnsi="微软雅黑" w:cs="微软雅黑"/>
          <w:spacing w:val="12"/>
          <w:lang w:eastAsia="zh-CN"/>
        </w:rPr>
        <w:t>/</w:t>
      </w:r>
      <w:r w:rsidRPr="00074DDF">
        <w:rPr>
          <w:rFonts w:ascii="微软雅黑" w:eastAsia="微软雅黑" w:hAnsi="微软雅黑" w:cs="微软雅黑" w:hint="eastAsia"/>
          <w:spacing w:val="12"/>
          <w:lang w:eastAsia="zh-CN"/>
        </w:rPr>
        <w:t>磅，下方支撑</w:t>
      </w:r>
      <w:r w:rsidRPr="00074DDF">
        <w:rPr>
          <w:rFonts w:ascii="微软雅黑" w:eastAsia="微软雅黑" w:hAnsi="微软雅黑" w:cs="微软雅黑"/>
          <w:spacing w:val="12"/>
          <w:lang w:eastAsia="zh-CN"/>
        </w:rPr>
        <w:t>18.0</w:t>
      </w:r>
      <w:r w:rsidRPr="00074DDF">
        <w:rPr>
          <w:rFonts w:ascii="微软雅黑" w:eastAsia="微软雅黑" w:hAnsi="微软雅黑" w:cs="微软雅黑" w:hint="eastAsia"/>
          <w:spacing w:val="12"/>
          <w:lang w:eastAsia="zh-CN"/>
        </w:rPr>
        <w:t>美分</w:t>
      </w:r>
      <w:r w:rsidRPr="00074DDF">
        <w:rPr>
          <w:rFonts w:ascii="微软雅黑" w:eastAsia="微软雅黑" w:hAnsi="微软雅黑" w:cs="微软雅黑"/>
          <w:spacing w:val="12"/>
          <w:lang w:eastAsia="zh-CN"/>
        </w:rPr>
        <w:t>/</w:t>
      </w:r>
      <w:r w:rsidRPr="00074DDF">
        <w:rPr>
          <w:rFonts w:ascii="微软雅黑" w:eastAsia="微软雅黑" w:hAnsi="微软雅黑" w:cs="微软雅黑" w:hint="eastAsia"/>
          <w:spacing w:val="12"/>
          <w:lang w:eastAsia="zh-CN"/>
        </w:rPr>
        <w:t>磅。建议</w:t>
      </w:r>
      <w:r w:rsidRPr="00074DDF">
        <w:rPr>
          <w:rFonts w:ascii="微软雅黑" w:eastAsia="微软雅黑" w:hAnsi="微软雅黑" w:cs="微软雅黑"/>
          <w:spacing w:val="12"/>
          <w:lang w:eastAsia="zh-CN"/>
        </w:rPr>
        <w:t>3</w:t>
      </w:r>
      <w:r w:rsidRPr="00074DDF">
        <w:rPr>
          <w:rFonts w:ascii="微软雅黑" w:eastAsia="微软雅黑" w:hAnsi="微软雅黑" w:cs="微软雅黑" w:hint="eastAsia"/>
          <w:spacing w:val="12"/>
          <w:lang w:eastAsia="zh-CN"/>
        </w:rPr>
        <w:t>月</w:t>
      </w:r>
      <w:r w:rsidRPr="00074DDF">
        <w:rPr>
          <w:rFonts w:ascii="微软雅黑" w:eastAsia="微软雅黑" w:hAnsi="微软雅黑" w:cs="微软雅黑"/>
          <w:spacing w:val="12"/>
          <w:lang w:eastAsia="zh-CN"/>
        </w:rPr>
        <w:t xml:space="preserve"> ICE </w:t>
      </w:r>
      <w:r w:rsidRPr="00074DDF">
        <w:rPr>
          <w:rFonts w:ascii="微软雅黑" w:eastAsia="微软雅黑" w:hAnsi="微软雅黑" w:cs="微软雅黑" w:hint="eastAsia"/>
          <w:spacing w:val="12"/>
          <w:lang w:eastAsia="zh-CN"/>
        </w:rPr>
        <w:t>期糖短期观望。</w:t>
      </w:r>
    </w:p>
    <w:p w:rsidR="00383E15" w:rsidRDefault="00383E15" w:rsidP="00383E15">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sidR="004E3F95">
        <w:rPr>
          <w:rFonts w:ascii="微软雅黑" w:eastAsia="微软雅黑" w:hAnsi="微软雅黑" w:cs="微软雅黑" w:hint="eastAsia"/>
          <w:spacing w:val="7"/>
          <w:lang w:val="zh-CN" w:eastAsia="zh-CN"/>
        </w:rPr>
        <w:t>表</w:t>
      </w:r>
      <w:r>
        <w:rPr>
          <w:rFonts w:ascii="微软雅黑" w:eastAsia="微软雅黑" w:hAnsi="微软雅黑" w:cs="微软雅黑" w:hint="eastAsia"/>
          <w:spacing w:val="7"/>
          <w:lang w:eastAsia="zh-CN"/>
        </w:rPr>
        <w:t>8：ICE原糖</w:t>
      </w:r>
      <w:r>
        <w:rPr>
          <w:rFonts w:ascii="微软雅黑" w:eastAsia="微软雅黑" w:hAnsi="微软雅黑" w:cs="微软雅黑" w:hint="eastAsia"/>
          <w:spacing w:val="7"/>
          <w:lang w:val="zh-CN" w:eastAsia="zh-CN"/>
        </w:rPr>
        <w:t>期货主力合约日走势图</w:t>
      </w:r>
    </w:p>
    <w:p w:rsidR="00383E15" w:rsidRDefault="00074DDF" w:rsidP="00383E15">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156960" cy="2143760"/>
            <wp:effectExtent l="0" t="0" r="0" b="8890"/>
            <wp:docPr id="19" name="图片 19" descr="QQ截图2024121908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5" descr="QQ截图202412190805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6960" cy="2143760"/>
                    </a:xfrm>
                    <a:prstGeom prst="rect">
                      <a:avLst/>
                    </a:prstGeom>
                    <a:noFill/>
                    <a:ln>
                      <a:noFill/>
                    </a:ln>
                  </pic:spPr>
                </pic:pic>
              </a:graphicData>
            </a:graphic>
          </wp:inline>
        </w:drawing>
      </w:r>
    </w:p>
    <w:p w:rsidR="00383E15" w:rsidRDefault="00383E15" w:rsidP="00383E15">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rsidR="00383E15" w:rsidRDefault="00383E15" w:rsidP="00383E15">
      <w:pPr>
        <w:spacing w:before="103" w:line="256" w:lineRule="auto"/>
        <w:ind w:right="743"/>
        <w:jc w:val="both"/>
        <w:rPr>
          <w:rFonts w:ascii="微软雅黑" w:eastAsia="微软雅黑" w:hAnsi="微软雅黑" w:cs="微软雅黑"/>
          <w:b/>
          <w:bCs/>
          <w:spacing w:val="12"/>
          <w:lang w:eastAsia="zh-CN"/>
        </w:rPr>
      </w:pPr>
    </w:p>
    <w:p w:rsidR="00383E15" w:rsidRDefault="00383E15" w:rsidP="00383E15">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383E15" w:rsidRPr="003966F3" w:rsidRDefault="00074DDF" w:rsidP="00074DDF">
      <w:pPr>
        <w:spacing w:before="103" w:line="256" w:lineRule="auto"/>
        <w:ind w:right="743" w:firstLine="448"/>
        <w:jc w:val="both"/>
        <w:rPr>
          <w:rFonts w:ascii="微软雅黑" w:eastAsia="微软雅黑" w:hAnsi="微软雅黑" w:cs="微软雅黑"/>
          <w:spacing w:val="12"/>
          <w:lang w:eastAsia="zh-CN"/>
        </w:rPr>
      </w:pPr>
      <w:r w:rsidRPr="00074DDF">
        <w:rPr>
          <w:rFonts w:ascii="微软雅黑" w:eastAsia="微软雅黑" w:hAnsi="微软雅黑" w:cs="微软雅黑" w:hint="eastAsia"/>
          <w:spacing w:val="12"/>
          <w:lang w:eastAsia="zh-CN"/>
        </w:rPr>
        <w:t>洲际交易所</w:t>
      </w:r>
      <w:r w:rsidRPr="00074DDF">
        <w:rPr>
          <w:rFonts w:ascii="微软雅黑" w:eastAsia="微软雅黑" w:hAnsi="微软雅黑" w:cs="微软雅黑"/>
          <w:spacing w:val="12"/>
          <w:lang w:eastAsia="zh-CN"/>
        </w:rPr>
        <w:t>(ICE)</w:t>
      </w:r>
      <w:r w:rsidRPr="00074DDF">
        <w:rPr>
          <w:rFonts w:ascii="微软雅黑" w:eastAsia="微软雅黑" w:hAnsi="微软雅黑" w:cs="微软雅黑" w:hint="eastAsia"/>
          <w:spacing w:val="12"/>
          <w:lang w:eastAsia="zh-CN"/>
        </w:rPr>
        <w:t>棉花期货周三延续跌势，受累于美元走强和其他商品市场人气低迷打压。交投最活跃的</w:t>
      </w:r>
      <w:r w:rsidRPr="00074DDF">
        <w:rPr>
          <w:rFonts w:ascii="微软雅黑" w:eastAsia="微软雅黑" w:hAnsi="微软雅黑" w:cs="微软雅黑"/>
          <w:spacing w:val="12"/>
          <w:lang w:eastAsia="zh-CN"/>
        </w:rPr>
        <w:t>ICE 3</w:t>
      </w:r>
      <w:r w:rsidRPr="00074DDF">
        <w:rPr>
          <w:rFonts w:ascii="微软雅黑" w:eastAsia="微软雅黑" w:hAnsi="微软雅黑" w:cs="微软雅黑" w:hint="eastAsia"/>
          <w:spacing w:val="12"/>
          <w:lang w:eastAsia="zh-CN"/>
        </w:rPr>
        <w:t>月期棉收跌</w:t>
      </w:r>
      <w:r w:rsidRPr="00074DDF">
        <w:rPr>
          <w:rFonts w:ascii="微软雅黑" w:eastAsia="微软雅黑" w:hAnsi="微软雅黑" w:cs="微软雅黑"/>
          <w:spacing w:val="12"/>
          <w:lang w:eastAsia="zh-CN"/>
        </w:rPr>
        <w:t>0.61</w:t>
      </w:r>
      <w:r w:rsidRPr="00074DDF">
        <w:rPr>
          <w:rFonts w:ascii="微软雅黑" w:eastAsia="微软雅黑" w:hAnsi="微软雅黑" w:cs="微软雅黑" w:hint="eastAsia"/>
          <w:spacing w:val="12"/>
          <w:lang w:eastAsia="zh-CN"/>
        </w:rPr>
        <w:t>美分或</w:t>
      </w:r>
      <w:r w:rsidRPr="00074DDF">
        <w:rPr>
          <w:rFonts w:ascii="微软雅黑" w:eastAsia="微软雅黑" w:hAnsi="微软雅黑" w:cs="微软雅黑"/>
          <w:spacing w:val="12"/>
          <w:lang w:eastAsia="zh-CN"/>
        </w:rPr>
        <w:t>0.90%</w:t>
      </w:r>
      <w:r w:rsidRPr="00074DDF">
        <w:rPr>
          <w:rFonts w:ascii="微软雅黑" w:eastAsia="微软雅黑" w:hAnsi="微软雅黑" w:cs="微软雅黑" w:hint="eastAsia"/>
          <w:spacing w:val="12"/>
          <w:lang w:eastAsia="zh-CN"/>
        </w:rPr>
        <w:t>，结算价报</w:t>
      </w:r>
      <w:r w:rsidRPr="00074DDF">
        <w:rPr>
          <w:rFonts w:ascii="微软雅黑" w:eastAsia="微软雅黑" w:hAnsi="微软雅黑" w:cs="微软雅黑"/>
          <w:spacing w:val="12"/>
          <w:lang w:eastAsia="zh-CN"/>
        </w:rPr>
        <w:t>68.08</w:t>
      </w:r>
      <w:r w:rsidRPr="00074DDF">
        <w:rPr>
          <w:rFonts w:ascii="微软雅黑" w:eastAsia="微软雅黑" w:hAnsi="微软雅黑" w:cs="微软雅黑" w:hint="eastAsia"/>
          <w:spacing w:val="12"/>
          <w:lang w:eastAsia="zh-CN"/>
        </w:rPr>
        <w:t>美分</w:t>
      </w:r>
      <w:r w:rsidRPr="00074DDF">
        <w:rPr>
          <w:rFonts w:ascii="微软雅黑" w:eastAsia="微软雅黑" w:hAnsi="微软雅黑" w:cs="微软雅黑"/>
          <w:spacing w:val="12"/>
          <w:lang w:eastAsia="zh-CN"/>
        </w:rPr>
        <w:t>/</w:t>
      </w:r>
      <w:r w:rsidRPr="00074DDF">
        <w:rPr>
          <w:rFonts w:ascii="微软雅黑" w:eastAsia="微软雅黑" w:hAnsi="微软雅黑" w:cs="微软雅黑" w:hint="eastAsia"/>
          <w:spacing w:val="12"/>
          <w:lang w:eastAsia="zh-CN"/>
        </w:rPr>
        <w:t>磅。美国农业部发布全球棉花供需</w:t>
      </w:r>
      <w:r w:rsidRPr="00074DDF">
        <w:rPr>
          <w:rFonts w:ascii="微软雅黑" w:eastAsia="微软雅黑" w:hAnsi="微软雅黑" w:cs="微软雅黑"/>
          <w:spacing w:val="12"/>
          <w:lang w:eastAsia="zh-CN"/>
        </w:rPr>
        <w:t>12</w:t>
      </w:r>
      <w:r w:rsidRPr="00074DDF">
        <w:rPr>
          <w:rFonts w:ascii="微软雅黑" w:eastAsia="微软雅黑" w:hAnsi="微软雅黑" w:cs="微软雅黑" w:hint="eastAsia"/>
          <w:spacing w:val="12"/>
          <w:lang w:eastAsia="zh-CN"/>
        </w:rPr>
        <w:t>月报告，报告显示，</w:t>
      </w:r>
      <w:r w:rsidRPr="00074DDF">
        <w:rPr>
          <w:rFonts w:ascii="微软雅黑" w:eastAsia="微软雅黑" w:hAnsi="微软雅黑" w:cs="微软雅黑"/>
          <w:spacing w:val="12"/>
          <w:lang w:eastAsia="zh-CN"/>
        </w:rPr>
        <w:t>2024/25</w:t>
      </w:r>
      <w:r w:rsidRPr="00074DDF">
        <w:rPr>
          <w:rFonts w:ascii="微软雅黑" w:eastAsia="微软雅黑" w:hAnsi="微软雅黑" w:cs="微软雅黑" w:hint="eastAsia"/>
          <w:spacing w:val="12"/>
          <w:lang w:eastAsia="zh-CN"/>
        </w:rPr>
        <w:t>年度全球棉花产量预测值为</w:t>
      </w:r>
      <w:r w:rsidRPr="00074DDF">
        <w:rPr>
          <w:rFonts w:ascii="微软雅黑" w:eastAsia="微软雅黑" w:hAnsi="微软雅黑" w:cs="微软雅黑"/>
          <w:spacing w:val="12"/>
          <w:lang w:eastAsia="zh-CN"/>
        </w:rPr>
        <w:t>2555.9</w:t>
      </w:r>
      <w:r w:rsidRPr="00074DDF">
        <w:rPr>
          <w:rFonts w:ascii="微软雅黑" w:eastAsia="微软雅黑" w:hAnsi="微软雅黑" w:cs="微软雅黑" w:hint="eastAsia"/>
          <w:spacing w:val="12"/>
          <w:lang w:eastAsia="zh-CN"/>
        </w:rPr>
        <w:t>万吨，较上年度调增</w:t>
      </w:r>
      <w:r w:rsidRPr="00074DDF">
        <w:rPr>
          <w:rFonts w:ascii="微软雅黑" w:eastAsia="微软雅黑" w:hAnsi="微软雅黑" w:cs="微软雅黑"/>
          <w:spacing w:val="12"/>
          <w:lang w:eastAsia="zh-CN"/>
        </w:rPr>
        <w:t>96.1</w:t>
      </w:r>
      <w:r w:rsidRPr="00074DDF">
        <w:rPr>
          <w:rFonts w:ascii="微软雅黑" w:eastAsia="微软雅黑" w:hAnsi="微软雅黑" w:cs="微软雅黑" w:hint="eastAsia"/>
          <w:spacing w:val="12"/>
          <w:lang w:eastAsia="zh-CN"/>
        </w:rPr>
        <w:t>万吨。全球消费调增</w:t>
      </w:r>
      <w:r w:rsidRPr="00074DDF">
        <w:rPr>
          <w:rFonts w:ascii="微软雅黑" w:eastAsia="微软雅黑" w:hAnsi="微软雅黑" w:cs="微软雅黑"/>
          <w:spacing w:val="12"/>
          <w:lang w:eastAsia="zh-CN"/>
        </w:rPr>
        <w:t>31.8</w:t>
      </w:r>
      <w:r w:rsidRPr="00074DDF">
        <w:rPr>
          <w:rFonts w:ascii="微软雅黑" w:eastAsia="微软雅黑" w:hAnsi="微软雅黑" w:cs="微软雅黑" w:hint="eastAsia"/>
          <w:spacing w:val="12"/>
          <w:lang w:eastAsia="zh-CN"/>
        </w:rPr>
        <w:t>万吨至</w:t>
      </w:r>
      <w:r w:rsidRPr="00074DDF">
        <w:rPr>
          <w:rFonts w:ascii="微软雅黑" w:eastAsia="微软雅黑" w:hAnsi="微软雅黑" w:cs="微软雅黑"/>
          <w:spacing w:val="12"/>
          <w:lang w:eastAsia="zh-CN"/>
        </w:rPr>
        <w:t>2521</w:t>
      </w:r>
      <w:r w:rsidRPr="00074DDF">
        <w:rPr>
          <w:rFonts w:ascii="微软雅黑" w:eastAsia="微软雅黑" w:hAnsi="微软雅黑" w:cs="微软雅黑" w:hint="eastAsia"/>
          <w:spacing w:val="12"/>
          <w:lang w:eastAsia="zh-CN"/>
        </w:rPr>
        <w:t>万吨，全球期末库存调增</w:t>
      </w:r>
      <w:r w:rsidRPr="00074DDF">
        <w:rPr>
          <w:rFonts w:ascii="微软雅黑" w:eastAsia="微软雅黑" w:hAnsi="微软雅黑" w:cs="微软雅黑"/>
          <w:spacing w:val="12"/>
          <w:lang w:eastAsia="zh-CN"/>
        </w:rPr>
        <w:t>40.5</w:t>
      </w:r>
      <w:r w:rsidRPr="00074DDF">
        <w:rPr>
          <w:rFonts w:ascii="微软雅黑" w:eastAsia="微软雅黑" w:hAnsi="微软雅黑" w:cs="微软雅黑" w:hint="eastAsia"/>
          <w:spacing w:val="12"/>
          <w:lang w:eastAsia="zh-CN"/>
        </w:rPr>
        <w:t>万吨至</w:t>
      </w:r>
      <w:r w:rsidRPr="00074DDF">
        <w:rPr>
          <w:rFonts w:ascii="微软雅黑" w:eastAsia="微软雅黑" w:hAnsi="微软雅黑" w:cs="微软雅黑"/>
          <w:spacing w:val="12"/>
          <w:lang w:eastAsia="zh-CN"/>
        </w:rPr>
        <w:t>1655.1</w:t>
      </w:r>
      <w:r w:rsidRPr="00074DDF">
        <w:rPr>
          <w:rFonts w:ascii="微软雅黑" w:eastAsia="微软雅黑" w:hAnsi="微软雅黑" w:cs="微软雅黑" w:hint="eastAsia"/>
          <w:spacing w:val="12"/>
          <w:lang w:eastAsia="zh-CN"/>
        </w:rPr>
        <w:t>万吨。</w:t>
      </w:r>
      <w:r w:rsidRPr="00074DDF">
        <w:rPr>
          <w:rFonts w:ascii="微软雅黑" w:eastAsia="微软雅黑" w:hAnsi="微软雅黑" w:cs="微软雅黑"/>
          <w:spacing w:val="12"/>
          <w:lang w:eastAsia="zh-CN"/>
        </w:rPr>
        <w:t>2024/25</w:t>
      </w:r>
      <w:r w:rsidRPr="00074DDF">
        <w:rPr>
          <w:rFonts w:ascii="微软雅黑" w:eastAsia="微软雅黑" w:hAnsi="微软雅黑" w:cs="微软雅黑" w:hint="eastAsia"/>
          <w:spacing w:val="12"/>
          <w:lang w:eastAsia="zh-CN"/>
        </w:rPr>
        <w:t>年度全球棉花产量、消费及期末库存预估均调增，报告相对利空棉市。</w:t>
      </w:r>
    </w:p>
    <w:p w:rsidR="00383E15" w:rsidRDefault="00383E15" w:rsidP="00383E15">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sidR="004E3F95">
        <w:rPr>
          <w:rFonts w:ascii="微软雅黑" w:eastAsia="微软雅黑" w:hAnsi="微软雅黑" w:cs="微软雅黑" w:hint="eastAsia"/>
          <w:spacing w:val="7"/>
          <w:lang w:val="zh-CN" w:eastAsia="zh-CN"/>
        </w:rPr>
        <w:t>表</w:t>
      </w:r>
      <w:r>
        <w:rPr>
          <w:rFonts w:ascii="微软雅黑" w:eastAsia="微软雅黑" w:hAnsi="微软雅黑" w:cs="微软雅黑" w:hint="eastAsia"/>
          <w:spacing w:val="7"/>
          <w:lang w:eastAsia="zh-CN"/>
        </w:rPr>
        <w:t>9：ICE棉花</w:t>
      </w:r>
      <w:r>
        <w:rPr>
          <w:rFonts w:ascii="微软雅黑" w:eastAsia="微软雅黑" w:hAnsi="微软雅黑" w:cs="微软雅黑" w:hint="eastAsia"/>
          <w:spacing w:val="7"/>
          <w:lang w:val="zh-CN" w:eastAsia="zh-CN"/>
        </w:rPr>
        <w:t>期货主力合约日走势图</w:t>
      </w:r>
    </w:p>
    <w:p w:rsidR="00383E15" w:rsidRPr="002F3AE4" w:rsidRDefault="00074DDF" w:rsidP="00383E15">
      <w:pPr>
        <w:spacing w:before="103" w:line="256" w:lineRule="auto"/>
        <w:ind w:right="743"/>
        <w:rPr>
          <w:rFonts w:ascii="微软雅黑" w:eastAsia="微软雅黑" w:hAnsi="微软雅黑" w:cs="微软雅黑"/>
          <w:spacing w:val="12"/>
          <w:lang w:eastAsia="zh-CN"/>
        </w:rPr>
      </w:pPr>
      <w:r>
        <w:rPr>
          <w:rFonts w:hint="eastAsia"/>
          <w:noProof/>
          <w:lang w:eastAsia="zh-CN"/>
        </w:rPr>
        <w:lastRenderedPageBreak/>
        <w:drawing>
          <wp:inline distT="0" distB="0" distL="0" distR="0">
            <wp:extent cx="6207760" cy="2143760"/>
            <wp:effectExtent l="0" t="0" r="2540" b="8890"/>
            <wp:docPr id="20" name="图片 20" descr="QQ截图2024121908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 descr="QQ截图202412190805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7760" cy="2143760"/>
                    </a:xfrm>
                    <a:prstGeom prst="rect">
                      <a:avLst/>
                    </a:prstGeom>
                    <a:noFill/>
                    <a:ln>
                      <a:noFill/>
                    </a:ln>
                  </pic:spPr>
                </pic:pic>
              </a:graphicData>
            </a:graphic>
          </wp:inline>
        </w:drawing>
      </w:r>
    </w:p>
    <w:p w:rsidR="00383E15" w:rsidRDefault="00383E15" w:rsidP="00383E15">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rsidR="009372C5" w:rsidRDefault="009372C5">
      <w:pPr>
        <w:spacing w:before="120" w:line="190" w:lineRule="auto"/>
        <w:ind w:firstLine="448"/>
        <w:jc w:val="both"/>
        <w:rPr>
          <w:rFonts w:ascii="微软雅黑" w:eastAsia="微软雅黑" w:hAnsi="微软雅黑" w:cs="微软雅黑"/>
          <w:spacing w:val="7"/>
          <w:lang w:eastAsia="zh-CN"/>
        </w:rPr>
      </w:pPr>
    </w:p>
    <w:p w:rsidR="00383E15" w:rsidRPr="00383E15" w:rsidRDefault="00383E1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lastRenderedPageBreak/>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6AFF" w:rsidRDefault="009E6AFF">
      <w:r>
        <w:separator/>
      </w:r>
    </w:p>
  </w:endnote>
  <w:endnote w:type="continuationSeparator" w:id="0">
    <w:p w:rsidR="009E6AFF" w:rsidRDefault="009E6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D754A1">
                            <w:rPr>
                              <w:noProof/>
                              <w:sz w:val="28"/>
                              <w:szCs w:val="28"/>
                            </w:rPr>
                            <w:t>3</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D754A1">
                      <w:rPr>
                        <w:noProof/>
                        <w:sz w:val="28"/>
                        <w:szCs w:val="28"/>
                      </w:rPr>
                      <w:t>3</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6AFF" w:rsidRDefault="009E6AFF">
      <w:r>
        <w:separator/>
      </w:r>
    </w:p>
  </w:footnote>
  <w:footnote w:type="continuationSeparator" w:id="0">
    <w:p w:rsidR="009E6AFF" w:rsidRDefault="009E6A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oNotDisplayPageBoundaries/>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3640D"/>
    <w:rsid w:val="00046CE1"/>
    <w:rsid w:val="0005072F"/>
    <w:rsid w:val="000509AC"/>
    <w:rsid w:val="00050CFF"/>
    <w:rsid w:val="00051B15"/>
    <w:rsid w:val="00054993"/>
    <w:rsid w:val="0005517D"/>
    <w:rsid w:val="00060769"/>
    <w:rsid w:val="000619C0"/>
    <w:rsid w:val="00064BC6"/>
    <w:rsid w:val="000667A6"/>
    <w:rsid w:val="00066E2D"/>
    <w:rsid w:val="000673AE"/>
    <w:rsid w:val="00070328"/>
    <w:rsid w:val="00072F2D"/>
    <w:rsid w:val="0007380E"/>
    <w:rsid w:val="00073F83"/>
    <w:rsid w:val="00074DDF"/>
    <w:rsid w:val="000767B0"/>
    <w:rsid w:val="0007723D"/>
    <w:rsid w:val="000844E7"/>
    <w:rsid w:val="00084D4F"/>
    <w:rsid w:val="000854BE"/>
    <w:rsid w:val="00086701"/>
    <w:rsid w:val="00087580"/>
    <w:rsid w:val="000876B8"/>
    <w:rsid w:val="000901B5"/>
    <w:rsid w:val="00091702"/>
    <w:rsid w:val="00094104"/>
    <w:rsid w:val="00097D7E"/>
    <w:rsid w:val="000A2EA5"/>
    <w:rsid w:val="000A43C7"/>
    <w:rsid w:val="000A785F"/>
    <w:rsid w:val="000B2865"/>
    <w:rsid w:val="000C024B"/>
    <w:rsid w:val="000C0428"/>
    <w:rsid w:val="000C448C"/>
    <w:rsid w:val="000C5FCD"/>
    <w:rsid w:val="000D2226"/>
    <w:rsid w:val="000F2E96"/>
    <w:rsid w:val="000F434E"/>
    <w:rsid w:val="001031A8"/>
    <w:rsid w:val="00104BEA"/>
    <w:rsid w:val="00106677"/>
    <w:rsid w:val="001072C6"/>
    <w:rsid w:val="00107653"/>
    <w:rsid w:val="001106DA"/>
    <w:rsid w:val="001113FA"/>
    <w:rsid w:val="001123C4"/>
    <w:rsid w:val="001136D4"/>
    <w:rsid w:val="00115A1A"/>
    <w:rsid w:val="001177BF"/>
    <w:rsid w:val="00121521"/>
    <w:rsid w:val="0012299F"/>
    <w:rsid w:val="00123C21"/>
    <w:rsid w:val="00126F9A"/>
    <w:rsid w:val="001304A2"/>
    <w:rsid w:val="001312E0"/>
    <w:rsid w:val="001344EC"/>
    <w:rsid w:val="00134CBA"/>
    <w:rsid w:val="00135663"/>
    <w:rsid w:val="00135780"/>
    <w:rsid w:val="001357C4"/>
    <w:rsid w:val="00136308"/>
    <w:rsid w:val="001431C1"/>
    <w:rsid w:val="00143C3D"/>
    <w:rsid w:val="00145998"/>
    <w:rsid w:val="00147CC0"/>
    <w:rsid w:val="00151103"/>
    <w:rsid w:val="00151392"/>
    <w:rsid w:val="00151399"/>
    <w:rsid w:val="00153957"/>
    <w:rsid w:val="00153A31"/>
    <w:rsid w:val="00154A99"/>
    <w:rsid w:val="001571D8"/>
    <w:rsid w:val="001604D9"/>
    <w:rsid w:val="00160602"/>
    <w:rsid w:val="00161170"/>
    <w:rsid w:val="00162475"/>
    <w:rsid w:val="00166ADC"/>
    <w:rsid w:val="00166D93"/>
    <w:rsid w:val="00170A77"/>
    <w:rsid w:val="00170F25"/>
    <w:rsid w:val="00174179"/>
    <w:rsid w:val="001757BA"/>
    <w:rsid w:val="0018099E"/>
    <w:rsid w:val="0018153B"/>
    <w:rsid w:val="00181D4B"/>
    <w:rsid w:val="00182628"/>
    <w:rsid w:val="00183A7D"/>
    <w:rsid w:val="00186A80"/>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43DE"/>
    <w:rsid w:val="001C4D7E"/>
    <w:rsid w:val="001C5971"/>
    <w:rsid w:val="001C6BEE"/>
    <w:rsid w:val="001D1E76"/>
    <w:rsid w:val="001D33C6"/>
    <w:rsid w:val="001D3DB1"/>
    <w:rsid w:val="001D4A6A"/>
    <w:rsid w:val="001E0DED"/>
    <w:rsid w:val="001F19ED"/>
    <w:rsid w:val="001F5873"/>
    <w:rsid w:val="001F5AD7"/>
    <w:rsid w:val="001F5F4F"/>
    <w:rsid w:val="001F632B"/>
    <w:rsid w:val="001F635C"/>
    <w:rsid w:val="001F6CFC"/>
    <w:rsid w:val="001F744A"/>
    <w:rsid w:val="002000F1"/>
    <w:rsid w:val="0020053E"/>
    <w:rsid w:val="0020092B"/>
    <w:rsid w:val="002031FF"/>
    <w:rsid w:val="0020772A"/>
    <w:rsid w:val="002112AA"/>
    <w:rsid w:val="002140F5"/>
    <w:rsid w:val="00214344"/>
    <w:rsid w:val="00216CCD"/>
    <w:rsid w:val="00216D52"/>
    <w:rsid w:val="00220006"/>
    <w:rsid w:val="00223327"/>
    <w:rsid w:val="00225E7B"/>
    <w:rsid w:val="0023048F"/>
    <w:rsid w:val="0023156A"/>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31E2"/>
    <w:rsid w:val="0027702B"/>
    <w:rsid w:val="00277450"/>
    <w:rsid w:val="0028035B"/>
    <w:rsid w:val="0029035C"/>
    <w:rsid w:val="002912FA"/>
    <w:rsid w:val="002932DF"/>
    <w:rsid w:val="002944E3"/>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7CD"/>
    <w:rsid w:val="002F3AE4"/>
    <w:rsid w:val="002F3D66"/>
    <w:rsid w:val="002F5E03"/>
    <w:rsid w:val="003008B4"/>
    <w:rsid w:val="00301C72"/>
    <w:rsid w:val="003020F8"/>
    <w:rsid w:val="00302F79"/>
    <w:rsid w:val="00303AE0"/>
    <w:rsid w:val="00306B08"/>
    <w:rsid w:val="00307252"/>
    <w:rsid w:val="003101C5"/>
    <w:rsid w:val="00314805"/>
    <w:rsid w:val="0031740A"/>
    <w:rsid w:val="00322591"/>
    <w:rsid w:val="00330895"/>
    <w:rsid w:val="0033158E"/>
    <w:rsid w:val="00333BD2"/>
    <w:rsid w:val="00345B22"/>
    <w:rsid w:val="003476C9"/>
    <w:rsid w:val="00347E74"/>
    <w:rsid w:val="0035249F"/>
    <w:rsid w:val="003541E5"/>
    <w:rsid w:val="00354223"/>
    <w:rsid w:val="003574A5"/>
    <w:rsid w:val="00357C26"/>
    <w:rsid w:val="0036147E"/>
    <w:rsid w:val="0036330E"/>
    <w:rsid w:val="00364B5D"/>
    <w:rsid w:val="00367A97"/>
    <w:rsid w:val="00367E46"/>
    <w:rsid w:val="003711C6"/>
    <w:rsid w:val="00376CF6"/>
    <w:rsid w:val="00380D4C"/>
    <w:rsid w:val="003812E8"/>
    <w:rsid w:val="00382260"/>
    <w:rsid w:val="00382ABC"/>
    <w:rsid w:val="00383E15"/>
    <w:rsid w:val="0038561C"/>
    <w:rsid w:val="0038605D"/>
    <w:rsid w:val="003879E8"/>
    <w:rsid w:val="00387E18"/>
    <w:rsid w:val="00387F1E"/>
    <w:rsid w:val="00390E0E"/>
    <w:rsid w:val="0039196A"/>
    <w:rsid w:val="0039436B"/>
    <w:rsid w:val="00394C16"/>
    <w:rsid w:val="003960C5"/>
    <w:rsid w:val="003966F3"/>
    <w:rsid w:val="00397C7F"/>
    <w:rsid w:val="00397F61"/>
    <w:rsid w:val="003A0146"/>
    <w:rsid w:val="003A2867"/>
    <w:rsid w:val="003A32F7"/>
    <w:rsid w:val="003A7EC7"/>
    <w:rsid w:val="003A7FFD"/>
    <w:rsid w:val="003B0E76"/>
    <w:rsid w:val="003C2FFD"/>
    <w:rsid w:val="003C3D25"/>
    <w:rsid w:val="003C4F4F"/>
    <w:rsid w:val="003C54B8"/>
    <w:rsid w:val="003C56B9"/>
    <w:rsid w:val="003D0C08"/>
    <w:rsid w:val="003D2051"/>
    <w:rsid w:val="003D21ED"/>
    <w:rsid w:val="003D4B4A"/>
    <w:rsid w:val="003D543B"/>
    <w:rsid w:val="003E08AD"/>
    <w:rsid w:val="003E1480"/>
    <w:rsid w:val="003E3292"/>
    <w:rsid w:val="003E36F9"/>
    <w:rsid w:val="003F0F5C"/>
    <w:rsid w:val="003F1B2F"/>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240B3"/>
    <w:rsid w:val="004302E0"/>
    <w:rsid w:val="00430790"/>
    <w:rsid w:val="00431D98"/>
    <w:rsid w:val="0043483D"/>
    <w:rsid w:val="00434DFC"/>
    <w:rsid w:val="0044022E"/>
    <w:rsid w:val="00440543"/>
    <w:rsid w:val="0044318F"/>
    <w:rsid w:val="0044483C"/>
    <w:rsid w:val="00445FE3"/>
    <w:rsid w:val="0045019C"/>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4C55"/>
    <w:rsid w:val="0048502E"/>
    <w:rsid w:val="0049083B"/>
    <w:rsid w:val="00490F16"/>
    <w:rsid w:val="004928C7"/>
    <w:rsid w:val="00493D30"/>
    <w:rsid w:val="0049409E"/>
    <w:rsid w:val="00494509"/>
    <w:rsid w:val="004A3E91"/>
    <w:rsid w:val="004A4391"/>
    <w:rsid w:val="004A576C"/>
    <w:rsid w:val="004A6D5F"/>
    <w:rsid w:val="004A6F01"/>
    <w:rsid w:val="004A70EA"/>
    <w:rsid w:val="004B1416"/>
    <w:rsid w:val="004B1974"/>
    <w:rsid w:val="004B236D"/>
    <w:rsid w:val="004B68EE"/>
    <w:rsid w:val="004C17D1"/>
    <w:rsid w:val="004C1E6F"/>
    <w:rsid w:val="004C5846"/>
    <w:rsid w:val="004C6A7C"/>
    <w:rsid w:val="004C729D"/>
    <w:rsid w:val="004D0ED4"/>
    <w:rsid w:val="004D107A"/>
    <w:rsid w:val="004D1542"/>
    <w:rsid w:val="004D1B98"/>
    <w:rsid w:val="004D2806"/>
    <w:rsid w:val="004D3D14"/>
    <w:rsid w:val="004D48C6"/>
    <w:rsid w:val="004D72AF"/>
    <w:rsid w:val="004D7761"/>
    <w:rsid w:val="004E0863"/>
    <w:rsid w:val="004E2B5C"/>
    <w:rsid w:val="004E3ED0"/>
    <w:rsid w:val="004E3F95"/>
    <w:rsid w:val="004E4B78"/>
    <w:rsid w:val="004E69F8"/>
    <w:rsid w:val="004F0E48"/>
    <w:rsid w:val="004F11FA"/>
    <w:rsid w:val="004F3F05"/>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675"/>
    <w:rsid w:val="00536FAC"/>
    <w:rsid w:val="00537254"/>
    <w:rsid w:val="00537B5B"/>
    <w:rsid w:val="0054186C"/>
    <w:rsid w:val="005432AF"/>
    <w:rsid w:val="005459F9"/>
    <w:rsid w:val="00547495"/>
    <w:rsid w:val="00551B08"/>
    <w:rsid w:val="0055304C"/>
    <w:rsid w:val="005561AE"/>
    <w:rsid w:val="0057124A"/>
    <w:rsid w:val="00574708"/>
    <w:rsid w:val="00575A07"/>
    <w:rsid w:val="00575B83"/>
    <w:rsid w:val="00576331"/>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40AC"/>
    <w:rsid w:val="005C4500"/>
    <w:rsid w:val="005C57E7"/>
    <w:rsid w:val="005C5B86"/>
    <w:rsid w:val="005C680A"/>
    <w:rsid w:val="005C7886"/>
    <w:rsid w:val="005D2A13"/>
    <w:rsid w:val="005D2C63"/>
    <w:rsid w:val="005D5C2D"/>
    <w:rsid w:val="005D5DCE"/>
    <w:rsid w:val="005D61F5"/>
    <w:rsid w:val="005E12E7"/>
    <w:rsid w:val="005E2060"/>
    <w:rsid w:val="005E38C6"/>
    <w:rsid w:val="005E5F4F"/>
    <w:rsid w:val="005F1EB2"/>
    <w:rsid w:val="005F4937"/>
    <w:rsid w:val="005F4A09"/>
    <w:rsid w:val="005F7926"/>
    <w:rsid w:val="005F7A56"/>
    <w:rsid w:val="005F7D1A"/>
    <w:rsid w:val="00605112"/>
    <w:rsid w:val="00605270"/>
    <w:rsid w:val="00606A48"/>
    <w:rsid w:val="00610DBF"/>
    <w:rsid w:val="00611654"/>
    <w:rsid w:val="00613E55"/>
    <w:rsid w:val="006173ED"/>
    <w:rsid w:val="00617C6E"/>
    <w:rsid w:val="00622044"/>
    <w:rsid w:val="0062240E"/>
    <w:rsid w:val="00623640"/>
    <w:rsid w:val="00624923"/>
    <w:rsid w:val="00624DBD"/>
    <w:rsid w:val="00625A5D"/>
    <w:rsid w:val="00626C1B"/>
    <w:rsid w:val="006272B9"/>
    <w:rsid w:val="00627473"/>
    <w:rsid w:val="00630B55"/>
    <w:rsid w:val="00631606"/>
    <w:rsid w:val="00635F90"/>
    <w:rsid w:val="006378E2"/>
    <w:rsid w:val="0064243E"/>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9BB"/>
    <w:rsid w:val="00695F0D"/>
    <w:rsid w:val="00696196"/>
    <w:rsid w:val="006968FA"/>
    <w:rsid w:val="00696F64"/>
    <w:rsid w:val="006A2397"/>
    <w:rsid w:val="006A40E9"/>
    <w:rsid w:val="006B2C1F"/>
    <w:rsid w:val="006B4BE7"/>
    <w:rsid w:val="006B5572"/>
    <w:rsid w:val="006B57A3"/>
    <w:rsid w:val="006B7586"/>
    <w:rsid w:val="006C1996"/>
    <w:rsid w:val="006C206E"/>
    <w:rsid w:val="006C281B"/>
    <w:rsid w:val="006C38CB"/>
    <w:rsid w:val="006C44DC"/>
    <w:rsid w:val="006C547F"/>
    <w:rsid w:val="006C5C56"/>
    <w:rsid w:val="006C7005"/>
    <w:rsid w:val="006C7C76"/>
    <w:rsid w:val="006D1F97"/>
    <w:rsid w:val="006D29D1"/>
    <w:rsid w:val="006D540B"/>
    <w:rsid w:val="006D5E26"/>
    <w:rsid w:val="006D7D9B"/>
    <w:rsid w:val="006E0D24"/>
    <w:rsid w:val="006E5991"/>
    <w:rsid w:val="006F1AC1"/>
    <w:rsid w:val="006F36C2"/>
    <w:rsid w:val="006F6899"/>
    <w:rsid w:val="006F7417"/>
    <w:rsid w:val="00701E59"/>
    <w:rsid w:val="00702C52"/>
    <w:rsid w:val="00706D67"/>
    <w:rsid w:val="0070723F"/>
    <w:rsid w:val="0071117C"/>
    <w:rsid w:val="00712E51"/>
    <w:rsid w:val="00714A9B"/>
    <w:rsid w:val="007163AA"/>
    <w:rsid w:val="007174BA"/>
    <w:rsid w:val="0072039A"/>
    <w:rsid w:val="00723697"/>
    <w:rsid w:val="007237B9"/>
    <w:rsid w:val="00725B26"/>
    <w:rsid w:val="00726161"/>
    <w:rsid w:val="00727595"/>
    <w:rsid w:val="007317D2"/>
    <w:rsid w:val="007344DF"/>
    <w:rsid w:val="00735F21"/>
    <w:rsid w:val="007444C0"/>
    <w:rsid w:val="007469FD"/>
    <w:rsid w:val="00752CA2"/>
    <w:rsid w:val="00752F35"/>
    <w:rsid w:val="00753237"/>
    <w:rsid w:val="007532B5"/>
    <w:rsid w:val="007563E6"/>
    <w:rsid w:val="00760A58"/>
    <w:rsid w:val="00761B29"/>
    <w:rsid w:val="00765484"/>
    <w:rsid w:val="00767046"/>
    <w:rsid w:val="00767196"/>
    <w:rsid w:val="007706FF"/>
    <w:rsid w:val="007717E4"/>
    <w:rsid w:val="0077449D"/>
    <w:rsid w:val="00774769"/>
    <w:rsid w:val="00776B33"/>
    <w:rsid w:val="00776CBE"/>
    <w:rsid w:val="00777A80"/>
    <w:rsid w:val="007843B5"/>
    <w:rsid w:val="007848B4"/>
    <w:rsid w:val="00784B10"/>
    <w:rsid w:val="00796EE5"/>
    <w:rsid w:val="007A612E"/>
    <w:rsid w:val="007A70F5"/>
    <w:rsid w:val="007A7159"/>
    <w:rsid w:val="007A768E"/>
    <w:rsid w:val="007B4B50"/>
    <w:rsid w:val="007C1292"/>
    <w:rsid w:val="007C1951"/>
    <w:rsid w:val="007C1E13"/>
    <w:rsid w:val="007C30C1"/>
    <w:rsid w:val="007C6841"/>
    <w:rsid w:val="007D360D"/>
    <w:rsid w:val="007D4889"/>
    <w:rsid w:val="007D6C3F"/>
    <w:rsid w:val="007D72A9"/>
    <w:rsid w:val="007E07D2"/>
    <w:rsid w:val="007E0D70"/>
    <w:rsid w:val="007E0DF7"/>
    <w:rsid w:val="007E1950"/>
    <w:rsid w:val="007E3454"/>
    <w:rsid w:val="007E38D3"/>
    <w:rsid w:val="007E4536"/>
    <w:rsid w:val="007E5C8A"/>
    <w:rsid w:val="007F08A9"/>
    <w:rsid w:val="007F17B0"/>
    <w:rsid w:val="007F283F"/>
    <w:rsid w:val="007F3EAB"/>
    <w:rsid w:val="007F6813"/>
    <w:rsid w:val="00800C12"/>
    <w:rsid w:val="00803093"/>
    <w:rsid w:val="00805D32"/>
    <w:rsid w:val="00807BA2"/>
    <w:rsid w:val="00810407"/>
    <w:rsid w:val="00812277"/>
    <w:rsid w:val="00813E5C"/>
    <w:rsid w:val="00816288"/>
    <w:rsid w:val="0081686E"/>
    <w:rsid w:val="00822E53"/>
    <w:rsid w:val="00823A4C"/>
    <w:rsid w:val="0082432D"/>
    <w:rsid w:val="0083030D"/>
    <w:rsid w:val="00845F7E"/>
    <w:rsid w:val="00846EF5"/>
    <w:rsid w:val="008473AF"/>
    <w:rsid w:val="00853615"/>
    <w:rsid w:val="00853C1D"/>
    <w:rsid w:val="008577CC"/>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5469"/>
    <w:rsid w:val="00885973"/>
    <w:rsid w:val="008861B7"/>
    <w:rsid w:val="00892B66"/>
    <w:rsid w:val="008935E1"/>
    <w:rsid w:val="008977D3"/>
    <w:rsid w:val="008A22F1"/>
    <w:rsid w:val="008A424A"/>
    <w:rsid w:val="008A5714"/>
    <w:rsid w:val="008A5987"/>
    <w:rsid w:val="008A6764"/>
    <w:rsid w:val="008A7F78"/>
    <w:rsid w:val="008B021F"/>
    <w:rsid w:val="008B0939"/>
    <w:rsid w:val="008B2641"/>
    <w:rsid w:val="008B5687"/>
    <w:rsid w:val="008B6408"/>
    <w:rsid w:val="008C13AB"/>
    <w:rsid w:val="008C1B74"/>
    <w:rsid w:val="008C4540"/>
    <w:rsid w:val="008C6A18"/>
    <w:rsid w:val="008D07D2"/>
    <w:rsid w:val="008D145E"/>
    <w:rsid w:val="008D2C31"/>
    <w:rsid w:val="008D435F"/>
    <w:rsid w:val="008D4A14"/>
    <w:rsid w:val="008D5C6C"/>
    <w:rsid w:val="008D778A"/>
    <w:rsid w:val="008E118F"/>
    <w:rsid w:val="008F35C2"/>
    <w:rsid w:val="008F419C"/>
    <w:rsid w:val="008F6863"/>
    <w:rsid w:val="00901D0A"/>
    <w:rsid w:val="00905AC1"/>
    <w:rsid w:val="00906472"/>
    <w:rsid w:val="00907E85"/>
    <w:rsid w:val="00911495"/>
    <w:rsid w:val="009142F4"/>
    <w:rsid w:val="0091608D"/>
    <w:rsid w:val="00920750"/>
    <w:rsid w:val="00921A6B"/>
    <w:rsid w:val="00923293"/>
    <w:rsid w:val="00923D06"/>
    <w:rsid w:val="00924630"/>
    <w:rsid w:val="009246BA"/>
    <w:rsid w:val="00925023"/>
    <w:rsid w:val="00925BA7"/>
    <w:rsid w:val="0092679A"/>
    <w:rsid w:val="009267BD"/>
    <w:rsid w:val="0093187B"/>
    <w:rsid w:val="0093636F"/>
    <w:rsid w:val="009372C5"/>
    <w:rsid w:val="00937E8B"/>
    <w:rsid w:val="009407A7"/>
    <w:rsid w:val="00940B7C"/>
    <w:rsid w:val="00942C9E"/>
    <w:rsid w:val="0094313F"/>
    <w:rsid w:val="00946893"/>
    <w:rsid w:val="00947F92"/>
    <w:rsid w:val="0095135A"/>
    <w:rsid w:val="00952675"/>
    <w:rsid w:val="00953355"/>
    <w:rsid w:val="0096079E"/>
    <w:rsid w:val="009616B7"/>
    <w:rsid w:val="00964466"/>
    <w:rsid w:val="00965F4E"/>
    <w:rsid w:val="00967212"/>
    <w:rsid w:val="0097197E"/>
    <w:rsid w:val="00971BDB"/>
    <w:rsid w:val="009737E1"/>
    <w:rsid w:val="009743DF"/>
    <w:rsid w:val="00975D1A"/>
    <w:rsid w:val="009770C6"/>
    <w:rsid w:val="00980114"/>
    <w:rsid w:val="00980F12"/>
    <w:rsid w:val="00984CAE"/>
    <w:rsid w:val="00984E4F"/>
    <w:rsid w:val="00985AA2"/>
    <w:rsid w:val="00991880"/>
    <w:rsid w:val="00992791"/>
    <w:rsid w:val="00992C26"/>
    <w:rsid w:val="00994508"/>
    <w:rsid w:val="00994FB7"/>
    <w:rsid w:val="00996C14"/>
    <w:rsid w:val="00996DB6"/>
    <w:rsid w:val="00996E2D"/>
    <w:rsid w:val="0099782C"/>
    <w:rsid w:val="009A09DF"/>
    <w:rsid w:val="009A17C9"/>
    <w:rsid w:val="009A2005"/>
    <w:rsid w:val="009A4AC4"/>
    <w:rsid w:val="009A6ABA"/>
    <w:rsid w:val="009A6FD4"/>
    <w:rsid w:val="009A7CE8"/>
    <w:rsid w:val="009B08F6"/>
    <w:rsid w:val="009B354F"/>
    <w:rsid w:val="009B4EAC"/>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1E4"/>
    <w:rsid w:val="009E1A4B"/>
    <w:rsid w:val="009E1B25"/>
    <w:rsid w:val="009E22BC"/>
    <w:rsid w:val="009E2BDD"/>
    <w:rsid w:val="009E35DC"/>
    <w:rsid w:val="009E549E"/>
    <w:rsid w:val="009E6AFF"/>
    <w:rsid w:val="009E77F1"/>
    <w:rsid w:val="009E7AF6"/>
    <w:rsid w:val="009F01CD"/>
    <w:rsid w:val="009F2B4A"/>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5C1"/>
    <w:rsid w:val="00A6283C"/>
    <w:rsid w:val="00A63882"/>
    <w:rsid w:val="00A66AD4"/>
    <w:rsid w:val="00A67FA5"/>
    <w:rsid w:val="00A712BC"/>
    <w:rsid w:val="00A75923"/>
    <w:rsid w:val="00A76B56"/>
    <w:rsid w:val="00A76C2D"/>
    <w:rsid w:val="00A81EB1"/>
    <w:rsid w:val="00A82150"/>
    <w:rsid w:val="00A85056"/>
    <w:rsid w:val="00A86B50"/>
    <w:rsid w:val="00A93902"/>
    <w:rsid w:val="00A94558"/>
    <w:rsid w:val="00A96D73"/>
    <w:rsid w:val="00AA03D7"/>
    <w:rsid w:val="00AA211E"/>
    <w:rsid w:val="00AA26D9"/>
    <w:rsid w:val="00AA2EF2"/>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25B9"/>
    <w:rsid w:val="00B033FC"/>
    <w:rsid w:val="00B038AC"/>
    <w:rsid w:val="00B042A9"/>
    <w:rsid w:val="00B04384"/>
    <w:rsid w:val="00B05B0D"/>
    <w:rsid w:val="00B11817"/>
    <w:rsid w:val="00B1212E"/>
    <w:rsid w:val="00B1238C"/>
    <w:rsid w:val="00B13C07"/>
    <w:rsid w:val="00B154FA"/>
    <w:rsid w:val="00B1563E"/>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75125"/>
    <w:rsid w:val="00B81E5A"/>
    <w:rsid w:val="00B82C1C"/>
    <w:rsid w:val="00B84211"/>
    <w:rsid w:val="00B8630D"/>
    <w:rsid w:val="00B91BEA"/>
    <w:rsid w:val="00B9377A"/>
    <w:rsid w:val="00B94D04"/>
    <w:rsid w:val="00B95A11"/>
    <w:rsid w:val="00B96D3F"/>
    <w:rsid w:val="00B971B3"/>
    <w:rsid w:val="00BA0C15"/>
    <w:rsid w:val="00BA0C89"/>
    <w:rsid w:val="00BA177E"/>
    <w:rsid w:val="00BA2512"/>
    <w:rsid w:val="00BA3362"/>
    <w:rsid w:val="00BA607E"/>
    <w:rsid w:val="00BB1618"/>
    <w:rsid w:val="00BB6C34"/>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1DE2"/>
    <w:rsid w:val="00BE3B20"/>
    <w:rsid w:val="00BE48CA"/>
    <w:rsid w:val="00BE52E6"/>
    <w:rsid w:val="00BF061C"/>
    <w:rsid w:val="00BF2504"/>
    <w:rsid w:val="00BF63F8"/>
    <w:rsid w:val="00BF6C5D"/>
    <w:rsid w:val="00C03B35"/>
    <w:rsid w:val="00C0669C"/>
    <w:rsid w:val="00C06C5C"/>
    <w:rsid w:val="00C07FA3"/>
    <w:rsid w:val="00C1018F"/>
    <w:rsid w:val="00C11A04"/>
    <w:rsid w:val="00C125FF"/>
    <w:rsid w:val="00C1693C"/>
    <w:rsid w:val="00C169A2"/>
    <w:rsid w:val="00C177F8"/>
    <w:rsid w:val="00C20AED"/>
    <w:rsid w:val="00C27AED"/>
    <w:rsid w:val="00C30738"/>
    <w:rsid w:val="00C41F77"/>
    <w:rsid w:val="00C43524"/>
    <w:rsid w:val="00C47281"/>
    <w:rsid w:val="00C47A0B"/>
    <w:rsid w:val="00C5222E"/>
    <w:rsid w:val="00C525C7"/>
    <w:rsid w:val="00C54666"/>
    <w:rsid w:val="00C553E1"/>
    <w:rsid w:val="00C55668"/>
    <w:rsid w:val="00C60596"/>
    <w:rsid w:val="00C605A3"/>
    <w:rsid w:val="00C6105A"/>
    <w:rsid w:val="00C64733"/>
    <w:rsid w:val="00C7013A"/>
    <w:rsid w:val="00C73CFC"/>
    <w:rsid w:val="00C7534F"/>
    <w:rsid w:val="00C7561D"/>
    <w:rsid w:val="00C77452"/>
    <w:rsid w:val="00C8020A"/>
    <w:rsid w:val="00C8215B"/>
    <w:rsid w:val="00C86014"/>
    <w:rsid w:val="00C909B6"/>
    <w:rsid w:val="00C9438D"/>
    <w:rsid w:val="00C96482"/>
    <w:rsid w:val="00CA09F2"/>
    <w:rsid w:val="00CA0E28"/>
    <w:rsid w:val="00CA14E8"/>
    <w:rsid w:val="00CA27DD"/>
    <w:rsid w:val="00CA2E8D"/>
    <w:rsid w:val="00CA2F92"/>
    <w:rsid w:val="00CA491A"/>
    <w:rsid w:val="00CA6717"/>
    <w:rsid w:val="00CA6EA5"/>
    <w:rsid w:val="00CA7281"/>
    <w:rsid w:val="00CA7EEA"/>
    <w:rsid w:val="00CB0281"/>
    <w:rsid w:val="00CB0D7B"/>
    <w:rsid w:val="00CB2E6B"/>
    <w:rsid w:val="00CB4ED8"/>
    <w:rsid w:val="00CB64F0"/>
    <w:rsid w:val="00CB65C9"/>
    <w:rsid w:val="00CC0392"/>
    <w:rsid w:val="00CC1FE0"/>
    <w:rsid w:val="00CC212E"/>
    <w:rsid w:val="00CC4FB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496D"/>
    <w:rsid w:val="00CF7EB3"/>
    <w:rsid w:val="00D01818"/>
    <w:rsid w:val="00D04FED"/>
    <w:rsid w:val="00D05119"/>
    <w:rsid w:val="00D06485"/>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50A2"/>
    <w:rsid w:val="00D2577B"/>
    <w:rsid w:val="00D260A5"/>
    <w:rsid w:val="00D26C7A"/>
    <w:rsid w:val="00D27AA3"/>
    <w:rsid w:val="00D27E91"/>
    <w:rsid w:val="00D316DC"/>
    <w:rsid w:val="00D348C5"/>
    <w:rsid w:val="00D34EFB"/>
    <w:rsid w:val="00D40967"/>
    <w:rsid w:val="00D40F27"/>
    <w:rsid w:val="00D41DC2"/>
    <w:rsid w:val="00D42157"/>
    <w:rsid w:val="00D42F82"/>
    <w:rsid w:val="00D47264"/>
    <w:rsid w:val="00D519DA"/>
    <w:rsid w:val="00D52744"/>
    <w:rsid w:val="00D53F74"/>
    <w:rsid w:val="00D56D30"/>
    <w:rsid w:val="00D60B99"/>
    <w:rsid w:val="00D60C93"/>
    <w:rsid w:val="00D62D59"/>
    <w:rsid w:val="00D62F84"/>
    <w:rsid w:val="00D64D2D"/>
    <w:rsid w:val="00D7385F"/>
    <w:rsid w:val="00D74171"/>
    <w:rsid w:val="00D754A1"/>
    <w:rsid w:val="00D755EA"/>
    <w:rsid w:val="00D756EC"/>
    <w:rsid w:val="00D77F2C"/>
    <w:rsid w:val="00D8106E"/>
    <w:rsid w:val="00D818FC"/>
    <w:rsid w:val="00D81F46"/>
    <w:rsid w:val="00D81F81"/>
    <w:rsid w:val="00D85FBA"/>
    <w:rsid w:val="00D87184"/>
    <w:rsid w:val="00D87402"/>
    <w:rsid w:val="00D90EA7"/>
    <w:rsid w:val="00D932FC"/>
    <w:rsid w:val="00D94C3C"/>
    <w:rsid w:val="00D962FD"/>
    <w:rsid w:val="00D963D1"/>
    <w:rsid w:val="00D96EBE"/>
    <w:rsid w:val="00D979B0"/>
    <w:rsid w:val="00DA500C"/>
    <w:rsid w:val="00DA5348"/>
    <w:rsid w:val="00DB08A6"/>
    <w:rsid w:val="00DB2737"/>
    <w:rsid w:val="00DB4EBB"/>
    <w:rsid w:val="00DB753E"/>
    <w:rsid w:val="00DC0CCB"/>
    <w:rsid w:val="00DC19CB"/>
    <w:rsid w:val="00DC2E0F"/>
    <w:rsid w:val="00DC3ABD"/>
    <w:rsid w:val="00DC3FA3"/>
    <w:rsid w:val="00DC475D"/>
    <w:rsid w:val="00DC623C"/>
    <w:rsid w:val="00DD1B1B"/>
    <w:rsid w:val="00DD4459"/>
    <w:rsid w:val="00DE0695"/>
    <w:rsid w:val="00DE289B"/>
    <w:rsid w:val="00DE3670"/>
    <w:rsid w:val="00DE576D"/>
    <w:rsid w:val="00DE665D"/>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6FE2"/>
    <w:rsid w:val="00E21C10"/>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3526"/>
    <w:rsid w:val="00E540C4"/>
    <w:rsid w:val="00E54357"/>
    <w:rsid w:val="00E55D02"/>
    <w:rsid w:val="00E56235"/>
    <w:rsid w:val="00E64644"/>
    <w:rsid w:val="00E64BC5"/>
    <w:rsid w:val="00E70307"/>
    <w:rsid w:val="00E72864"/>
    <w:rsid w:val="00E72B4B"/>
    <w:rsid w:val="00E74750"/>
    <w:rsid w:val="00E75C1E"/>
    <w:rsid w:val="00E7792A"/>
    <w:rsid w:val="00E8041A"/>
    <w:rsid w:val="00E8307F"/>
    <w:rsid w:val="00E86954"/>
    <w:rsid w:val="00E90B87"/>
    <w:rsid w:val="00EA3279"/>
    <w:rsid w:val="00EA3D98"/>
    <w:rsid w:val="00EA3E74"/>
    <w:rsid w:val="00EA7F8B"/>
    <w:rsid w:val="00EB068F"/>
    <w:rsid w:val="00EB121C"/>
    <w:rsid w:val="00EB3985"/>
    <w:rsid w:val="00EB6ED9"/>
    <w:rsid w:val="00EB7560"/>
    <w:rsid w:val="00EC1B80"/>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0BA0"/>
    <w:rsid w:val="00EF4DC8"/>
    <w:rsid w:val="00EF5144"/>
    <w:rsid w:val="00F01C2A"/>
    <w:rsid w:val="00F07275"/>
    <w:rsid w:val="00F13913"/>
    <w:rsid w:val="00F13BE5"/>
    <w:rsid w:val="00F15E85"/>
    <w:rsid w:val="00F17CFC"/>
    <w:rsid w:val="00F22797"/>
    <w:rsid w:val="00F26190"/>
    <w:rsid w:val="00F26828"/>
    <w:rsid w:val="00F27DA4"/>
    <w:rsid w:val="00F35962"/>
    <w:rsid w:val="00F3674E"/>
    <w:rsid w:val="00F40EB7"/>
    <w:rsid w:val="00F45C72"/>
    <w:rsid w:val="00F50711"/>
    <w:rsid w:val="00F54538"/>
    <w:rsid w:val="00F5781B"/>
    <w:rsid w:val="00F66A99"/>
    <w:rsid w:val="00F674C2"/>
    <w:rsid w:val="00F746D6"/>
    <w:rsid w:val="00F75128"/>
    <w:rsid w:val="00F80428"/>
    <w:rsid w:val="00F80C87"/>
    <w:rsid w:val="00F86514"/>
    <w:rsid w:val="00F9381E"/>
    <w:rsid w:val="00F95495"/>
    <w:rsid w:val="00F9621D"/>
    <w:rsid w:val="00F96282"/>
    <w:rsid w:val="00FA188D"/>
    <w:rsid w:val="00FA4922"/>
    <w:rsid w:val="00FB1336"/>
    <w:rsid w:val="00FB2769"/>
    <w:rsid w:val="00FC4600"/>
    <w:rsid w:val="00FC5810"/>
    <w:rsid w:val="00FC6E52"/>
    <w:rsid w:val="00FC700D"/>
    <w:rsid w:val="00FD2154"/>
    <w:rsid w:val="00FD4DE9"/>
    <w:rsid w:val="00FD6CDC"/>
    <w:rsid w:val="00FE509B"/>
    <w:rsid w:val="00FF0B70"/>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72A1017"/>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file:///D:\&#26032;&#26700;&#38754;&#23601;&#26159;&#23427;&#20102;\&#29790;&#36798;&#22269;&#38469;&#26085;&#25253;\&#20840;&#29699;&#32929;&#25351;&#26085;&#25910;&#30424;&#28072;&#36300;&#2413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zh-CN" altLang="en-US"/>
              <a:t>全球主要指数涨跌幅（</a:t>
            </a:r>
            <a:r>
              <a:rPr lang="en-US" altLang="zh-CN"/>
              <a:t>%</a:t>
            </a:r>
            <a:r>
              <a:rPr lang="zh-CN" altLang="en-US"/>
              <a:t>）</a:t>
            </a:r>
          </a:p>
        </c:rich>
      </c:tx>
      <c:overlay val="0"/>
    </c:title>
    <c:autoTitleDeleted val="0"/>
    <c:plotArea>
      <c:layout/>
      <c:barChart>
        <c:barDir val="col"/>
        <c:grouping val="clustered"/>
        <c:varyColors val="0"/>
        <c:ser>
          <c:idx val="0"/>
          <c:order val="0"/>
          <c:tx>
            <c:strRef>
              <c:f>Sheet3!$S$63</c:f>
              <c:strCache>
                <c:ptCount val="1"/>
                <c:pt idx="0">
                  <c:v>2024-12-18</c:v>
                </c:pt>
              </c:strCache>
            </c:strRef>
          </c:tx>
          <c:spPr>
            <a:solidFill>
              <a:srgbClr val="FF0000"/>
            </a:solidFill>
          </c:spPr>
          <c:invertIfNegative val="1"/>
          <c:dPt>
            <c:idx val="2"/>
            <c:invertIfNegative val="1"/>
            <c:bubble3D val="0"/>
            <c:extLst>
              <c:ext xmlns:c16="http://schemas.microsoft.com/office/drawing/2014/chart" uri="{C3380CC4-5D6E-409C-BE32-E72D297353CC}">
                <c16:uniqueId val="{00000000-18E7-44F3-86D1-A45F66F8086D}"/>
              </c:ext>
            </c:extLst>
          </c:dPt>
          <c:dPt>
            <c:idx val="3"/>
            <c:invertIfNegative val="1"/>
            <c:bubble3D val="0"/>
            <c:extLst>
              <c:ext xmlns:c16="http://schemas.microsoft.com/office/drawing/2014/chart" uri="{C3380CC4-5D6E-409C-BE32-E72D297353CC}">
                <c16:uniqueId val="{00000001-18E7-44F3-86D1-A45F66F8086D}"/>
              </c:ext>
            </c:extLst>
          </c:dPt>
          <c:dPt>
            <c:idx val="4"/>
            <c:invertIfNegative val="1"/>
            <c:bubble3D val="0"/>
            <c:extLst>
              <c:ext xmlns:c16="http://schemas.microsoft.com/office/drawing/2014/chart" uri="{C3380CC4-5D6E-409C-BE32-E72D297353CC}">
                <c16:uniqueId val="{00000002-18E7-44F3-86D1-A45F66F8086D}"/>
              </c:ext>
            </c:extLst>
          </c:dPt>
          <c:dPt>
            <c:idx val="5"/>
            <c:invertIfNegative val="1"/>
            <c:bubble3D val="0"/>
            <c:extLst>
              <c:ext xmlns:c16="http://schemas.microsoft.com/office/drawing/2014/chart" uri="{C3380CC4-5D6E-409C-BE32-E72D297353CC}">
                <c16:uniqueId val="{00000003-18E7-44F3-86D1-A45F66F8086D}"/>
              </c:ext>
            </c:extLst>
          </c:dPt>
          <c:dPt>
            <c:idx val="6"/>
            <c:invertIfNegative val="1"/>
            <c:bubble3D val="0"/>
            <c:extLst>
              <c:ext xmlns:c16="http://schemas.microsoft.com/office/drawing/2014/chart" uri="{C3380CC4-5D6E-409C-BE32-E72D297353CC}">
                <c16:uniqueId val="{00000004-18E7-44F3-86D1-A45F66F8086D}"/>
              </c:ext>
            </c:extLst>
          </c:dPt>
          <c:dPt>
            <c:idx val="7"/>
            <c:invertIfNegative val="1"/>
            <c:bubble3D val="0"/>
            <c:extLst>
              <c:ext xmlns:c16="http://schemas.microsoft.com/office/drawing/2014/chart" uri="{C3380CC4-5D6E-409C-BE32-E72D297353CC}">
                <c16:uniqueId val="{00000005-18E7-44F3-86D1-A45F66F8086D}"/>
              </c:ext>
            </c:extLst>
          </c:dPt>
          <c:dPt>
            <c:idx val="8"/>
            <c:invertIfNegative val="1"/>
            <c:bubble3D val="0"/>
            <c:extLst>
              <c:ext xmlns:c16="http://schemas.microsoft.com/office/drawing/2014/chart" uri="{C3380CC4-5D6E-409C-BE32-E72D297353CC}">
                <c16:uniqueId val="{00000006-18E7-44F3-86D1-A45F66F8086D}"/>
              </c:ext>
            </c:extLst>
          </c:dPt>
          <c:dPt>
            <c:idx val="9"/>
            <c:invertIfNegative val="1"/>
            <c:bubble3D val="0"/>
            <c:extLst>
              <c:ext xmlns:c16="http://schemas.microsoft.com/office/drawing/2014/chart" uri="{C3380CC4-5D6E-409C-BE32-E72D297353CC}">
                <c16:uniqueId val="{00000007-18E7-44F3-86D1-A45F66F8086D}"/>
              </c:ext>
            </c:extLst>
          </c:dPt>
          <c:dPt>
            <c:idx val="10"/>
            <c:invertIfNegative val="1"/>
            <c:bubble3D val="0"/>
            <c:extLst>
              <c:ext xmlns:c16="http://schemas.microsoft.com/office/drawing/2014/chart" uri="{C3380CC4-5D6E-409C-BE32-E72D297353CC}">
                <c16:uniqueId val="{00000008-18E7-44F3-86D1-A45F66F8086D}"/>
              </c:ext>
            </c:extLst>
          </c:dPt>
          <c:dPt>
            <c:idx val="11"/>
            <c:invertIfNegative val="1"/>
            <c:bubble3D val="0"/>
            <c:extLst>
              <c:ext xmlns:c16="http://schemas.microsoft.com/office/drawing/2014/chart" uri="{C3380CC4-5D6E-409C-BE32-E72D297353CC}">
                <c16:uniqueId val="{00000009-18E7-44F3-86D1-A45F66F8086D}"/>
              </c:ext>
            </c:extLst>
          </c:dPt>
          <c:dPt>
            <c:idx val="12"/>
            <c:invertIfNegative val="1"/>
            <c:bubble3D val="0"/>
            <c:extLst>
              <c:ext xmlns:c16="http://schemas.microsoft.com/office/drawing/2014/chart" uri="{C3380CC4-5D6E-409C-BE32-E72D297353CC}">
                <c16:uniqueId val="{0000000A-18E7-44F3-86D1-A45F66F8086D}"/>
              </c:ext>
            </c:extLst>
          </c:dPt>
          <c:dPt>
            <c:idx val="13"/>
            <c:invertIfNegative val="1"/>
            <c:bubble3D val="0"/>
            <c:extLst>
              <c:ext xmlns:c16="http://schemas.microsoft.com/office/drawing/2014/chart" uri="{C3380CC4-5D6E-409C-BE32-E72D297353CC}">
                <c16:uniqueId val="{0000000B-18E7-44F3-86D1-A45F66F8086D}"/>
              </c:ext>
            </c:extLst>
          </c:dPt>
          <c:dPt>
            <c:idx val="14"/>
            <c:invertIfNegative val="1"/>
            <c:bubble3D val="0"/>
            <c:extLst>
              <c:ext xmlns:c16="http://schemas.microsoft.com/office/drawing/2014/chart" uri="{C3380CC4-5D6E-409C-BE32-E72D297353CC}">
                <c16:uniqueId val="{0000000C-18E7-44F3-86D1-A45F66F8086D}"/>
              </c:ext>
            </c:extLst>
          </c:dPt>
          <c:cat>
            <c:strRef>
              <c:f>Sheet3!$R$64:$R$78</c:f>
              <c:strCache>
                <c:ptCount val="15"/>
                <c:pt idx="0">
                  <c:v>纳斯达克指数</c:v>
                </c:pt>
                <c:pt idx="1">
                  <c:v>标普500</c:v>
                </c:pt>
                <c:pt idx="2">
                  <c:v>道琼斯工业指数</c:v>
                </c:pt>
                <c:pt idx="3">
                  <c:v>日经225</c:v>
                </c:pt>
                <c:pt idx="4">
                  <c:v>富时新加坡海峡指数</c:v>
                </c:pt>
                <c:pt idx="5">
                  <c:v>德国DAX</c:v>
                </c:pt>
                <c:pt idx="6">
                  <c:v>意大利指数</c:v>
                </c:pt>
                <c:pt idx="7">
                  <c:v>创业板指</c:v>
                </c:pt>
                <c:pt idx="8">
                  <c:v>英国富时100</c:v>
                </c:pt>
                <c:pt idx="9">
                  <c:v>法国CAC40</c:v>
                </c:pt>
                <c:pt idx="10">
                  <c:v>深证成指</c:v>
                </c:pt>
                <c:pt idx="11">
                  <c:v>沪深300</c:v>
                </c:pt>
                <c:pt idx="12">
                  <c:v>中小100</c:v>
                </c:pt>
                <c:pt idx="13">
                  <c:v>上证指数</c:v>
                </c:pt>
                <c:pt idx="14">
                  <c:v>恒生指数</c:v>
                </c:pt>
              </c:strCache>
            </c:strRef>
          </c:cat>
          <c:val>
            <c:numRef>
              <c:f>Sheet3!$S$64:$S$78</c:f>
              <c:numCache>
                <c:formatCode>#,##0.0000_ ;\-#,##0.0000\ </c:formatCode>
                <c:ptCount val="15"/>
                <c:pt idx="0">
                  <c:v>-3.562424</c:v>
                </c:pt>
                <c:pt idx="1">
                  <c:v>-2.9492889999999998</c:v>
                </c:pt>
                <c:pt idx="2">
                  <c:v>-2.5846550000000001</c:v>
                </c:pt>
                <c:pt idx="3">
                  <c:v>-0.71884199999999998</c:v>
                </c:pt>
                <c:pt idx="4">
                  <c:v>-0.53448399999999996</c:v>
                </c:pt>
                <c:pt idx="5">
                  <c:v>-1.8769000000000001E-2</c:v>
                </c:pt>
                <c:pt idx="6">
                  <c:v>0</c:v>
                </c:pt>
                <c:pt idx="7">
                  <c:v>4.3444999999999998E-2</c:v>
                </c:pt>
                <c:pt idx="8">
                  <c:v>4.7711000000000003E-2</c:v>
                </c:pt>
                <c:pt idx="9">
                  <c:v>0.25686599999999998</c:v>
                </c:pt>
                <c:pt idx="10">
                  <c:v>0.44452000000000003</c:v>
                </c:pt>
                <c:pt idx="11">
                  <c:v>0.50628300000000004</c:v>
                </c:pt>
                <c:pt idx="12">
                  <c:v>0.52155300000000004</c:v>
                </c:pt>
                <c:pt idx="13">
                  <c:v>0.61648599999999998</c:v>
                </c:pt>
                <c:pt idx="14">
                  <c:v>0.83282199999999995</c:v>
                </c:pt>
              </c:numCache>
            </c:numRef>
          </c:val>
          <c:extLst>
            <c:ext xmlns:c14="http://schemas.microsoft.com/office/drawing/2007/8/2/chart" uri="{6F2FDCE9-48DA-4B69-8628-5D25D57E5C99}">
              <c14:invertSolidFillFmt>
                <c14:spPr xmlns:c14="http://schemas.microsoft.com/office/drawing/2007/8/2/chart">
                  <a:solidFill>
                    <a:srgbClr val="92D050"/>
                  </a:solidFill>
                </c14:spPr>
              </c14:invertSolidFillFmt>
            </c:ext>
            <c:ext xmlns:c16="http://schemas.microsoft.com/office/drawing/2014/chart" uri="{C3380CC4-5D6E-409C-BE32-E72D297353CC}">
              <c16:uniqueId val="{0000000D-18E7-44F3-86D1-A45F66F8086D}"/>
            </c:ext>
          </c:extLst>
        </c:ser>
        <c:dLbls>
          <c:showLegendKey val="0"/>
          <c:showVal val="0"/>
          <c:showCatName val="0"/>
          <c:showSerName val="0"/>
          <c:showPercent val="0"/>
          <c:showBubbleSize val="0"/>
        </c:dLbls>
        <c:gapWidth val="150"/>
        <c:axId val="754402392"/>
        <c:axId val="754402784"/>
      </c:barChart>
      <c:catAx>
        <c:axId val="754402392"/>
        <c:scaling>
          <c:orientation val="minMax"/>
        </c:scaling>
        <c:delete val="0"/>
        <c:axPos val="b"/>
        <c:numFmt formatCode="m/d/yyyy" sourceLinked="0"/>
        <c:majorTickMark val="none"/>
        <c:minorTickMark val="none"/>
        <c:tickLblPos val="low"/>
        <c:spPr>
          <a:solidFill>
            <a:srgbClr val="92D050"/>
          </a:solidFill>
        </c:spPr>
        <c:txPr>
          <a:bodyPr rot="-60000000" vert="horz"/>
          <a:lstStyle/>
          <a:p>
            <a:pPr>
              <a:defRPr>
                <a:solidFill>
                  <a:srgbClr val="92D050"/>
                </a:solidFill>
              </a:defRPr>
            </a:pPr>
            <a:endParaRPr lang="zh-CN"/>
          </a:p>
        </c:txPr>
        <c:crossAx val="754402784"/>
        <c:crosses val="autoZero"/>
        <c:auto val="1"/>
        <c:lblAlgn val="ctr"/>
        <c:lblOffset val="100"/>
        <c:noMultiLvlLbl val="0"/>
      </c:catAx>
      <c:valAx>
        <c:axId val="754402784"/>
        <c:scaling>
          <c:orientation val="minMax"/>
        </c:scaling>
        <c:delete val="0"/>
        <c:axPos val="l"/>
        <c:majorGridlines/>
        <c:numFmt formatCode="#,##0.0000_ ;\-#,##0.0000\ " sourceLinked="1"/>
        <c:majorTickMark val="none"/>
        <c:minorTickMark val="none"/>
        <c:tickLblPos val="nextTo"/>
        <c:txPr>
          <a:bodyPr rot="-60000000" vert="horz"/>
          <a:lstStyle/>
          <a:p>
            <a:pPr>
              <a:defRPr/>
            </a:pPr>
            <a:endParaRPr lang="zh-CN"/>
          </a:p>
        </c:txPr>
        <c:crossAx val="754402392"/>
        <c:crosses val="autoZero"/>
        <c:crossBetween val="between"/>
      </c:valAx>
      <c:dTable>
        <c:showHorzBorder val="1"/>
        <c:showVertBorder val="1"/>
        <c:showOutline val="1"/>
        <c:showKeys val="0"/>
      </c:dTable>
      <c:spPr>
        <a:noFill/>
        <a:ln w="25400">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3E6C3-DDDA-4545-8AD7-F78ACD9F4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Pages>
  <Words>782</Words>
  <Characters>4462</Characters>
  <Application>Microsoft Office Word</Application>
  <DocSecurity>0</DocSecurity>
  <Lines>37</Lines>
  <Paragraphs>10</Paragraphs>
  <ScaleCrop>false</ScaleCrop>
  <Company/>
  <LinksUpToDate>false</LinksUpToDate>
  <CharactersWithSpaces>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MSI</cp:lastModifiedBy>
  <cp:revision>21</cp:revision>
  <cp:lastPrinted>2024-07-26T02:41:00Z</cp:lastPrinted>
  <dcterms:created xsi:type="dcterms:W3CDTF">2024-12-06T00:43:00Z</dcterms:created>
  <dcterms:modified xsi:type="dcterms:W3CDTF">2024-12-19T01:27:00Z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