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2DF86" w14:textId="77777777" w:rsidR="0087172E" w:rsidRDefault="00D06CB0">
      <w:pPr>
        <w:spacing w:line="720" w:lineRule="auto"/>
        <w:jc w:val="center"/>
        <w:outlineLvl w:val="0"/>
        <w:rPr>
          <w:rFonts w:ascii="宋体" w:hAnsi="宋体"/>
          <w:b/>
          <w:bCs/>
          <w:sz w:val="40"/>
          <w:szCs w:val="44"/>
        </w:rPr>
      </w:pPr>
      <w:r>
        <w:rPr>
          <w:rFonts w:ascii="宋体" w:hAnsi="宋体"/>
          <w:b/>
          <w:bCs/>
          <w:sz w:val="40"/>
          <w:szCs w:val="44"/>
        </w:rPr>
        <w:pict w14:anchorId="5AB74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1pt;height:177.5pt">
            <v:imagedata r:id="rId8" o:title="微信图片_20240814094509"/>
          </v:shape>
        </w:pict>
      </w:r>
    </w:p>
    <w:p w14:paraId="16430FB9"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上周行情回顾</w:t>
      </w:r>
    </w:p>
    <w:p w14:paraId="25BEF9E9" w14:textId="56BDC2E7" w:rsidR="00CA7296" w:rsidRDefault="00CA7296" w:rsidP="00CA7296">
      <w:pPr>
        <w:spacing w:line="312" w:lineRule="auto"/>
        <w:ind w:firstLine="420"/>
        <w:rPr>
          <w:rFonts w:ascii="宋体" w:hAnsi="宋体" w:cs="宋体"/>
        </w:rPr>
      </w:pPr>
      <w:r>
        <w:t>周五</w:t>
      </w:r>
      <w:r>
        <w:rPr>
          <w:rFonts w:hint="eastAsia"/>
        </w:rPr>
        <w:t>（</w:t>
      </w:r>
      <w:r w:rsidR="0066318A">
        <w:t>2</w:t>
      </w:r>
      <w:r>
        <w:rPr>
          <w:rFonts w:hint="eastAsia"/>
        </w:rPr>
        <w:t>月</w:t>
      </w:r>
      <w:r w:rsidR="00304D86">
        <w:t>21</w:t>
      </w:r>
      <w:r>
        <w:rPr>
          <w:rFonts w:hint="eastAsia"/>
        </w:rPr>
        <w:t>日）</w:t>
      </w:r>
      <w:r>
        <w:t>美元兑人民币中间价</w:t>
      </w:r>
      <w:r>
        <w:rPr>
          <w:rFonts w:ascii="宋体" w:hAnsi="宋体" w:cs="宋体"/>
        </w:rPr>
        <w:t>报</w:t>
      </w:r>
      <w:r w:rsidRPr="00076C89">
        <w:rPr>
          <w:rFonts w:ascii="宋体" w:hAnsi="宋体" w:cs="宋体"/>
        </w:rPr>
        <w:t>7.</w:t>
      </w:r>
      <w:r w:rsidR="00A71812">
        <w:rPr>
          <w:rFonts w:ascii="宋体" w:hAnsi="宋体" w:cs="宋体"/>
        </w:rPr>
        <w:t>1696</w:t>
      </w:r>
      <w:r>
        <w:rPr>
          <w:rFonts w:ascii="宋体" w:hAnsi="宋体" w:cs="宋体"/>
        </w:rPr>
        <w:t>，</w:t>
      </w:r>
      <w:r>
        <w:rPr>
          <w:rFonts w:ascii="宋体" w:hAnsi="宋体" w:cs="宋体" w:hint="eastAsia"/>
        </w:rPr>
        <w:t>调</w:t>
      </w:r>
      <w:r w:rsidR="00A71812">
        <w:rPr>
          <w:rFonts w:ascii="宋体" w:hAnsi="宋体" w:cs="宋体" w:hint="eastAsia"/>
        </w:rPr>
        <w:t>升1</w:t>
      </w:r>
      <w:r w:rsidR="00A71812">
        <w:rPr>
          <w:rFonts w:ascii="宋体" w:hAnsi="宋体" w:cs="宋体"/>
        </w:rPr>
        <w:t>6</w:t>
      </w:r>
      <w:r>
        <w:rPr>
          <w:rFonts w:ascii="宋体" w:hAnsi="宋体" w:cs="宋体" w:hint="eastAsia"/>
        </w:rPr>
        <w:t>个基点，上周累计调</w:t>
      </w:r>
      <w:r w:rsidR="00F76960">
        <w:rPr>
          <w:rFonts w:ascii="宋体" w:hAnsi="宋体" w:cs="宋体" w:hint="eastAsia"/>
        </w:rPr>
        <w:t>升</w:t>
      </w:r>
      <w:r w:rsidR="00A71812">
        <w:rPr>
          <w:rFonts w:ascii="宋体" w:hAnsi="宋体" w:cs="宋体" w:hint="eastAsia"/>
        </w:rPr>
        <w:t>6</w:t>
      </w:r>
      <w:r>
        <w:rPr>
          <w:rFonts w:ascii="宋体" w:hAnsi="宋体" w:cs="宋体" w:hint="eastAsia"/>
        </w:rPr>
        <w:t>个基点。港交所美元兑人民币期货主力合约C</w:t>
      </w:r>
      <w:r>
        <w:rPr>
          <w:rFonts w:ascii="宋体" w:hAnsi="宋体" w:cs="宋体"/>
        </w:rPr>
        <w:t>USF2</w:t>
      </w:r>
      <w:r>
        <w:rPr>
          <w:rFonts w:ascii="宋体" w:hAnsi="宋体" w:cs="宋体" w:hint="eastAsia"/>
        </w:rPr>
        <w:t>50</w:t>
      </w:r>
      <w:r w:rsidR="008C495E">
        <w:rPr>
          <w:rFonts w:ascii="宋体" w:hAnsi="宋体" w:cs="宋体"/>
        </w:rPr>
        <w:t>3</w:t>
      </w:r>
      <w:r>
        <w:rPr>
          <w:rFonts w:ascii="宋体" w:hAnsi="宋体" w:cs="宋体" w:hint="eastAsia"/>
        </w:rPr>
        <w:t>收</w:t>
      </w:r>
      <w:r w:rsidR="00E70ABA">
        <w:rPr>
          <w:rFonts w:ascii="宋体" w:hAnsi="宋体" w:cs="宋体" w:hint="eastAsia"/>
        </w:rPr>
        <w:t>跌</w:t>
      </w:r>
      <w:r w:rsidR="0066318A">
        <w:rPr>
          <w:rFonts w:ascii="宋体" w:hAnsi="宋体" w:cs="宋体"/>
        </w:rPr>
        <w:t>0.</w:t>
      </w:r>
      <w:r w:rsidR="00A71812">
        <w:rPr>
          <w:rFonts w:ascii="宋体" w:hAnsi="宋体" w:cs="宋体"/>
        </w:rPr>
        <w:t>12</w:t>
      </w:r>
      <w:r>
        <w:rPr>
          <w:rFonts w:ascii="宋体" w:hAnsi="宋体" w:cs="宋体" w:hint="eastAsia"/>
        </w:rPr>
        <w:t>%。新交所美元兑离岸人民币期货主力合约</w:t>
      </w:r>
      <w:r>
        <w:rPr>
          <w:rFonts w:ascii="宋体" w:hAnsi="宋体" w:cs="宋体"/>
        </w:rPr>
        <w:t>UC</w:t>
      </w:r>
      <w:r w:rsidR="008C495E">
        <w:rPr>
          <w:rFonts w:ascii="宋体" w:hAnsi="宋体" w:cs="宋体"/>
        </w:rPr>
        <w:t>H</w:t>
      </w:r>
      <w:r>
        <w:rPr>
          <w:rFonts w:ascii="宋体" w:hAnsi="宋体" w:cs="宋体"/>
        </w:rPr>
        <w:t>2</w:t>
      </w:r>
      <w:r>
        <w:rPr>
          <w:rFonts w:ascii="宋体" w:hAnsi="宋体" w:cs="宋体" w:hint="eastAsia"/>
        </w:rPr>
        <w:t>5收</w:t>
      </w:r>
      <w:r w:rsidR="00CC28AB">
        <w:rPr>
          <w:rFonts w:ascii="宋体" w:hAnsi="宋体" w:cs="宋体" w:hint="eastAsia"/>
        </w:rPr>
        <w:t>跌</w:t>
      </w:r>
      <w:r w:rsidR="0066318A">
        <w:rPr>
          <w:rFonts w:ascii="宋体" w:hAnsi="宋体" w:cs="宋体" w:hint="eastAsia"/>
        </w:rPr>
        <w:t>0</w:t>
      </w:r>
      <w:r w:rsidR="0066318A">
        <w:rPr>
          <w:rFonts w:ascii="宋体" w:hAnsi="宋体" w:cs="宋体"/>
        </w:rPr>
        <w:t>.</w:t>
      </w:r>
      <w:r w:rsidR="00A71812">
        <w:rPr>
          <w:rFonts w:ascii="宋体" w:hAnsi="宋体" w:cs="宋体"/>
        </w:rPr>
        <w:t>10</w:t>
      </w:r>
      <w:r w:rsidR="00CC28AB">
        <w:rPr>
          <w:rFonts w:ascii="宋体" w:hAnsi="宋体" w:cs="宋体"/>
        </w:rPr>
        <w:t>%</w:t>
      </w:r>
      <w:r>
        <w:rPr>
          <w:rFonts w:ascii="宋体" w:hAnsi="宋体" w:cs="宋体" w:hint="eastAsia"/>
        </w:rPr>
        <w:t>。</w:t>
      </w:r>
    </w:p>
    <w:p w14:paraId="2A8620FC" w14:textId="1FF5A632" w:rsidR="00CA7296" w:rsidRDefault="00CA7296" w:rsidP="00CA7296">
      <w:pPr>
        <w:spacing w:line="312" w:lineRule="auto"/>
        <w:ind w:firstLine="420"/>
      </w:pPr>
      <w:r>
        <w:rPr>
          <w:rFonts w:ascii="宋体" w:hAnsi="宋体" w:cs="宋体" w:hint="eastAsia"/>
        </w:rPr>
        <w:t>美元兑在岸人民币</w:t>
      </w:r>
      <w:r>
        <w:t>收报</w:t>
      </w:r>
      <w:r w:rsidR="00AD25D1">
        <w:t>7.</w:t>
      </w:r>
      <w:r w:rsidR="00C66DB1">
        <w:t>2</w:t>
      </w:r>
      <w:r w:rsidR="00A71812">
        <w:t>5</w:t>
      </w:r>
      <w:r w:rsidR="00F76960">
        <w:t>54</w:t>
      </w:r>
      <w:r>
        <w:t>，</w:t>
      </w:r>
      <w:r>
        <w:rPr>
          <w:rFonts w:hint="eastAsia"/>
        </w:rPr>
        <w:t>美元兑离岸人民币收报</w:t>
      </w:r>
      <w:r>
        <w:rPr>
          <w:rFonts w:hint="eastAsia"/>
        </w:rPr>
        <w:t>7</w:t>
      </w:r>
      <w:r>
        <w:t>.</w:t>
      </w:r>
      <w:r w:rsidR="00015ABA">
        <w:t>25</w:t>
      </w:r>
      <w:r w:rsidR="00A71812">
        <w:t>2</w:t>
      </w:r>
      <w:r w:rsidR="00015ABA">
        <w:t>4</w:t>
      </w:r>
      <w:r>
        <w:rPr>
          <w:rFonts w:hint="eastAsia"/>
        </w:rPr>
        <w:t>，在当周</w:t>
      </w:r>
      <w:r>
        <w:t>分别</w:t>
      </w:r>
      <w:r w:rsidR="00F76960">
        <w:rPr>
          <w:rFonts w:hint="eastAsia"/>
        </w:rPr>
        <w:t>上调</w:t>
      </w:r>
      <w:r w:rsidR="00A71812">
        <w:t>100</w:t>
      </w:r>
      <w:r>
        <w:t>和</w:t>
      </w:r>
      <w:r w:rsidR="00F76960">
        <w:rPr>
          <w:rFonts w:hint="eastAsia"/>
        </w:rPr>
        <w:t>上</w:t>
      </w:r>
      <w:r w:rsidR="0066318A">
        <w:rPr>
          <w:rFonts w:hint="eastAsia"/>
        </w:rPr>
        <w:t>调</w:t>
      </w:r>
      <w:r w:rsidR="00A71812">
        <w:t>70</w:t>
      </w:r>
      <w:r>
        <w:rPr>
          <w:rFonts w:hint="eastAsia"/>
        </w:rPr>
        <w:t>个基点</w:t>
      </w:r>
      <w:r>
        <w:t>。欧元兑人民币报</w:t>
      </w:r>
      <w:r w:rsidR="0066318A">
        <w:t>7.</w:t>
      </w:r>
      <w:r w:rsidR="00A71812">
        <w:t>5839</w:t>
      </w:r>
      <w:r>
        <w:t>、英镑兑人民币报</w:t>
      </w:r>
      <w:r w:rsidR="00C66DB1">
        <w:t>9.</w:t>
      </w:r>
      <w:r w:rsidR="00626AF8">
        <w:t>1</w:t>
      </w:r>
      <w:r w:rsidR="00A71812">
        <w:t>857</w:t>
      </w:r>
      <w:r>
        <w:t>、</w:t>
      </w:r>
      <w:r w:rsidR="000959E1">
        <w:rPr>
          <w:rFonts w:hint="eastAsia"/>
        </w:rPr>
        <w:t>日元</w:t>
      </w:r>
      <w:r>
        <w:t>兑</w:t>
      </w:r>
      <w:r w:rsidR="000959E1">
        <w:rPr>
          <w:rFonts w:hint="eastAsia"/>
        </w:rPr>
        <w:t>人民币</w:t>
      </w:r>
      <w:r>
        <w:t>报</w:t>
      </w:r>
      <w:r w:rsidR="000959E1">
        <w:rPr>
          <w:rFonts w:hint="eastAsia"/>
        </w:rPr>
        <w:t>4</w:t>
      </w:r>
      <w:r w:rsidR="00A71812">
        <w:t>.8288</w:t>
      </w:r>
      <w:r w:rsidR="000959E1">
        <w:rPr>
          <w:rFonts w:hint="eastAsia"/>
        </w:rPr>
        <w:t>、</w:t>
      </w:r>
      <w:r>
        <w:t>澳元兑人民币报</w:t>
      </w:r>
      <w:r>
        <w:t>4.</w:t>
      </w:r>
      <w:r w:rsidR="00A71812">
        <w:t>6293</w:t>
      </w:r>
      <w:r>
        <w:rPr>
          <w:rFonts w:hint="eastAsia"/>
        </w:rPr>
        <w:t>，在当</w:t>
      </w:r>
      <w:r>
        <w:t>周分别</w:t>
      </w:r>
      <w:r w:rsidR="00A71812">
        <w:rPr>
          <w:rFonts w:hint="eastAsia"/>
        </w:rPr>
        <w:t>跌</w:t>
      </w:r>
      <w:r w:rsidR="00A71812">
        <w:rPr>
          <w:rFonts w:hint="eastAsia"/>
        </w:rPr>
        <w:t>3</w:t>
      </w:r>
      <w:r w:rsidR="00A71812">
        <w:t>39</w:t>
      </w:r>
      <w:r>
        <w:t>、</w:t>
      </w:r>
      <w:r w:rsidR="00C66DB1">
        <w:rPr>
          <w:rFonts w:hint="eastAsia"/>
        </w:rPr>
        <w:t>涨</w:t>
      </w:r>
      <w:r w:rsidR="00A71812">
        <w:t>464</w:t>
      </w:r>
      <w:r>
        <w:rPr>
          <w:rFonts w:hint="eastAsia"/>
        </w:rPr>
        <w:t>、</w:t>
      </w:r>
      <w:r w:rsidR="00A71812">
        <w:rPr>
          <w:rFonts w:hint="eastAsia"/>
        </w:rPr>
        <w:t>涨</w:t>
      </w:r>
      <w:r w:rsidR="00626AF8">
        <w:rPr>
          <w:rFonts w:hint="eastAsia"/>
        </w:rPr>
        <w:t>6</w:t>
      </w:r>
      <w:r w:rsidR="00A71812">
        <w:t>88</w:t>
      </w:r>
      <w:r>
        <w:t>和</w:t>
      </w:r>
      <w:r w:rsidR="00762458">
        <w:rPr>
          <w:rFonts w:hint="eastAsia"/>
        </w:rPr>
        <w:t>涨</w:t>
      </w:r>
      <w:r w:rsidR="00A71812">
        <w:rPr>
          <w:rFonts w:hint="eastAsia"/>
        </w:rPr>
        <w:t>3</w:t>
      </w:r>
      <w:r w:rsidR="00A71812">
        <w:t>03</w:t>
      </w:r>
      <w:r>
        <w:rPr>
          <w:rFonts w:hint="eastAsia"/>
        </w:rPr>
        <w:t>个基点</w:t>
      </w:r>
      <w:r>
        <w:t>。</w:t>
      </w:r>
    </w:p>
    <w:p w14:paraId="76AC2601" w14:textId="73BC9453" w:rsidR="00CA7296" w:rsidRDefault="00CA7296" w:rsidP="00CA7296">
      <w:pPr>
        <w:spacing w:line="312" w:lineRule="auto"/>
        <w:ind w:firstLine="420"/>
      </w:pPr>
      <w:r>
        <w:rPr>
          <w:rFonts w:hint="eastAsia"/>
        </w:rPr>
        <w:t>上周央行公开市场累计</w:t>
      </w:r>
      <w:r w:rsidR="00BA7B2C" w:rsidRPr="00BA7B2C">
        <w:rPr>
          <w:rFonts w:hint="eastAsia"/>
        </w:rPr>
        <w:t>进行了</w:t>
      </w:r>
      <w:r w:rsidR="00304D86">
        <w:t>15261</w:t>
      </w:r>
      <w:r w:rsidR="00BA7B2C" w:rsidRPr="00BA7B2C">
        <w:rPr>
          <w:rFonts w:hint="eastAsia"/>
        </w:rPr>
        <w:t>亿元逆回购操作，</w:t>
      </w:r>
      <w:r w:rsidR="00BA7B2C">
        <w:rPr>
          <w:rFonts w:hint="eastAsia"/>
        </w:rPr>
        <w:t>当</w:t>
      </w:r>
      <w:r w:rsidR="00BA7B2C" w:rsidRPr="00BA7B2C">
        <w:rPr>
          <w:rFonts w:hint="eastAsia"/>
        </w:rPr>
        <w:t>周</w:t>
      </w:r>
      <w:r w:rsidR="00304D86" w:rsidRPr="00304D86">
        <w:rPr>
          <w:rFonts w:hint="eastAsia"/>
        </w:rPr>
        <w:t>央行公开市场有</w:t>
      </w:r>
      <w:r w:rsidR="00304D86" w:rsidRPr="00304D86">
        <w:rPr>
          <w:rFonts w:hint="eastAsia"/>
        </w:rPr>
        <w:t>10443</w:t>
      </w:r>
      <w:r w:rsidR="00304D86" w:rsidRPr="00304D86">
        <w:rPr>
          <w:rFonts w:hint="eastAsia"/>
        </w:rPr>
        <w:t>亿元逆回购和</w:t>
      </w:r>
      <w:r w:rsidR="00304D86" w:rsidRPr="00304D86">
        <w:rPr>
          <w:rFonts w:hint="eastAsia"/>
        </w:rPr>
        <w:t>5000</w:t>
      </w:r>
      <w:r w:rsidR="00304D86" w:rsidRPr="00304D86">
        <w:rPr>
          <w:rFonts w:hint="eastAsia"/>
        </w:rPr>
        <w:t>亿元</w:t>
      </w:r>
      <w:r w:rsidR="00304D86" w:rsidRPr="00304D86">
        <w:rPr>
          <w:rFonts w:hint="eastAsia"/>
        </w:rPr>
        <w:t>MLF</w:t>
      </w:r>
      <w:r w:rsidR="00304D86" w:rsidRPr="00304D86">
        <w:rPr>
          <w:rFonts w:hint="eastAsia"/>
        </w:rPr>
        <w:t>到期，因此净回笼</w:t>
      </w:r>
      <w:r w:rsidR="00304D86" w:rsidRPr="00304D86">
        <w:rPr>
          <w:rFonts w:hint="eastAsia"/>
        </w:rPr>
        <w:t>182</w:t>
      </w:r>
      <w:r w:rsidR="00304D86" w:rsidRPr="00304D86">
        <w:rPr>
          <w:rFonts w:hint="eastAsia"/>
        </w:rPr>
        <w:t>亿元</w:t>
      </w:r>
      <w:r w:rsidR="00BA7B2C" w:rsidRPr="00BA7B2C">
        <w:rPr>
          <w:rFonts w:hint="eastAsia"/>
        </w:rPr>
        <w:t>。</w:t>
      </w:r>
    </w:p>
    <w:p w14:paraId="453AF8FD" w14:textId="77777777" w:rsidR="00CA7296" w:rsidRDefault="00CA7296" w:rsidP="00CA7296">
      <w:pPr>
        <w:numPr>
          <w:ilvl w:val="0"/>
          <w:numId w:val="1"/>
        </w:numPr>
        <w:spacing w:beforeLines="50" w:before="156" w:line="312" w:lineRule="auto"/>
        <w:rPr>
          <w:rFonts w:ascii="微软雅黑" w:eastAsia="微软雅黑" w:hAnsi="微软雅黑"/>
          <w:bCs/>
          <w:sz w:val="28"/>
          <w:szCs w:val="28"/>
        </w:rPr>
      </w:pPr>
      <w:r>
        <w:rPr>
          <w:rFonts w:ascii="微软雅黑" w:eastAsia="微软雅黑" w:hAnsi="微软雅黑" w:hint="eastAsia"/>
          <w:b/>
          <w:bCs/>
          <w:sz w:val="28"/>
          <w:szCs w:val="28"/>
        </w:rPr>
        <w:t>消息回顾</w:t>
      </w:r>
    </w:p>
    <w:p w14:paraId="026EC8DF" w14:textId="48571905" w:rsidR="00CA7296" w:rsidRPr="00762458" w:rsidRDefault="00CA7296" w:rsidP="00CA7296">
      <w:pPr>
        <w:spacing w:line="312" w:lineRule="auto"/>
        <w:ind w:firstLine="420"/>
        <w:rPr>
          <w:rFonts w:ascii="宋体" w:hAnsi="宋体"/>
        </w:rPr>
      </w:pPr>
      <w:r>
        <w:t>1</w:t>
      </w:r>
      <w:r w:rsidR="00626AF8">
        <w:rPr>
          <w:rFonts w:ascii="宋体" w:hAnsi="宋体" w:hint="eastAsia"/>
        </w:rPr>
        <w:t>、</w:t>
      </w:r>
      <w:r w:rsidR="009D18C0" w:rsidRPr="00A341B2">
        <w:rPr>
          <w:rFonts w:ascii="宋体" w:hAnsi="宋体" w:hint="eastAsia"/>
        </w:rPr>
        <w:t>特朗普表示，将在未来一个月内宣布对汽车、半导体、制药以及木材等征收新关税。美国将于</w:t>
      </w:r>
      <w:r w:rsidR="009D18C0" w:rsidRPr="00A341B2">
        <w:rPr>
          <w:rFonts w:ascii="宋体" w:hAnsi="宋体"/>
        </w:rPr>
        <w:t>3月12日生效的额外铝关税将涵盖123种产品，包括芯片制造设备零部件和飞机零部件，这对依赖向美国出口的日本公司可能是一个打击。</w:t>
      </w:r>
    </w:p>
    <w:p w14:paraId="6F1CC702" w14:textId="5D41EFC4" w:rsidR="00CA7296" w:rsidRPr="00CA1C69" w:rsidRDefault="00CA7296" w:rsidP="00CA7296">
      <w:pPr>
        <w:spacing w:line="312" w:lineRule="auto"/>
        <w:ind w:firstLine="420"/>
        <w:rPr>
          <w:rFonts w:ascii="宋体" w:hAnsi="宋体"/>
        </w:rPr>
      </w:pPr>
      <w:r>
        <w:rPr>
          <w:rFonts w:hint="eastAsia"/>
        </w:rPr>
        <w:t>2</w:t>
      </w:r>
      <w:r>
        <w:rPr>
          <w:rFonts w:hint="eastAsia"/>
        </w:rPr>
        <w:t>、</w:t>
      </w:r>
      <w:r w:rsidR="009D18C0" w:rsidRPr="00A341B2">
        <w:rPr>
          <w:rFonts w:ascii="宋体" w:hAnsi="宋体" w:hint="eastAsia"/>
        </w:rPr>
        <w:t>国新办举行国务院政策例行吹风会，介绍扩大高水平对外开放、做好</w:t>
      </w:r>
      <w:r w:rsidR="009D18C0" w:rsidRPr="00A341B2">
        <w:rPr>
          <w:rFonts w:ascii="宋体" w:hAnsi="宋体"/>
        </w:rPr>
        <w:t>2025年稳外资工作有关情况。会上，商务部表示，各部门将推动出台若干配套文件，形成“1+N”稳外资政策组合拳，推动外企平等参与政府采购配套细则尽早落地见效</w:t>
      </w:r>
      <w:r w:rsidR="009D18C0">
        <w:rPr>
          <w:rFonts w:ascii="宋体" w:hAnsi="宋体" w:hint="eastAsia"/>
        </w:rPr>
        <w:t>。</w:t>
      </w:r>
    </w:p>
    <w:p w14:paraId="3E0B9A2E" w14:textId="0FB2B6C1" w:rsidR="00CA7296" w:rsidRPr="00CA1C69" w:rsidRDefault="00CA7296" w:rsidP="00CA7296">
      <w:pPr>
        <w:spacing w:line="312" w:lineRule="auto"/>
        <w:ind w:firstLine="420"/>
        <w:rPr>
          <w:rFonts w:ascii="宋体" w:hAnsi="宋体"/>
        </w:rPr>
      </w:pPr>
      <w:r w:rsidRPr="00CA1C69">
        <w:rPr>
          <w:rFonts w:ascii="宋体" w:hAnsi="宋体"/>
        </w:rPr>
        <w:t>3</w:t>
      </w:r>
      <w:r w:rsidRPr="00CA1C69">
        <w:rPr>
          <w:rFonts w:ascii="宋体" w:hAnsi="宋体" w:hint="eastAsia"/>
        </w:rPr>
        <w:t>、</w:t>
      </w:r>
      <w:r w:rsidR="009D18C0" w:rsidRPr="00FD597F">
        <w:rPr>
          <w:rFonts w:ascii="宋体" w:hAnsi="宋体" w:hint="eastAsia"/>
        </w:rPr>
        <w:t>央行行长潘功胜应邀出席新兴市场经济体研讨会。他指出，新兴市场经济体应进一步提升自身韧性，继续完善货币政策框架，提升汇率弹性，加强公共债务管理，强化宏观审慎管理和金融监管。</w:t>
      </w:r>
    </w:p>
    <w:p w14:paraId="5E26AA41" w14:textId="557E324A" w:rsidR="00CA7296" w:rsidRDefault="00CA7296" w:rsidP="00CA7296">
      <w:pPr>
        <w:spacing w:line="312" w:lineRule="auto"/>
        <w:ind w:firstLine="420"/>
      </w:pPr>
      <w:r>
        <w:rPr>
          <w:rFonts w:hint="eastAsia"/>
        </w:rPr>
        <w:t>4</w:t>
      </w:r>
      <w:r>
        <w:rPr>
          <w:rFonts w:hint="eastAsia"/>
        </w:rPr>
        <w:t>、</w:t>
      </w:r>
      <w:r w:rsidR="009D18C0" w:rsidRPr="00F028DB">
        <w:rPr>
          <w:rFonts w:ascii="宋体" w:hAnsi="宋体" w:hint="eastAsia"/>
        </w:rPr>
        <w:t>美联储公布</w:t>
      </w:r>
      <w:r w:rsidR="009D18C0" w:rsidRPr="00F028DB">
        <w:rPr>
          <w:rFonts w:ascii="宋体" w:hAnsi="宋体"/>
        </w:rPr>
        <w:t>1月货币政策会议纪要显示，特朗普的初步政策建议引发了美联储对通胀上升的担忧。美联储希望在决定再次降息之前看到“通胀方面的进一步进展”。</w:t>
      </w:r>
    </w:p>
    <w:p w14:paraId="0C5E6DC3"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t>相关图表</w:t>
      </w:r>
    </w:p>
    <w:p w14:paraId="1DA585C4" w14:textId="77777777" w:rsidR="00CA7296" w:rsidRDefault="00CA7296" w:rsidP="00CA7296">
      <w:pPr>
        <w:pStyle w:val="a3"/>
        <w:keepNext/>
        <w:jc w:val="left"/>
        <w:rPr>
          <w:rFonts w:ascii="宋体" w:eastAsia="宋体" w:hAnsi="宋体"/>
          <w:b/>
        </w:rPr>
      </w:pPr>
      <w:r>
        <w:rPr>
          <w:rFonts w:ascii="宋体" w:eastAsia="宋体" w:hAnsi="宋体"/>
          <w:b/>
        </w:rPr>
        <w:lastRenderedPageBreak/>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1</w:t>
      </w:r>
      <w:r>
        <w:rPr>
          <w:rFonts w:ascii="宋体" w:eastAsia="宋体" w:hAnsi="宋体"/>
          <w:b/>
        </w:rPr>
        <w:fldChar w:fldCharType="end"/>
      </w:r>
      <w:r>
        <w:rPr>
          <w:rFonts w:ascii="宋体" w:eastAsia="宋体" w:hAnsi="宋体"/>
          <w:b/>
        </w:rPr>
        <w:t xml:space="preserve"> </w:t>
      </w:r>
      <w:r>
        <w:rPr>
          <w:rFonts w:ascii="宋体" w:eastAsia="宋体" w:hAnsi="宋体" w:hint="eastAsia"/>
          <w:b/>
        </w:rPr>
        <w:t>美元兑人民币中间价</w:t>
      </w:r>
    </w:p>
    <w:p w14:paraId="72098552" w14:textId="5CB31868" w:rsidR="00CA7296" w:rsidRDefault="00D06CB0"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5DBC23CC" wp14:editId="52297BDE">
            <wp:extent cx="3561907" cy="1836089"/>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85753" cy="1848381"/>
                    </a:xfrm>
                    <a:prstGeom prst="rect">
                      <a:avLst/>
                    </a:prstGeom>
                  </pic:spPr>
                </pic:pic>
              </a:graphicData>
            </a:graphic>
          </wp:inline>
        </w:drawing>
      </w:r>
    </w:p>
    <w:p w14:paraId="724C81D0"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7C1CFF78" w14:textId="73C381C5"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2</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CUSF2</w:t>
      </w:r>
      <w:r>
        <w:rPr>
          <w:rFonts w:ascii="宋体" w:eastAsia="宋体" w:hAnsi="宋体" w:hint="eastAsia"/>
          <w:b/>
        </w:rPr>
        <w:t>50</w:t>
      </w:r>
      <w:r w:rsidR="008C495E">
        <w:rPr>
          <w:rFonts w:ascii="宋体" w:eastAsia="宋体" w:hAnsi="宋体"/>
          <w:b/>
        </w:rPr>
        <w:t>3</w:t>
      </w:r>
      <w:r>
        <w:rPr>
          <w:rFonts w:ascii="宋体" w:eastAsia="宋体" w:hAnsi="宋体" w:hint="eastAsia"/>
          <w:b/>
        </w:rPr>
        <w:t>收盘价</w:t>
      </w:r>
    </w:p>
    <w:p w14:paraId="7F81A8FC" w14:textId="4A8D803A" w:rsidR="00CA7296" w:rsidRDefault="00A234E0" w:rsidP="00CA7296">
      <w:pPr>
        <w:spacing w:line="360" w:lineRule="auto"/>
        <w:jc w:val="center"/>
        <w:rPr>
          <w:rFonts w:ascii="宋体" w:hAnsi="宋体"/>
          <w:sz w:val="18"/>
          <w:szCs w:val="18"/>
        </w:rPr>
      </w:pPr>
      <w:r>
        <w:rPr>
          <w:noProof/>
        </w:rPr>
        <w:drawing>
          <wp:inline distT="0" distB="0" distL="0" distR="0" wp14:anchorId="317D0571" wp14:editId="5B847EE0">
            <wp:extent cx="4869712" cy="2542583"/>
            <wp:effectExtent l="0" t="0" r="762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85339" cy="2550742"/>
                    </a:xfrm>
                    <a:prstGeom prst="rect">
                      <a:avLst/>
                    </a:prstGeom>
                  </pic:spPr>
                </pic:pic>
              </a:graphicData>
            </a:graphic>
          </wp:inline>
        </w:drawing>
      </w:r>
    </w:p>
    <w:p w14:paraId="2C3CB845"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3075F81F"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3</w:t>
      </w:r>
      <w:r>
        <w:rPr>
          <w:rFonts w:ascii="宋体" w:eastAsia="宋体" w:hAnsi="宋体"/>
          <w:b/>
        </w:rPr>
        <w:fldChar w:fldCharType="end"/>
      </w:r>
      <w:r>
        <w:rPr>
          <w:rFonts w:ascii="宋体" w:eastAsia="宋体" w:hAnsi="宋体"/>
          <w:b/>
        </w:rPr>
        <w:t xml:space="preserve"> </w:t>
      </w:r>
      <w:r>
        <w:rPr>
          <w:rFonts w:ascii="宋体" w:eastAsia="宋体" w:hAnsi="宋体" w:hint="eastAsia"/>
          <w:b/>
        </w:rPr>
        <w:t>港交所美元兑人民币期货</w:t>
      </w:r>
      <w:r>
        <w:rPr>
          <w:rFonts w:ascii="宋体" w:eastAsia="宋体" w:hAnsi="宋体"/>
          <w:b/>
        </w:rPr>
        <w:t>CUSF</w:t>
      </w:r>
      <w:r>
        <w:rPr>
          <w:rFonts w:ascii="宋体" w:eastAsia="宋体" w:hAnsi="宋体" w:hint="eastAsia"/>
          <w:b/>
        </w:rPr>
        <w:t>涨跌幅（%）</w:t>
      </w:r>
    </w:p>
    <w:p w14:paraId="38BC9AEC" w14:textId="4D84F15E" w:rsidR="00CA7296" w:rsidRDefault="00FA6D95" w:rsidP="00CA7296">
      <w:pPr>
        <w:spacing w:line="360" w:lineRule="auto"/>
        <w:jc w:val="center"/>
        <w:rPr>
          <w:rFonts w:ascii="宋体" w:hAnsi="宋体"/>
          <w:sz w:val="18"/>
          <w:szCs w:val="18"/>
        </w:rPr>
      </w:pPr>
      <w:r>
        <w:rPr>
          <w:noProof/>
        </w:rPr>
        <w:drawing>
          <wp:inline distT="0" distB="0" distL="0" distR="0" wp14:anchorId="002C7F17" wp14:editId="7CDAF565">
            <wp:extent cx="3912235" cy="2009553"/>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32210" cy="2019813"/>
                    </a:xfrm>
                    <a:prstGeom prst="rect">
                      <a:avLst/>
                    </a:prstGeom>
                  </pic:spPr>
                </pic:pic>
              </a:graphicData>
            </a:graphic>
          </wp:inline>
        </w:drawing>
      </w:r>
    </w:p>
    <w:p w14:paraId="36902B86"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53E27AB6" w14:textId="61A3C83D" w:rsidR="00CA7296" w:rsidRDefault="00CA7296" w:rsidP="00CA7296">
      <w:pPr>
        <w:pStyle w:val="a3"/>
        <w:keepNext/>
        <w:jc w:val="left"/>
        <w:rPr>
          <w:rFonts w:ascii="宋体" w:eastAsia="宋体" w:hAnsi="宋体"/>
          <w:b/>
        </w:rPr>
      </w:pPr>
      <w:r>
        <w:rPr>
          <w:rFonts w:ascii="宋体" w:eastAsia="宋体" w:hAnsi="宋体"/>
          <w:b/>
        </w:rPr>
        <w:lastRenderedPageBreak/>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4</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sidR="008C495E">
        <w:rPr>
          <w:rFonts w:ascii="宋体" w:eastAsia="宋体" w:hAnsi="宋体"/>
          <w:b/>
        </w:rPr>
        <w:t>H</w:t>
      </w:r>
      <w:r>
        <w:rPr>
          <w:rFonts w:ascii="宋体" w:eastAsia="宋体" w:hAnsi="宋体"/>
          <w:b/>
        </w:rPr>
        <w:t>2</w:t>
      </w:r>
      <w:r>
        <w:rPr>
          <w:rFonts w:ascii="宋体" w:eastAsia="宋体" w:hAnsi="宋体" w:hint="eastAsia"/>
          <w:b/>
        </w:rPr>
        <w:t>5收盘价</w:t>
      </w:r>
    </w:p>
    <w:p w14:paraId="328A7973" w14:textId="2D9F0608" w:rsidR="00CA7296" w:rsidRDefault="00A234E0" w:rsidP="00CA7296">
      <w:pPr>
        <w:jc w:val="center"/>
      </w:pPr>
      <w:r>
        <w:rPr>
          <w:noProof/>
        </w:rPr>
        <w:drawing>
          <wp:inline distT="0" distB="0" distL="0" distR="0" wp14:anchorId="48B72551" wp14:editId="083DA73D">
            <wp:extent cx="4539270" cy="2349796"/>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54506" cy="2357683"/>
                    </a:xfrm>
                    <a:prstGeom prst="rect">
                      <a:avLst/>
                    </a:prstGeom>
                  </pic:spPr>
                </pic:pic>
              </a:graphicData>
            </a:graphic>
          </wp:inline>
        </w:drawing>
      </w:r>
    </w:p>
    <w:p w14:paraId="056208BF"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1CF6444E"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5</w:t>
      </w:r>
      <w:r>
        <w:rPr>
          <w:rFonts w:ascii="宋体" w:eastAsia="宋体" w:hAnsi="宋体"/>
          <w:b/>
        </w:rPr>
        <w:fldChar w:fldCharType="end"/>
      </w:r>
      <w:r>
        <w:rPr>
          <w:rFonts w:ascii="宋体" w:eastAsia="宋体" w:hAnsi="宋体"/>
          <w:b/>
        </w:rPr>
        <w:t xml:space="preserve"> </w:t>
      </w:r>
      <w:r>
        <w:rPr>
          <w:rFonts w:ascii="宋体" w:eastAsia="宋体" w:hAnsi="宋体" w:hint="eastAsia"/>
          <w:b/>
        </w:rPr>
        <w:t>新交所美元兑人民币期货</w:t>
      </w:r>
      <w:r>
        <w:rPr>
          <w:rFonts w:ascii="宋体" w:eastAsia="宋体" w:hAnsi="宋体"/>
          <w:b/>
        </w:rPr>
        <w:t>UC</w:t>
      </w:r>
      <w:r>
        <w:rPr>
          <w:rFonts w:ascii="宋体" w:eastAsia="宋体" w:hAnsi="宋体" w:hint="eastAsia"/>
          <w:b/>
        </w:rPr>
        <w:t>涨跌幅（%）</w:t>
      </w:r>
    </w:p>
    <w:p w14:paraId="2EA731AA" w14:textId="5E1D1DDD" w:rsidR="00CA7296" w:rsidRDefault="00FA6D95" w:rsidP="00CA7296">
      <w:pPr>
        <w:jc w:val="center"/>
      </w:pPr>
      <w:r>
        <w:rPr>
          <w:noProof/>
        </w:rPr>
        <w:drawing>
          <wp:inline distT="0" distB="0" distL="0" distR="0" wp14:anchorId="1E0F9AC1" wp14:editId="4EA1645E">
            <wp:extent cx="3551274" cy="2130764"/>
            <wp:effectExtent l="0" t="0" r="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66043" cy="2139625"/>
                    </a:xfrm>
                    <a:prstGeom prst="rect">
                      <a:avLst/>
                    </a:prstGeom>
                  </pic:spPr>
                </pic:pic>
              </a:graphicData>
            </a:graphic>
          </wp:inline>
        </w:drawing>
      </w:r>
    </w:p>
    <w:p w14:paraId="5F290B9E" w14:textId="77777777"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p>
    <w:p w14:paraId="44AF8377" w14:textId="77777777" w:rsidR="00CA7296" w:rsidRDefault="00CA7296" w:rsidP="00CA7296">
      <w:pPr>
        <w:pStyle w:val="a3"/>
        <w:keepNext/>
        <w:jc w:val="left"/>
        <w:rPr>
          <w:rFonts w:ascii="宋体" w:eastAsia="宋体" w:hAnsi="宋体"/>
          <w:b/>
        </w:rPr>
      </w:pPr>
      <w:r>
        <w:rPr>
          <w:rFonts w:ascii="宋体" w:eastAsia="宋体" w:hAnsi="宋体"/>
          <w:b/>
        </w:rPr>
        <w:t xml:space="preserve">图表 </w:t>
      </w:r>
      <w:r>
        <w:rPr>
          <w:rFonts w:ascii="宋体" w:eastAsia="宋体" w:hAnsi="宋体"/>
          <w:b/>
        </w:rPr>
        <w:fldChar w:fldCharType="begin"/>
      </w:r>
      <w:r>
        <w:rPr>
          <w:rFonts w:ascii="宋体" w:eastAsia="宋体" w:hAnsi="宋体"/>
          <w:b/>
        </w:rPr>
        <w:instrText xml:space="preserve"> SEQ 图表 \* ARABIC </w:instrText>
      </w:r>
      <w:r>
        <w:rPr>
          <w:rFonts w:ascii="宋体" w:eastAsia="宋体" w:hAnsi="宋体"/>
          <w:b/>
        </w:rPr>
        <w:fldChar w:fldCharType="separate"/>
      </w:r>
      <w:r>
        <w:rPr>
          <w:rFonts w:ascii="宋体" w:eastAsia="宋体" w:hAnsi="宋体"/>
          <w:b/>
        </w:rPr>
        <w:t>6</w:t>
      </w:r>
      <w:r>
        <w:rPr>
          <w:rFonts w:ascii="宋体" w:eastAsia="宋体" w:hAnsi="宋体"/>
          <w:b/>
        </w:rPr>
        <w:fldChar w:fldCharType="end"/>
      </w:r>
      <w:r>
        <w:rPr>
          <w:rFonts w:ascii="宋体" w:eastAsia="宋体" w:hAnsi="宋体"/>
          <w:b/>
        </w:rPr>
        <w:t xml:space="preserve"> </w:t>
      </w:r>
      <w:r>
        <w:rPr>
          <w:rFonts w:ascii="宋体" w:eastAsia="宋体" w:hAnsi="宋体" w:hint="eastAsia"/>
          <w:b/>
        </w:rPr>
        <w:t>在岸、离岸人民币及价差</w:t>
      </w:r>
    </w:p>
    <w:p w14:paraId="1C53489F" w14:textId="1D9571D5" w:rsidR="00CA7296" w:rsidRDefault="00FA6D95" w:rsidP="00CA7296">
      <w:pPr>
        <w:spacing w:beforeLines="50" w:before="156" w:line="312" w:lineRule="auto"/>
        <w:jc w:val="center"/>
        <w:rPr>
          <w:rFonts w:ascii="微软雅黑" w:eastAsia="微软雅黑" w:hAnsi="微软雅黑"/>
          <w:b/>
          <w:bCs/>
          <w:sz w:val="28"/>
          <w:szCs w:val="28"/>
        </w:rPr>
      </w:pPr>
      <w:r>
        <w:rPr>
          <w:noProof/>
        </w:rPr>
        <w:drawing>
          <wp:inline distT="0" distB="0" distL="0" distR="0" wp14:anchorId="093CCA81" wp14:editId="2C9BD1D1">
            <wp:extent cx="4582160" cy="2456121"/>
            <wp:effectExtent l="0" t="0" r="0"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98342" cy="2464795"/>
                    </a:xfrm>
                    <a:prstGeom prst="rect">
                      <a:avLst/>
                    </a:prstGeom>
                  </pic:spPr>
                </pic:pic>
              </a:graphicData>
            </a:graphic>
          </wp:inline>
        </w:drawing>
      </w:r>
    </w:p>
    <w:p w14:paraId="4215ADD0" w14:textId="3B792B12" w:rsidR="00CA7296" w:rsidRDefault="00CA7296" w:rsidP="00CA7296">
      <w:pPr>
        <w:spacing w:line="360" w:lineRule="auto"/>
        <w:rPr>
          <w:rFonts w:ascii="宋体" w:hAnsi="宋体"/>
          <w:sz w:val="18"/>
          <w:szCs w:val="18"/>
        </w:rPr>
      </w:pPr>
      <w:r>
        <w:rPr>
          <w:rFonts w:ascii="宋体" w:hAnsi="宋体" w:hint="eastAsia"/>
          <w:sz w:val="18"/>
          <w:szCs w:val="18"/>
        </w:rPr>
        <w:t>资料来源：Wind，瑞达国际</w:t>
      </w:r>
      <w:r w:rsidR="008C55B1">
        <w:rPr>
          <w:rFonts w:ascii="宋体" w:hAnsi="宋体"/>
          <w:sz w:val="18"/>
          <w:szCs w:val="18"/>
        </w:rPr>
        <w:tab/>
      </w:r>
    </w:p>
    <w:p w14:paraId="54B9EB4A" w14:textId="77777777" w:rsidR="00CA7296" w:rsidRDefault="00CA7296" w:rsidP="00CA7296">
      <w:pPr>
        <w:numPr>
          <w:ilvl w:val="0"/>
          <w:numId w:val="1"/>
        </w:numPr>
        <w:spacing w:beforeLines="50" w:before="156" w:line="312" w:lineRule="auto"/>
        <w:rPr>
          <w:rFonts w:ascii="微软雅黑" w:eastAsia="微软雅黑" w:hAnsi="微软雅黑"/>
          <w:b/>
          <w:bCs/>
          <w:sz w:val="28"/>
          <w:szCs w:val="28"/>
        </w:rPr>
      </w:pPr>
      <w:r>
        <w:rPr>
          <w:rFonts w:ascii="微软雅黑" w:eastAsia="微软雅黑" w:hAnsi="微软雅黑" w:hint="eastAsia"/>
          <w:b/>
          <w:bCs/>
          <w:sz w:val="28"/>
          <w:szCs w:val="28"/>
        </w:rPr>
        <w:lastRenderedPageBreak/>
        <w:t>后市展望</w:t>
      </w:r>
    </w:p>
    <w:p w14:paraId="6BBC184F" w14:textId="34E5AC90" w:rsidR="004445D6" w:rsidRDefault="009D18C0" w:rsidP="00CA7296">
      <w:pPr>
        <w:spacing w:line="312" w:lineRule="auto"/>
        <w:ind w:firstLine="420"/>
        <w:rPr>
          <w:rFonts w:ascii="宋体" w:hAnsi="宋体" w:cs="宋体"/>
        </w:rPr>
      </w:pPr>
      <w:bookmarkStart w:id="0" w:name="_GoBack"/>
      <w:r w:rsidRPr="00E1539A">
        <w:rPr>
          <w:rFonts w:ascii="宋体" w:hAnsi="宋体" w:cs="宋体"/>
        </w:rPr>
        <w:t>最新</w:t>
      </w:r>
      <w:r>
        <w:rPr>
          <w:rFonts w:ascii="宋体" w:hAnsi="宋体" w:cs="宋体" w:hint="eastAsia"/>
        </w:rPr>
        <w:t>美联储政策会议纪要显示，</w:t>
      </w:r>
      <w:r w:rsidRPr="00BB5FEC">
        <w:rPr>
          <w:rFonts w:ascii="宋体" w:hAnsi="宋体" w:cs="宋体"/>
        </w:rPr>
        <w:t>特朗普总统的政策提案以及地缘政治风险可能推高通胀，而企业普遍表示将通过提价转嫁进口关税成本。这一不确定性使得美联储在短期内降息的可能性降低。</w:t>
      </w:r>
      <w:r w:rsidRPr="00E1539A">
        <w:rPr>
          <w:rFonts w:ascii="宋体" w:hAnsi="宋体" w:cs="宋体"/>
        </w:rPr>
        <w:t>据CME FedWatch工具显示，</w:t>
      </w:r>
      <w:r w:rsidRPr="00915609">
        <w:rPr>
          <w:rFonts w:ascii="宋体" w:hAnsi="宋体" w:cs="宋体"/>
        </w:rPr>
        <w:t>美联储在3月降息的概率仅为2.5%，5月为13.2%，6月升至22.8%，7月41.2%，而9月的降息可能性为55.9%。</w:t>
      </w:r>
      <w:r w:rsidRPr="00B60FEE">
        <w:rPr>
          <w:rFonts w:ascii="宋体" w:hAnsi="宋体" w:cs="宋体"/>
        </w:rPr>
        <w:t>特朗普周</w:t>
      </w:r>
      <w:r>
        <w:rPr>
          <w:rFonts w:ascii="宋体" w:hAnsi="宋体" w:cs="宋体" w:hint="eastAsia"/>
        </w:rPr>
        <w:t>一</w:t>
      </w:r>
      <w:r w:rsidRPr="00B60FEE">
        <w:rPr>
          <w:rFonts w:ascii="宋体" w:hAnsi="宋体" w:cs="宋体"/>
        </w:rPr>
        <w:t>表示，</w:t>
      </w:r>
      <w:r w:rsidRPr="003B5502">
        <w:rPr>
          <w:rFonts w:ascii="宋体" w:hAnsi="宋体" w:cs="宋体"/>
          <w:szCs w:val="22"/>
        </w:rPr>
        <w:t>对墨西哥和加拿大加征关税的计划将“如期推进”</w:t>
      </w:r>
      <w:r w:rsidRPr="003B5502">
        <w:rPr>
          <w:rFonts w:ascii="宋体" w:hAnsi="宋体" w:cs="宋体" w:hint="eastAsia"/>
          <w:szCs w:val="22"/>
        </w:rPr>
        <w:t>，</w:t>
      </w:r>
      <w:r>
        <w:rPr>
          <w:rFonts w:ascii="宋体" w:hAnsi="宋体" w:cs="宋体" w:hint="eastAsia"/>
        </w:rPr>
        <w:t>关税不确定性</w:t>
      </w:r>
      <w:r w:rsidRPr="002046FA">
        <w:rPr>
          <w:rFonts w:ascii="宋体" w:hAnsi="宋体" w:cs="宋体" w:hint="eastAsia"/>
        </w:rPr>
        <w:t>进一步推动</w:t>
      </w:r>
      <w:r w:rsidRPr="00E1539A">
        <w:rPr>
          <w:rFonts w:ascii="宋体" w:hAnsi="宋体" w:cs="宋体"/>
        </w:rPr>
        <w:t>各类避险资产</w:t>
      </w:r>
      <w:r>
        <w:rPr>
          <w:rFonts w:ascii="宋体" w:hAnsi="宋体" w:cs="宋体" w:hint="eastAsia"/>
        </w:rPr>
        <w:t>价格。</w:t>
      </w:r>
    </w:p>
    <w:p w14:paraId="41B37BB3" w14:textId="741558EF" w:rsidR="0087172E" w:rsidRDefault="00CA1C69" w:rsidP="0079373C">
      <w:pPr>
        <w:spacing w:line="312" w:lineRule="auto"/>
        <w:ind w:firstLine="420"/>
        <w:rPr>
          <w:rFonts w:ascii="宋体" w:hAnsi="宋体" w:cs="宋体"/>
        </w:rPr>
      </w:pPr>
      <w:r>
        <w:rPr>
          <w:rFonts w:ascii="宋体" w:hAnsi="宋体" w:cs="宋体" w:hint="eastAsia"/>
        </w:rPr>
        <w:t>国内方面，</w:t>
      </w:r>
      <w:r w:rsidR="009D18C0" w:rsidRPr="00E1539A">
        <w:rPr>
          <w:rFonts w:ascii="宋体" w:hAnsi="宋体" w:cs="宋体"/>
        </w:rPr>
        <w:t>促消费政策叠加节假日效应，零售、餐饮消费显著增长，从而带动我国1月份CPI环比由上月持平转为上涨0.7%，居民消费能力得到改善。</w:t>
      </w:r>
      <w:r w:rsidR="00BF4F9A" w:rsidRPr="00E1539A">
        <w:rPr>
          <w:rFonts w:ascii="宋体" w:hAnsi="宋体" w:cs="宋体"/>
        </w:rPr>
        <w:t>总的来看，在节假日效应、促消费政策支持下，旅游、电影、零售餐饮、家居家</w:t>
      </w:r>
      <w:r w:rsidR="00BF4F9A">
        <w:rPr>
          <w:rFonts w:ascii="宋体" w:hAnsi="宋体" w:cs="宋体"/>
        </w:rPr>
        <w:t>电等消费均有不错表现，内需稳步复苏</w:t>
      </w:r>
      <w:r w:rsidR="003070DC">
        <w:rPr>
          <w:rFonts w:ascii="宋体" w:hAnsi="宋体" w:cs="宋体" w:hint="eastAsia"/>
        </w:rPr>
        <w:t>。此外，2</w:t>
      </w:r>
      <w:r w:rsidR="003070DC">
        <w:rPr>
          <w:rFonts w:ascii="宋体" w:hAnsi="宋体" w:cs="宋体"/>
        </w:rPr>
        <w:t>024</w:t>
      </w:r>
      <w:r w:rsidR="003070DC">
        <w:rPr>
          <w:rFonts w:ascii="宋体" w:hAnsi="宋体" w:cs="宋体" w:hint="eastAsia"/>
        </w:rPr>
        <w:t>年央行四季度货币执行报告表示，</w:t>
      </w:r>
      <w:r w:rsidR="000649D8" w:rsidRPr="000649D8">
        <w:rPr>
          <w:rFonts w:ascii="宋体" w:hAnsi="宋体" w:cs="宋体"/>
        </w:rPr>
        <w:t>下一阶段</w:t>
      </w:r>
      <w:r w:rsidR="000649D8" w:rsidRPr="000649D8">
        <w:rPr>
          <w:rFonts w:ascii="宋体" w:hAnsi="宋体" w:cs="宋体" w:hint="eastAsia"/>
        </w:rPr>
        <w:t>将</w:t>
      </w:r>
      <w:r w:rsidR="000649D8" w:rsidRPr="000649D8">
        <w:rPr>
          <w:rFonts w:ascii="宋体" w:hAnsi="宋体" w:cs="宋体"/>
        </w:rPr>
        <w:t>实施好</w:t>
      </w:r>
      <w:r w:rsidR="000649D8" w:rsidRPr="000649D8">
        <w:rPr>
          <w:rFonts w:ascii="宋体" w:hAnsi="宋体" w:cs="宋体" w:hint="eastAsia"/>
        </w:rPr>
        <w:t>“</w:t>
      </w:r>
      <w:r w:rsidR="000649D8" w:rsidRPr="000649D8">
        <w:rPr>
          <w:rFonts w:ascii="宋体" w:hAnsi="宋体" w:cs="宋体"/>
        </w:rPr>
        <w:t>适度宽松</w:t>
      </w:r>
      <w:r w:rsidR="000649D8" w:rsidRPr="000649D8">
        <w:rPr>
          <w:rFonts w:ascii="宋体" w:hAnsi="宋体" w:cs="宋体" w:hint="eastAsia"/>
        </w:rPr>
        <w:t>”</w:t>
      </w:r>
      <w:r w:rsidR="000649D8" w:rsidRPr="000649D8">
        <w:rPr>
          <w:rFonts w:ascii="宋体" w:hAnsi="宋体" w:cs="宋体"/>
        </w:rPr>
        <w:t>的货币政策</w:t>
      </w:r>
      <w:r w:rsidR="000649D8" w:rsidRPr="000649D8">
        <w:rPr>
          <w:rFonts w:ascii="宋体" w:hAnsi="宋体" w:cs="宋体" w:hint="eastAsia"/>
        </w:rPr>
        <w:t>，</w:t>
      </w:r>
      <w:r w:rsidR="000649D8" w:rsidRPr="000649D8">
        <w:rPr>
          <w:rFonts w:ascii="宋体" w:hAnsi="宋体" w:cs="宋体" w:hint="eastAsia"/>
        </w:rPr>
        <w:t>同时</w:t>
      </w:r>
      <w:r w:rsidR="000649D8">
        <w:rPr>
          <w:rFonts w:ascii="宋体" w:hAnsi="宋体" w:cs="宋体" w:hint="eastAsia"/>
        </w:rPr>
        <w:t>要</w:t>
      </w:r>
      <w:r w:rsidR="000649D8" w:rsidRPr="000649D8">
        <w:rPr>
          <w:rFonts w:ascii="宋体" w:hAnsi="宋体" w:cs="宋体" w:hint="eastAsia"/>
        </w:rPr>
        <w:t>“增强外汇市场韧性，稳定市场预期，加强市场管理，坚决对市场顺周期行为进行纠偏，坚决对扰乱市场秩序行为进行处置，坚决防范汇率超调风险”</w:t>
      </w:r>
      <w:r w:rsidR="000649D8">
        <w:rPr>
          <w:rFonts w:ascii="宋体" w:hAnsi="宋体" w:cs="宋体" w:hint="eastAsia"/>
        </w:rPr>
        <w:t>，</w:t>
      </w:r>
      <w:r w:rsidR="000649D8" w:rsidRPr="000649D8">
        <w:rPr>
          <w:rFonts w:ascii="宋体" w:hAnsi="宋体" w:cs="宋体"/>
        </w:rPr>
        <w:t>体现出当前稳汇率的决心</w:t>
      </w:r>
      <w:r w:rsidR="00BF4F9A">
        <w:rPr>
          <w:rFonts w:ascii="宋体" w:hAnsi="宋体" w:cs="宋体"/>
        </w:rPr>
        <w:t>。</w:t>
      </w:r>
      <w:r w:rsidRPr="00E1539A">
        <w:rPr>
          <w:rFonts w:ascii="宋体" w:hAnsi="宋体" w:cs="宋体"/>
        </w:rPr>
        <w:t>但在</w:t>
      </w:r>
      <w:r w:rsidR="003070DC">
        <w:rPr>
          <w:rFonts w:ascii="宋体" w:hAnsi="宋体" w:cs="宋体" w:hint="eastAsia"/>
        </w:rPr>
        <w:t>特朗普</w:t>
      </w:r>
      <w:r w:rsidRPr="00E1539A">
        <w:rPr>
          <w:rFonts w:ascii="宋体" w:hAnsi="宋体" w:cs="宋体"/>
        </w:rPr>
        <w:t>加征关税影响下，</w:t>
      </w:r>
      <w:r w:rsidR="003070DC">
        <w:rPr>
          <w:rFonts w:ascii="宋体" w:hAnsi="宋体" w:cs="宋体" w:hint="eastAsia"/>
        </w:rPr>
        <w:t>全球贸易端料承压</w:t>
      </w:r>
      <w:r w:rsidRPr="00E1539A">
        <w:rPr>
          <w:rFonts w:ascii="宋体" w:hAnsi="宋体" w:cs="宋体"/>
        </w:rPr>
        <w:t>，</w:t>
      </w:r>
      <w:r>
        <w:rPr>
          <w:rFonts w:ascii="宋体" w:hAnsi="宋体" w:cs="宋体" w:hint="eastAsia"/>
        </w:rPr>
        <w:t>短期内</w:t>
      </w:r>
      <w:r w:rsidRPr="00E1539A">
        <w:rPr>
          <w:rFonts w:ascii="宋体" w:hAnsi="宋体" w:cs="宋体"/>
        </w:rPr>
        <w:t>人民币</w:t>
      </w:r>
      <w:r w:rsidR="003070DC">
        <w:rPr>
          <w:rFonts w:ascii="宋体" w:hAnsi="宋体" w:cs="宋体" w:hint="eastAsia"/>
        </w:rPr>
        <w:t>料</w:t>
      </w:r>
      <w:r w:rsidRPr="00E1539A">
        <w:rPr>
          <w:rFonts w:ascii="宋体" w:hAnsi="宋体" w:cs="宋体"/>
        </w:rPr>
        <w:t>震荡</w:t>
      </w:r>
      <w:r w:rsidR="003070DC">
        <w:rPr>
          <w:rFonts w:ascii="宋体" w:hAnsi="宋体" w:cs="宋体" w:hint="eastAsia"/>
        </w:rPr>
        <w:t>为主</w:t>
      </w:r>
      <w:r w:rsidRPr="00E1539A">
        <w:rPr>
          <w:rFonts w:ascii="宋体" w:hAnsi="宋体" w:cs="宋体"/>
        </w:rPr>
        <w:t>。需进一步跟踪关税政策动态</w:t>
      </w:r>
      <w:r w:rsidR="00127060" w:rsidRPr="00A92E8E">
        <w:rPr>
          <w:rFonts w:ascii="宋体" w:hAnsi="宋体" w:cs="宋体" w:hint="eastAsia"/>
        </w:rPr>
        <w:t>，预计美元人民币</w:t>
      </w:r>
      <w:r w:rsidR="00055C18">
        <w:rPr>
          <w:rFonts w:ascii="宋体" w:hAnsi="宋体" w:cs="宋体" w:hint="eastAsia"/>
        </w:rPr>
        <w:t>于7</w:t>
      </w:r>
      <w:r w:rsidR="00055C18">
        <w:rPr>
          <w:rFonts w:ascii="宋体" w:hAnsi="宋体" w:cs="宋体"/>
        </w:rPr>
        <w:t>.</w:t>
      </w:r>
      <w:r w:rsidR="003070DC">
        <w:rPr>
          <w:rFonts w:ascii="宋体" w:hAnsi="宋体" w:cs="宋体"/>
        </w:rPr>
        <w:t>25</w:t>
      </w:r>
      <w:r w:rsidR="00AD25D1">
        <w:rPr>
          <w:rFonts w:ascii="宋体" w:hAnsi="宋体" w:cs="宋体"/>
        </w:rPr>
        <w:t>-7.3</w:t>
      </w:r>
      <w:r w:rsidR="003070DC">
        <w:rPr>
          <w:rFonts w:ascii="宋体" w:hAnsi="宋体" w:cs="宋体"/>
        </w:rPr>
        <w:t>0</w:t>
      </w:r>
      <w:r w:rsidR="00AD25D1">
        <w:rPr>
          <w:rFonts w:ascii="宋体" w:hAnsi="宋体" w:cs="宋体" w:hint="eastAsia"/>
        </w:rPr>
        <w:t>区间内</w:t>
      </w:r>
      <w:r w:rsidR="00127060" w:rsidRPr="00A92E8E">
        <w:rPr>
          <w:rFonts w:ascii="宋体" w:hAnsi="宋体" w:cs="宋体" w:hint="eastAsia"/>
        </w:rPr>
        <w:t>波动。</w:t>
      </w:r>
    </w:p>
    <w:bookmarkEnd w:id="0"/>
    <w:p w14:paraId="455C826C" w14:textId="77777777" w:rsidR="00BF7D0E" w:rsidRDefault="00BF7D0E">
      <w:pPr>
        <w:widowControl/>
        <w:jc w:val="left"/>
        <w:rPr>
          <w:rFonts w:ascii="宋体" w:hAnsi="宋体" w:cs="宋体"/>
        </w:rPr>
      </w:pPr>
      <w:r>
        <w:rPr>
          <w:rFonts w:ascii="宋体" w:hAnsi="宋体" w:cs="宋体"/>
        </w:rPr>
        <w:br w:type="page"/>
      </w:r>
    </w:p>
    <w:p w14:paraId="0DF1DEA0" w14:textId="3E14F735" w:rsidR="0087172E" w:rsidRDefault="00BB7F54">
      <w:pPr>
        <w:spacing w:before="172" w:line="417" w:lineRule="exact"/>
        <w:rPr>
          <w:rFonts w:ascii="微软雅黑" w:eastAsia="微软雅黑" w:hAnsi="微软雅黑" w:cs="微软雅黑"/>
          <w:sz w:val="20"/>
        </w:rPr>
      </w:pPr>
      <w:r>
        <w:rPr>
          <w:rFonts w:ascii="微软雅黑" w:eastAsia="微软雅黑" w:hAnsi="微软雅黑" w:cs="微软雅黑"/>
          <w:b/>
          <w:bCs/>
          <w:color w:val="036EB8"/>
          <w:spacing w:val="19"/>
          <w:sz w:val="28"/>
          <w:szCs w:val="28"/>
        </w:rPr>
        <w:lastRenderedPageBreak/>
        <w:t xml:space="preserve"> </w:t>
      </w:r>
      <w:r>
        <w:rPr>
          <w:rFonts w:ascii="微软雅黑" w:eastAsia="微软雅黑" w:hAnsi="微软雅黑" w:cs="微软雅黑"/>
          <w:color w:val="CE393F"/>
          <w:spacing w:val="8"/>
          <w:position w:val="2"/>
          <w:sz w:val="40"/>
          <w:szCs w:val="40"/>
        </w:rPr>
        <w:t>△</w:t>
      </w:r>
      <w:r>
        <w:rPr>
          <w:rFonts w:ascii="微软雅黑" w:eastAsia="微软雅黑" w:hAnsi="微软雅黑" w:cs="微软雅黑"/>
          <w:color w:val="CE393F"/>
          <w:spacing w:val="-38"/>
          <w:position w:val="2"/>
          <w:sz w:val="40"/>
          <w:szCs w:val="40"/>
        </w:rPr>
        <w:t xml:space="preserve"> </w:t>
      </w:r>
      <w:r>
        <w:rPr>
          <w:rFonts w:ascii="微软雅黑" w:eastAsia="微软雅黑" w:hAnsi="微软雅黑" w:cs="微软雅黑"/>
          <w:spacing w:val="8"/>
          <w:position w:val="2"/>
          <w:sz w:val="20"/>
        </w:rPr>
        <w:t>免责声明</w:t>
      </w:r>
    </w:p>
    <w:p w14:paraId="12F65015" w14:textId="77777777" w:rsidR="0087172E" w:rsidRDefault="00BB7F54">
      <w:pPr>
        <w:spacing w:before="63" w:line="193" w:lineRule="auto"/>
        <w:ind w:left="340" w:right="706" w:firstLine="379"/>
        <w:rPr>
          <w:rFonts w:ascii="微软雅黑" w:eastAsia="微软雅黑" w:hAnsi="微软雅黑" w:cs="微软雅黑"/>
          <w:color w:val="898989"/>
          <w:spacing w:val="-8"/>
          <w:sz w:val="18"/>
          <w:szCs w:val="18"/>
        </w:rPr>
      </w:pPr>
      <w:r>
        <w:rPr>
          <w:rFonts w:ascii="微软雅黑" w:eastAsia="微软雅黑" w:hAnsi="微软雅黑" w:cs="微软雅黑"/>
          <w:color w:val="898989"/>
          <w:spacing w:val="3"/>
          <w:sz w:val="18"/>
          <w:szCs w:val="18"/>
        </w:rPr>
        <w:t>此报告由瑞达国际所编制。本报告采用之资料及意见均相信可靠及准确</w:t>
      </w:r>
      <w:r>
        <w:rPr>
          <w:rFonts w:ascii="微软雅黑" w:eastAsia="微软雅黑" w:hAnsi="微软雅黑" w:cs="微软雅黑"/>
          <w:color w:val="898989"/>
          <w:spacing w:val="2"/>
          <w:sz w:val="18"/>
          <w:szCs w:val="18"/>
        </w:rPr>
        <w:t>，但本公司并不对各分析或有关资料之可</w:t>
      </w:r>
      <w:r>
        <w:rPr>
          <w:rFonts w:ascii="微软雅黑" w:eastAsia="微软雅黑" w:hAnsi="微软雅黑" w:cs="微软雅黑"/>
          <w:color w:val="898989"/>
          <w:spacing w:val="3"/>
          <w:sz w:val="18"/>
          <w:szCs w:val="18"/>
        </w:rPr>
        <w:t>靠性及准确性作出全面性保证。本报告只供客户或读者作参考之用，客户或读者不应完全依靠本报告内容作为投</w:t>
      </w:r>
      <w:r>
        <w:rPr>
          <w:rFonts w:ascii="微软雅黑" w:eastAsia="微软雅黑" w:hAnsi="微软雅黑" w:cs="微软雅黑"/>
          <w:color w:val="898989"/>
          <w:spacing w:val="2"/>
          <w:sz w:val="18"/>
          <w:szCs w:val="18"/>
        </w:rPr>
        <w:t>资准</w:t>
      </w:r>
      <w:r>
        <w:rPr>
          <w:rFonts w:ascii="微软雅黑" w:eastAsia="微软雅黑" w:hAnsi="微软雅黑" w:cs="微软雅黑"/>
          <w:color w:val="898989"/>
          <w:spacing w:val="-8"/>
          <w:sz w:val="18"/>
          <w:szCs w:val="18"/>
        </w:rPr>
        <w:t>则。</w:t>
      </w:r>
    </w:p>
    <w:p w14:paraId="0E6AF2B3" w14:textId="77777777" w:rsidR="0087172E" w:rsidRDefault="00BB7F54">
      <w:pPr>
        <w:spacing w:before="63" w:line="193" w:lineRule="auto"/>
        <w:ind w:left="340" w:right="706" w:firstLine="379"/>
      </w:pPr>
      <w:r>
        <w:rPr>
          <w:rFonts w:ascii="微软雅黑" w:eastAsia="微软雅黑" w:hAnsi="微软雅黑" w:cs="微软雅黑"/>
          <w:color w:val="898989"/>
          <w:spacing w:val="3"/>
          <w:sz w:val="18"/>
          <w:szCs w:val="18"/>
        </w:rPr>
        <w:t>本报告之资料及意见如有任何更改，恕不另行通知。本报告并非及并无意图</w:t>
      </w:r>
      <w:r>
        <w:rPr>
          <w:rFonts w:ascii="微软雅黑" w:eastAsia="微软雅黑" w:hAnsi="微软雅黑" w:cs="微软雅黑"/>
          <w:color w:val="898989"/>
          <w:spacing w:val="2"/>
          <w:sz w:val="18"/>
          <w:szCs w:val="18"/>
        </w:rPr>
        <w:t>构成任何作价或招揽进行买卖本报告</w:t>
      </w:r>
      <w:r>
        <w:rPr>
          <w:rFonts w:ascii="微软雅黑" w:eastAsia="微软雅黑" w:hAnsi="微软雅黑" w:cs="微软雅黑"/>
          <w:color w:val="898989"/>
          <w:sz w:val="18"/>
          <w:szCs w:val="18"/>
        </w:rPr>
        <w:t xml:space="preserve"> </w:t>
      </w:r>
      <w:r>
        <w:rPr>
          <w:rFonts w:ascii="微软雅黑" w:eastAsia="微软雅黑" w:hAnsi="微软雅黑" w:cs="微软雅黑"/>
          <w:color w:val="898989"/>
          <w:spacing w:val="2"/>
          <w:sz w:val="18"/>
          <w:szCs w:val="18"/>
        </w:rPr>
        <w:t>提及的商品。本公司不会对任何因依靠本报告作出任何买卖而引致之任何损失承担任</w:t>
      </w:r>
      <w:r>
        <w:rPr>
          <w:rFonts w:ascii="微软雅黑" w:eastAsia="微软雅黑" w:hAnsi="微软雅黑" w:cs="微软雅黑"/>
          <w:color w:val="898989"/>
          <w:spacing w:val="1"/>
          <w:sz w:val="18"/>
          <w:szCs w:val="18"/>
        </w:rPr>
        <w:t>何责任。</w:t>
      </w:r>
    </w:p>
    <w:p w14:paraId="37ED71ED" w14:textId="77777777" w:rsidR="0087172E" w:rsidRDefault="0087172E">
      <w:pPr>
        <w:spacing w:before="34" w:line="569" w:lineRule="exact"/>
        <w:ind w:firstLine="6421"/>
      </w:pPr>
    </w:p>
    <w:p w14:paraId="2B387414" w14:textId="77777777" w:rsidR="0087172E" w:rsidRDefault="0087172E">
      <w:pPr>
        <w:spacing w:before="34" w:line="569" w:lineRule="exact"/>
      </w:pPr>
    </w:p>
    <w:p w14:paraId="2FC9FB15" w14:textId="77777777" w:rsidR="0087172E" w:rsidRDefault="00BB7F54">
      <w:pPr>
        <w:spacing w:line="3052" w:lineRule="exact"/>
        <w:jc w:val="center"/>
      </w:pPr>
      <w:r>
        <w:rPr>
          <w:noProof/>
          <w:position w:val="-61"/>
        </w:rPr>
        <w:drawing>
          <wp:inline distT="0" distB="0" distL="0" distR="0" wp14:anchorId="2C0B5275" wp14:editId="49672526">
            <wp:extent cx="1936115" cy="1938020"/>
            <wp:effectExtent l="0" t="0" r="6985" b="508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5"/>
                    <a:stretch>
                      <a:fillRect/>
                    </a:stretch>
                  </pic:blipFill>
                  <pic:spPr>
                    <a:xfrm>
                      <a:off x="0" y="0"/>
                      <a:ext cx="1936488" cy="1938179"/>
                    </a:xfrm>
                    <a:prstGeom prst="rect">
                      <a:avLst/>
                    </a:prstGeom>
                  </pic:spPr>
                </pic:pic>
              </a:graphicData>
            </a:graphic>
          </wp:inline>
        </w:drawing>
      </w:r>
    </w:p>
    <w:p w14:paraId="72B229F8" w14:textId="77777777" w:rsidR="0087172E" w:rsidRDefault="0087172E">
      <w:pPr>
        <w:pStyle w:val="a4"/>
        <w:spacing w:line="371" w:lineRule="auto"/>
        <w:jc w:val="center"/>
      </w:pPr>
    </w:p>
    <w:p w14:paraId="38010B07" w14:textId="77777777" w:rsidR="0087172E" w:rsidRDefault="00BB7F54">
      <w:pPr>
        <w:spacing w:before="103" w:line="191" w:lineRule="auto"/>
        <w:jc w:val="center"/>
        <w:rPr>
          <w:rFonts w:ascii="微软雅黑" w:eastAsia="微软雅黑" w:hAnsi="微软雅黑" w:cs="微软雅黑"/>
          <w:sz w:val="24"/>
          <w:szCs w:val="24"/>
        </w:rPr>
      </w:pPr>
      <w:r>
        <w:rPr>
          <w:rFonts w:ascii="微软雅黑" w:eastAsia="微软雅黑" w:hAnsi="微软雅黑" w:cs="微软雅黑"/>
          <w:spacing w:val="7"/>
          <w:sz w:val="24"/>
          <w:szCs w:val="24"/>
        </w:rPr>
        <w:t>24小时客服电话： 00852</w:t>
      </w:r>
      <w:r>
        <w:rPr>
          <w:rFonts w:ascii="微软雅黑" w:eastAsia="微软雅黑" w:hAnsi="微软雅黑" w:cs="微软雅黑"/>
          <w:spacing w:val="-33"/>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37"/>
          <w:sz w:val="24"/>
          <w:szCs w:val="24"/>
        </w:rPr>
        <w:t xml:space="preserve"> </w:t>
      </w:r>
      <w:r>
        <w:rPr>
          <w:rFonts w:ascii="微软雅黑" w:eastAsia="微软雅黑" w:hAnsi="微软雅黑" w:cs="微软雅黑"/>
          <w:spacing w:val="7"/>
          <w:sz w:val="24"/>
          <w:szCs w:val="24"/>
        </w:rPr>
        <w:t>25342000/86</w:t>
      </w:r>
      <w:r>
        <w:rPr>
          <w:rFonts w:ascii="微软雅黑" w:eastAsia="微软雅黑" w:hAnsi="微软雅黑" w:cs="微软雅黑"/>
          <w:spacing w:val="-36"/>
          <w:sz w:val="24"/>
          <w:szCs w:val="24"/>
        </w:rPr>
        <w:t xml:space="preserve"> </w:t>
      </w:r>
      <w:r>
        <w:rPr>
          <w:rFonts w:ascii="微软雅黑" w:eastAsia="微软雅黑" w:hAnsi="微软雅黑" w:cs="微软雅黑"/>
          <w:spacing w:val="7"/>
          <w:sz w:val="24"/>
          <w:szCs w:val="24"/>
        </w:rPr>
        <w:t>-</w:t>
      </w:r>
      <w:r>
        <w:rPr>
          <w:rFonts w:ascii="微软雅黑" w:eastAsia="微软雅黑" w:hAnsi="微软雅黑" w:cs="微软雅黑"/>
          <w:spacing w:val="-26"/>
          <w:sz w:val="24"/>
          <w:szCs w:val="24"/>
        </w:rPr>
        <w:t xml:space="preserve"> </w:t>
      </w:r>
      <w:r>
        <w:rPr>
          <w:rFonts w:ascii="微软雅黑" w:eastAsia="微软雅黑" w:hAnsi="微软雅黑" w:cs="微软雅黑"/>
          <w:spacing w:val="7"/>
          <w:sz w:val="24"/>
          <w:szCs w:val="24"/>
        </w:rPr>
        <w:t>13603059885</w:t>
      </w:r>
    </w:p>
    <w:p w14:paraId="1B10CFCE" w14:textId="77777777" w:rsidR="0087172E" w:rsidRDefault="00BB7F54">
      <w:pPr>
        <w:spacing w:before="233" w:line="175" w:lineRule="auto"/>
        <w:jc w:val="center"/>
        <w:rPr>
          <w:rFonts w:ascii="微软雅黑" w:eastAsia="微软雅黑" w:hAnsi="微软雅黑" w:cs="微软雅黑"/>
          <w:sz w:val="24"/>
          <w:szCs w:val="24"/>
        </w:rPr>
      </w:pPr>
      <w:r>
        <w:rPr>
          <w:rFonts w:ascii="微软雅黑" w:eastAsia="微软雅黑" w:hAnsi="微软雅黑" w:cs="微软雅黑"/>
          <w:spacing w:val="5"/>
          <w:sz w:val="24"/>
          <w:szCs w:val="24"/>
        </w:rPr>
        <w:t>24小时传真电话： 00852</w:t>
      </w:r>
      <w:r>
        <w:rPr>
          <w:rFonts w:ascii="微软雅黑" w:eastAsia="微软雅黑" w:hAnsi="微软雅黑" w:cs="微软雅黑"/>
          <w:spacing w:val="-32"/>
          <w:sz w:val="24"/>
          <w:szCs w:val="24"/>
        </w:rPr>
        <w:t xml:space="preserve"> </w:t>
      </w:r>
      <w:r>
        <w:rPr>
          <w:rFonts w:ascii="微软雅黑" w:eastAsia="微软雅黑" w:hAnsi="微软雅黑" w:cs="微软雅黑"/>
          <w:spacing w:val="5"/>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pacing w:val="5"/>
          <w:sz w:val="24"/>
          <w:szCs w:val="24"/>
        </w:rPr>
        <w:t>25632368</w:t>
      </w:r>
    </w:p>
    <w:p w14:paraId="6F00D784" w14:textId="77777777" w:rsidR="0087172E" w:rsidRDefault="00BB7F54">
      <w:pPr>
        <w:spacing w:before="258" w:line="190" w:lineRule="auto"/>
        <w:jc w:val="center"/>
        <w:rPr>
          <w:rFonts w:ascii="微软雅黑" w:eastAsia="微软雅黑" w:hAnsi="微软雅黑" w:cs="微软雅黑"/>
          <w:sz w:val="24"/>
          <w:szCs w:val="24"/>
        </w:rPr>
      </w:pPr>
      <w:r>
        <w:rPr>
          <w:rFonts w:ascii="微软雅黑" w:eastAsia="微软雅黑" w:hAnsi="微软雅黑" w:cs="微软雅黑"/>
          <w:spacing w:val="13"/>
          <w:sz w:val="24"/>
          <w:szCs w:val="24"/>
        </w:rPr>
        <w:t xml:space="preserve">客服邮箱： </w:t>
      </w:r>
      <w:r>
        <w:rPr>
          <w:rFonts w:ascii="微软雅黑" w:eastAsia="微软雅黑" w:hAnsi="微软雅黑" w:cs="微软雅黑"/>
          <w:sz w:val="24"/>
          <w:szCs w:val="24"/>
        </w:rPr>
        <w:t>cs</w:t>
      </w:r>
      <w:r>
        <w:rPr>
          <w:rFonts w:ascii="微软雅黑" w:eastAsia="微软雅黑" w:hAnsi="微软雅黑" w:cs="微软雅黑"/>
          <w:spacing w:val="13"/>
          <w:sz w:val="24"/>
          <w:szCs w:val="24"/>
        </w:rPr>
        <w:t>@</w:t>
      </w:r>
      <w:r>
        <w:rPr>
          <w:rFonts w:ascii="微软雅黑" w:eastAsia="微软雅黑" w:hAnsi="微软雅黑" w:cs="微软雅黑"/>
          <w:sz w:val="24"/>
          <w:szCs w:val="24"/>
        </w:rPr>
        <w:t>ruida</w:t>
      </w:r>
      <w:r>
        <w:rPr>
          <w:rFonts w:ascii="微软雅黑" w:eastAsia="微软雅黑" w:hAnsi="微软雅黑" w:cs="微软雅黑"/>
          <w:spacing w:val="13"/>
          <w:sz w:val="24"/>
          <w:szCs w:val="24"/>
        </w:rPr>
        <w:t>-</w:t>
      </w:r>
      <w:r>
        <w:rPr>
          <w:rFonts w:ascii="微软雅黑" w:eastAsia="微软雅黑" w:hAnsi="微软雅黑" w:cs="微软雅黑"/>
          <w:spacing w:val="-29"/>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13"/>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0E58E050" w14:textId="77777777" w:rsidR="0087172E" w:rsidRDefault="00BB7F54">
      <w:pPr>
        <w:spacing w:before="234" w:line="192" w:lineRule="auto"/>
        <w:jc w:val="center"/>
        <w:rPr>
          <w:rFonts w:ascii="微软雅黑" w:eastAsia="微软雅黑" w:hAnsi="微软雅黑" w:cs="微软雅黑"/>
          <w:sz w:val="24"/>
          <w:szCs w:val="24"/>
        </w:rPr>
      </w:pPr>
      <w:r>
        <w:rPr>
          <w:rFonts w:ascii="微软雅黑" w:eastAsia="微软雅黑" w:hAnsi="微软雅黑" w:cs="微软雅黑"/>
          <w:spacing w:val="8"/>
          <w:sz w:val="24"/>
          <w:szCs w:val="24"/>
        </w:rPr>
        <w:t>客服</w:t>
      </w:r>
      <w:r>
        <w:rPr>
          <w:rFonts w:ascii="微软雅黑" w:eastAsia="微软雅黑" w:hAnsi="微软雅黑" w:cs="微软雅黑"/>
          <w:sz w:val="24"/>
          <w:szCs w:val="24"/>
        </w:rPr>
        <w:t>QQ</w:t>
      </w:r>
      <w:r>
        <w:rPr>
          <w:rFonts w:ascii="微软雅黑" w:eastAsia="微软雅黑" w:hAnsi="微软雅黑" w:cs="微软雅黑"/>
          <w:spacing w:val="8"/>
          <w:sz w:val="24"/>
          <w:szCs w:val="24"/>
        </w:rPr>
        <w:t>： 203195058/29384</w:t>
      </w:r>
      <w:r>
        <w:rPr>
          <w:rFonts w:ascii="微软雅黑" w:eastAsia="微软雅黑" w:hAnsi="微软雅黑" w:cs="微软雅黑"/>
          <w:spacing w:val="7"/>
          <w:sz w:val="24"/>
          <w:szCs w:val="24"/>
        </w:rPr>
        <w:t>72186</w:t>
      </w:r>
    </w:p>
    <w:p w14:paraId="02A20C32" w14:textId="77777777" w:rsidR="0087172E" w:rsidRDefault="00BB7F54">
      <w:pPr>
        <w:spacing w:before="234" w:line="176" w:lineRule="auto"/>
        <w:jc w:val="center"/>
        <w:rPr>
          <w:rFonts w:ascii="微软雅黑" w:eastAsia="微软雅黑" w:hAnsi="微软雅黑" w:cs="微软雅黑"/>
          <w:sz w:val="24"/>
          <w:szCs w:val="24"/>
        </w:rPr>
      </w:pPr>
      <w:r>
        <w:rPr>
          <w:rFonts w:ascii="微软雅黑" w:eastAsia="微软雅黑" w:hAnsi="微软雅黑" w:cs="微软雅黑"/>
          <w:spacing w:val="21"/>
          <w:sz w:val="24"/>
          <w:szCs w:val="24"/>
        </w:rPr>
        <w:t>网址：</w:t>
      </w:r>
      <w:r>
        <w:rPr>
          <w:rFonts w:ascii="微软雅黑" w:eastAsia="微软雅黑" w:hAnsi="微软雅黑" w:cs="微软雅黑"/>
          <w:sz w:val="24"/>
          <w:szCs w:val="24"/>
        </w:rPr>
        <w:t>www</w:t>
      </w:r>
      <w:r>
        <w:rPr>
          <w:rFonts w:ascii="微软雅黑" w:eastAsia="微软雅黑" w:hAnsi="微软雅黑" w:cs="微软雅黑"/>
          <w:spacing w:val="21"/>
          <w:sz w:val="24"/>
          <w:szCs w:val="24"/>
        </w:rPr>
        <w:t>.</w:t>
      </w:r>
      <w:r>
        <w:rPr>
          <w:rFonts w:ascii="微软雅黑" w:eastAsia="微软雅黑" w:hAnsi="微软雅黑" w:cs="微软雅黑"/>
          <w:spacing w:val="-22"/>
          <w:sz w:val="24"/>
          <w:szCs w:val="24"/>
        </w:rPr>
        <w:t xml:space="preserve"> </w:t>
      </w:r>
      <w:r>
        <w:rPr>
          <w:rFonts w:ascii="微软雅黑" w:eastAsia="微软雅黑" w:hAnsi="微软雅黑" w:cs="微软雅黑"/>
          <w:sz w:val="24"/>
          <w:szCs w:val="24"/>
        </w:rPr>
        <w:t>ruida</w:t>
      </w:r>
      <w:r>
        <w:rPr>
          <w:rFonts w:ascii="微软雅黑" w:eastAsia="微软雅黑" w:hAnsi="微软雅黑" w:cs="微软雅黑"/>
          <w:spacing w:val="21"/>
          <w:sz w:val="24"/>
          <w:szCs w:val="24"/>
        </w:rPr>
        <w:t>-</w:t>
      </w:r>
      <w:r>
        <w:rPr>
          <w:rFonts w:ascii="微软雅黑" w:eastAsia="微软雅黑" w:hAnsi="微软雅黑" w:cs="微软雅黑"/>
          <w:spacing w:val="-28"/>
          <w:sz w:val="24"/>
          <w:szCs w:val="24"/>
        </w:rPr>
        <w:t xml:space="preserve"> </w:t>
      </w:r>
      <w:r>
        <w:rPr>
          <w:rFonts w:ascii="微软雅黑" w:eastAsia="微软雅黑" w:hAnsi="微软雅黑" w:cs="微软雅黑"/>
          <w:sz w:val="24"/>
          <w:szCs w:val="24"/>
        </w:rPr>
        <w:t>int</w:t>
      </w:r>
      <w:r>
        <w:rPr>
          <w:rFonts w:ascii="微软雅黑" w:eastAsia="微软雅黑" w:hAnsi="微软雅黑" w:cs="微软雅黑"/>
          <w:spacing w:val="-28"/>
          <w:sz w:val="24"/>
          <w:szCs w:val="24"/>
        </w:rPr>
        <w:t xml:space="preserve"> </w:t>
      </w:r>
      <w:r>
        <w:rPr>
          <w:rFonts w:ascii="微软雅黑" w:eastAsia="微软雅黑" w:hAnsi="微软雅黑" w:cs="微软雅黑"/>
          <w:spacing w:val="21"/>
          <w:sz w:val="24"/>
          <w:szCs w:val="24"/>
        </w:rPr>
        <w:t>.</w:t>
      </w:r>
      <w:r>
        <w:rPr>
          <w:rFonts w:ascii="微软雅黑" w:eastAsia="微软雅黑" w:hAnsi="微软雅黑" w:cs="微软雅黑"/>
          <w:spacing w:val="-38"/>
          <w:sz w:val="24"/>
          <w:szCs w:val="24"/>
        </w:rPr>
        <w:t xml:space="preserve"> </w:t>
      </w:r>
      <w:r>
        <w:rPr>
          <w:rFonts w:ascii="微软雅黑" w:eastAsia="微软雅黑" w:hAnsi="微软雅黑" w:cs="微软雅黑"/>
          <w:sz w:val="24"/>
          <w:szCs w:val="24"/>
        </w:rPr>
        <w:t>com</w:t>
      </w:r>
    </w:p>
    <w:p w14:paraId="1DBA974F" w14:textId="77777777" w:rsidR="0087172E" w:rsidRDefault="00BB7F54">
      <w:pPr>
        <w:spacing w:before="253" w:line="177" w:lineRule="auto"/>
        <w:jc w:val="center"/>
        <w:rPr>
          <w:rFonts w:ascii="微软雅黑" w:eastAsia="微软雅黑" w:hAnsi="微软雅黑" w:cs="微软雅黑"/>
          <w:sz w:val="24"/>
          <w:szCs w:val="24"/>
        </w:rPr>
      </w:pPr>
      <w:r>
        <w:rPr>
          <w:rFonts w:ascii="微软雅黑" w:eastAsia="微软雅黑" w:hAnsi="微软雅黑" w:cs="微软雅黑"/>
          <w:spacing w:val="16"/>
          <w:sz w:val="24"/>
          <w:szCs w:val="24"/>
        </w:rPr>
        <w:t>地址:</w:t>
      </w:r>
      <w:r>
        <w:rPr>
          <w:rFonts w:ascii="微软雅黑" w:eastAsia="微软雅黑" w:hAnsi="微软雅黑" w:cs="微软雅黑"/>
          <w:spacing w:val="45"/>
          <w:w w:val="101"/>
          <w:sz w:val="24"/>
          <w:szCs w:val="24"/>
        </w:rPr>
        <w:t xml:space="preserve"> </w:t>
      </w:r>
      <w:r>
        <w:rPr>
          <w:rFonts w:ascii="微软雅黑" w:eastAsia="微软雅黑" w:hAnsi="微软雅黑" w:cs="微软雅黑"/>
          <w:spacing w:val="16"/>
          <w:sz w:val="24"/>
          <w:szCs w:val="24"/>
        </w:rPr>
        <w:t>香港湾仔菲林明道8号大同大厦17楼05</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w:t>
      </w:r>
      <w:r>
        <w:rPr>
          <w:rFonts w:ascii="微软雅黑" w:eastAsia="微软雅黑" w:hAnsi="微软雅黑" w:cs="微软雅黑"/>
          <w:spacing w:val="-36"/>
          <w:sz w:val="24"/>
          <w:szCs w:val="24"/>
        </w:rPr>
        <w:t xml:space="preserve"> </w:t>
      </w:r>
      <w:r>
        <w:rPr>
          <w:rFonts w:ascii="微软雅黑" w:eastAsia="微软雅黑" w:hAnsi="微软雅黑" w:cs="微软雅黑"/>
          <w:spacing w:val="16"/>
          <w:sz w:val="24"/>
          <w:szCs w:val="24"/>
        </w:rPr>
        <w:t>06室</w:t>
      </w:r>
    </w:p>
    <w:p w14:paraId="1A4B6D92" w14:textId="77777777" w:rsidR="0087172E" w:rsidRDefault="0087172E">
      <w:pPr>
        <w:spacing w:line="312" w:lineRule="auto"/>
        <w:ind w:firstLine="420"/>
      </w:pPr>
    </w:p>
    <w:sectPr w:rsidR="008717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8BF8E" w14:textId="77777777" w:rsidR="006E5C84" w:rsidRDefault="006E5C84" w:rsidP="00127060">
      <w:r>
        <w:separator/>
      </w:r>
    </w:p>
  </w:endnote>
  <w:endnote w:type="continuationSeparator" w:id="0">
    <w:p w14:paraId="6502B6A1" w14:textId="77777777" w:rsidR="006E5C84" w:rsidRDefault="006E5C84" w:rsidP="0012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13C99" w14:textId="77777777" w:rsidR="006E5C84" w:rsidRDefault="006E5C84" w:rsidP="00127060">
      <w:r>
        <w:separator/>
      </w:r>
    </w:p>
  </w:footnote>
  <w:footnote w:type="continuationSeparator" w:id="0">
    <w:p w14:paraId="62B85FD5" w14:textId="77777777" w:rsidR="006E5C84" w:rsidRDefault="006E5C84" w:rsidP="001270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574F"/>
    <w:multiLevelType w:val="multilevel"/>
    <w:tmpl w:val="5EC4574F"/>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08"/>
    <w:rsid w:val="000038D2"/>
    <w:rsid w:val="00011E90"/>
    <w:rsid w:val="00015ABA"/>
    <w:rsid w:val="00015CEB"/>
    <w:rsid w:val="00016329"/>
    <w:rsid w:val="000218EC"/>
    <w:rsid w:val="00027E72"/>
    <w:rsid w:val="000301E2"/>
    <w:rsid w:val="000328C5"/>
    <w:rsid w:val="000447DD"/>
    <w:rsid w:val="00055C18"/>
    <w:rsid w:val="000649D8"/>
    <w:rsid w:val="000658CB"/>
    <w:rsid w:val="00066060"/>
    <w:rsid w:val="00072AF7"/>
    <w:rsid w:val="0007552B"/>
    <w:rsid w:val="000959E1"/>
    <w:rsid w:val="000A0A52"/>
    <w:rsid w:val="000A1B52"/>
    <w:rsid w:val="000A1C34"/>
    <w:rsid w:val="000A1E80"/>
    <w:rsid w:val="000A6E63"/>
    <w:rsid w:val="000B3BF6"/>
    <w:rsid w:val="000B4160"/>
    <w:rsid w:val="000B6102"/>
    <w:rsid w:val="000B7B1E"/>
    <w:rsid w:val="000C405D"/>
    <w:rsid w:val="000D138F"/>
    <w:rsid w:val="000D41E0"/>
    <w:rsid w:val="000D4E7F"/>
    <w:rsid w:val="000D5473"/>
    <w:rsid w:val="000D59E5"/>
    <w:rsid w:val="00115730"/>
    <w:rsid w:val="00127060"/>
    <w:rsid w:val="001470E8"/>
    <w:rsid w:val="00150521"/>
    <w:rsid w:val="001573DE"/>
    <w:rsid w:val="00182FB2"/>
    <w:rsid w:val="00197E1F"/>
    <w:rsid w:val="00197E3E"/>
    <w:rsid w:val="001A59DE"/>
    <w:rsid w:val="001B6505"/>
    <w:rsid w:val="001C7A4C"/>
    <w:rsid w:val="001D5BF6"/>
    <w:rsid w:val="001F0B8B"/>
    <w:rsid w:val="001F4E90"/>
    <w:rsid w:val="0021694A"/>
    <w:rsid w:val="00220075"/>
    <w:rsid w:val="00220B10"/>
    <w:rsid w:val="00223E72"/>
    <w:rsid w:val="00227DE4"/>
    <w:rsid w:val="002348D9"/>
    <w:rsid w:val="002348FA"/>
    <w:rsid w:val="00247EFC"/>
    <w:rsid w:val="002617AF"/>
    <w:rsid w:val="00263BE6"/>
    <w:rsid w:val="00266134"/>
    <w:rsid w:val="0027103D"/>
    <w:rsid w:val="00273827"/>
    <w:rsid w:val="0028510B"/>
    <w:rsid w:val="0028572C"/>
    <w:rsid w:val="002A79EF"/>
    <w:rsid w:val="002C346F"/>
    <w:rsid w:val="002C4410"/>
    <w:rsid w:val="002C6293"/>
    <w:rsid w:val="002C7B4F"/>
    <w:rsid w:val="002D1AA3"/>
    <w:rsid w:val="002D2D54"/>
    <w:rsid w:val="002E39E8"/>
    <w:rsid w:val="002F6580"/>
    <w:rsid w:val="00300223"/>
    <w:rsid w:val="00301549"/>
    <w:rsid w:val="00304D86"/>
    <w:rsid w:val="003070DC"/>
    <w:rsid w:val="00312B57"/>
    <w:rsid w:val="00341353"/>
    <w:rsid w:val="00357828"/>
    <w:rsid w:val="0036506F"/>
    <w:rsid w:val="00371BC0"/>
    <w:rsid w:val="00377B85"/>
    <w:rsid w:val="00392306"/>
    <w:rsid w:val="003A2616"/>
    <w:rsid w:val="003A7F2C"/>
    <w:rsid w:val="003D2210"/>
    <w:rsid w:val="003D3AF3"/>
    <w:rsid w:val="003D3DB8"/>
    <w:rsid w:val="003E1D2F"/>
    <w:rsid w:val="003E5930"/>
    <w:rsid w:val="003F2BF1"/>
    <w:rsid w:val="004012E4"/>
    <w:rsid w:val="004023AC"/>
    <w:rsid w:val="00414D5B"/>
    <w:rsid w:val="00416F99"/>
    <w:rsid w:val="00431962"/>
    <w:rsid w:val="00434A8A"/>
    <w:rsid w:val="004445D6"/>
    <w:rsid w:val="00447802"/>
    <w:rsid w:val="00456C36"/>
    <w:rsid w:val="00456F4B"/>
    <w:rsid w:val="00462568"/>
    <w:rsid w:val="00472C1A"/>
    <w:rsid w:val="004855D9"/>
    <w:rsid w:val="004A483B"/>
    <w:rsid w:val="004A5DEA"/>
    <w:rsid w:val="004B1822"/>
    <w:rsid w:val="004C131F"/>
    <w:rsid w:val="004D283C"/>
    <w:rsid w:val="004D75A9"/>
    <w:rsid w:val="004E22E6"/>
    <w:rsid w:val="004F0C55"/>
    <w:rsid w:val="004F16E7"/>
    <w:rsid w:val="00505DD6"/>
    <w:rsid w:val="00511152"/>
    <w:rsid w:val="0055205C"/>
    <w:rsid w:val="00574E1F"/>
    <w:rsid w:val="00583AD9"/>
    <w:rsid w:val="00585144"/>
    <w:rsid w:val="005D591B"/>
    <w:rsid w:val="006206E8"/>
    <w:rsid w:val="00621D14"/>
    <w:rsid w:val="00624E74"/>
    <w:rsid w:val="00626AF8"/>
    <w:rsid w:val="00626F9A"/>
    <w:rsid w:val="006603DF"/>
    <w:rsid w:val="0066318A"/>
    <w:rsid w:val="006938C5"/>
    <w:rsid w:val="006A2C2A"/>
    <w:rsid w:val="006A35D1"/>
    <w:rsid w:val="006B685C"/>
    <w:rsid w:val="006C158F"/>
    <w:rsid w:val="006E2C2D"/>
    <w:rsid w:val="006E5C84"/>
    <w:rsid w:val="0071470E"/>
    <w:rsid w:val="0072465D"/>
    <w:rsid w:val="00730110"/>
    <w:rsid w:val="007348A2"/>
    <w:rsid w:val="00746E5A"/>
    <w:rsid w:val="00762458"/>
    <w:rsid w:val="00762BC0"/>
    <w:rsid w:val="00772ADA"/>
    <w:rsid w:val="00777880"/>
    <w:rsid w:val="00781600"/>
    <w:rsid w:val="0078583C"/>
    <w:rsid w:val="00792E03"/>
    <w:rsid w:val="0079373C"/>
    <w:rsid w:val="007A5815"/>
    <w:rsid w:val="007B10D1"/>
    <w:rsid w:val="007C0CD5"/>
    <w:rsid w:val="007C7C58"/>
    <w:rsid w:val="007D60FF"/>
    <w:rsid w:val="007E4414"/>
    <w:rsid w:val="007F6420"/>
    <w:rsid w:val="00804540"/>
    <w:rsid w:val="0083623C"/>
    <w:rsid w:val="00852D32"/>
    <w:rsid w:val="00853402"/>
    <w:rsid w:val="00854449"/>
    <w:rsid w:val="008575F1"/>
    <w:rsid w:val="0087172E"/>
    <w:rsid w:val="00882F85"/>
    <w:rsid w:val="00886C14"/>
    <w:rsid w:val="00887911"/>
    <w:rsid w:val="008A1FB2"/>
    <w:rsid w:val="008A2B9D"/>
    <w:rsid w:val="008B0DD1"/>
    <w:rsid w:val="008B5D1D"/>
    <w:rsid w:val="008B7950"/>
    <w:rsid w:val="008C13E8"/>
    <w:rsid w:val="008C2303"/>
    <w:rsid w:val="008C495E"/>
    <w:rsid w:val="008C55B1"/>
    <w:rsid w:val="0090054A"/>
    <w:rsid w:val="009078F0"/>
    <w:rsid w:val="00915D99"/>
    <w:rsid w:val="00916F88"/>
    <w:rsid w:val="00921AD3"/>
    <w:rsid w:val="00922740"/>
    <w:rsid w:val="009425B7"/>
    <w:rsid w:val="00950AA4"/>
    <w:rsid w:val="009528D9"/>
    <w:rsid w:val="009624AE"/>
    <w:rsid w:val="00965238"/>
    <w:rsid w:val="0097610B"/>
    <w:rsid w:val="009821C1"/>
    <w:rsid w:val="00982EB3"/>
    <w:rsid w:val="00984FF0"/>
    <w:rsid w:val="009866FF"/>
    <w:rsid w:val="009927F3"/>
    <w:rsid w:val="009A27BC"/>
    <w:rsid w:val="009A75FC"/>
    <w:rsid w:val="009C0381"/>
    <w:rsid w:val="009C0504"/>
    <w:rsid w:val="009C3D02"/>
    <w:rsid w:val="009D18C0"/>
    <w:rsid w:val="009D1C60"/>
    <w:rsid w:val="009D2952"/>
    <w:rsid w:val="009D3BE6"/>
    <w:rsid w:val="009D594C"/>
    <w:rsid w:val="009E58E4"/>
    <w:rsid w:val="009F2447"/>
    <w:rsid w:val="00A00F94"/>
    <w:rsid w:val="00A12E97"/>
    <w:rsid w:val="00A234E0"/>
    <w:rsid w:val="00A3670A"/>
    <w:rsid w:val="00A3724E"/>
    <w:rsid w:val="00A37AF9"/>
    <w:rsid w:val="00A46DE2"/>
    <w:rsid w:val="00A618F2"/>
    <w:rsid w:val="00A71812"/>
    <w:rsid w:val="00A74769"/>
    <w:rsid w:val="00A77350"/>
    <w:rsid w:val="00A84ED5"/>
    <w:rsid w:val="00A87B55"/>
    <w:rsid w:val="00A959A4"/>
    <w:rsid w:val="00AA73C1"/>
    <w:rsid w:val="00AA7E59"/>
    <w:rsid w:val="00AB2BF2"/>
    <w:rsid w:val="00AB77E4"/>
    <w:rsid w:val="00AB7FCB"/>
    <w:rsid w:val="00AC23F7"/>
    <w:rsid w:val="00AD25D1"/>
    <w:rsid w:val="00AF4AA5"/>
    <w:rsid w:val="00B17CED"/>
    <w:rsid w:val="00B20497"/>
    <w:rsid w:val="00B21983"/>
    <w:rsid w:val="00B61147"/>
    <w:rsid w:val="00B62125"/>
    <w:rsid w:val="00B62126"/>
    <w:rsid w:val="00B71877"/>
    <w:rsid w:val="00B73C28"/>
    <w:rsid w:val="00B770FE"/>
    <w:rsid w:val="00B85DFF"/>
    <w:rsid w:val="00B874B7"/>
    <w:rsid w:val="00B87C9E"/>
    <w:rsid w:val="00B91814"/>
    <w:rsid w:val="00BA0B26"/>
    <w:rsid w:val="00BA7B2C"/>
    <w:rsid w:val="00BB7F54"/>
    <w:rsid w:val="00BC610A"/>
    <w:rsid w:val="00BD0804"/>
    <w:rsid w:val="00BD65EE"/>
    <w:rsid w:val="00BE2780"/>
    <w:rsid w:val="00BE7495"/>
    <w:rsid w:val="00BF0672"/>
    <w:rsid w:val="00BF4F9A"/>
    <w:rsid w:val="00BF7D0E"/>
    <w:rsid w:val="00C12E3E"/>
    <w:rsid w:val="00C34E83"/>
    <w:rsid w:val="00C46144"/>
    <w:rsid w:val="00C47469"/>
    <w:rsid w:val="00C505AE"/>
    <w:rsid w:val="00C66DB1"/>
    <w:rsid w:val="00C670BC"/>
    <w:rsid w:val="00C77777"/>
    <w:rsid w:val="00CA1C69"/>
    <w:rsid w:val="00CA3BCB"/>
    <w:rsid w:val="00CA7296"/>
    <w:rsid w:val="00CB2110"/>
    <w:rsid w:val="00CB6E2B"/>
    <w:rsid w:val="00CC28AB"/>
    <w:rsid w:val="00CD3D78"/>
    <w:rsid w:val="00CD7080"/>
    <w:rsid w:val="00CD788A"/>
    <w:rsid w:val="00CE4FC7"/>
    <w:rsid w:val="00CE5ABB"/>
    <w:rsid w:val="00CF65DD"/>
    <w:rsid w:val="00D0319E"/>
    <w:rsid w:val="00D03363"/>
    <w:rsid w:val="00D06CB0"/>
    <w:rsid w:val="00D104E8"/>
    <w:rsid w:val="00D12EAC"/>
    <w:rsid w:val="00D13805"/>
    <w:rsid w:val="00D22BF7"/>
    <w:rsid w:val="00D3039F"/>
    <w:rsid w:val="00D32B08"/>
    <w:rsid w:val="00D37130"/>
    <w:rsid w:val="00D46F69"/>
    <w:rsid w:val="00D521AE"/>
    <w:rsid w:val="00D63942"/>
    <w:rsid w:val="00D63AF2"/>
    <w:rsid w:val="00D66AEE"/>
    <w:rsid w:val="00D710D7"/>
    <w:rsid w:val="00D72D1D"/>
    <w:rsid w:val="00D7687B"/>
    <w:rsid w:val="00D87535"/>
    <w:rsid w:val="00D906DE"/>
    <w:rsid w:val="00D96A08"/>
    <w:rsid w:val="00DA3C42"/>
    <w:rsid w:val="00DA6F42"/>
    <w:rsid w:val="00DB2849"/>
    <w:rsid w:val="00DB70AE"/>
    <w:rsid w:val="00DD3375"/>
    <w:rsid w:val="00DF74BC"/>
    <w:rsid w:val="00E07DDD"/>
    <w:rsid w:val="00E23901"/>
    <w:rsid w:val="00E2570F"/>
    <w:rsid w:val="00E342E5"/>
    <w:rsid w:val="00E37F6F"/>
    <w:rsid w:val="00E4628F"/>
    <w:rsid w:val="00E55191"/>
    <w:rsid w:val="00E600C5"/>
    <w:rsid w:val="00E615E8"/>
    <w:rsid w:val="00E62C39"/>
    <w:rsid w:val="00E70ABA"/>
    <w:rsid w:val="00E7114D"/>
    <w:rsid w:val="00E72BE2"/>
    <w:rsid w:val="00E75382"/>
    <w:rsid w:val="00E8480F"/>
    <w:rsid w:val="00EB0DF5"/>
    <w:rsid w:val="00EC0693"/>
    <w:rsid w:val="00EC7330"/>
    <w:rsid w:val="00ED03AD"/>
    <w:rsid w:val="00ED78EE"/>
    <w:rsid w:val="00EF470E"/>
    <w:rsid w:val="00EF4EA3"/>
    <w:rsid w:val="00EF6715"/>
    <w:rsid w:val="00F0560A"/>
    <w:rsid w:val="00F13C7E"/>
    <w:rsid w:val="00F15BF4"/>
    <w:rsid w:val="00F16626"/>
    <w:rsid w:val="00F33658"/>
    <w:rsid w:val="00F35CCE"/>
    <w:rsid w:val="00F40887"/>
    <w:rsid w:val="00F42487"/>
    <w:rsid w:val="00F56F48"/>
    <w:rsid w:val="00F73349"/>
    <w:rsid w:val="00F75A3D"/>
    <w:rsid w:val="00F76960"/>
    <w:rsid w:val="00F772C1"/>
    <w:rsid w:val="00F858FD"/>
    <w:rsid w:val="00F868F7"/>
    <w:rsid w:val="00F94497"/>
    <w:rsid w:val="00F95B17"/>
    <w:rsid w:val="00FA6D95"/>
    <w:rsid w:val="00FB693A"/>
    <w:rsid w:val="00FB72A5"/>
    <w:rsid w:val="00FC30F3"/>
    <w:rsid w:val="00FD467E"/>
    <w:rsid w:val="00FD78AF"/>
    <w:rsid w:val="00FF4A95"/>
    <w:rsid w:val="1C782A98"/>
    <w:rsid w:val="29B670DF"/>
    <w:rsid w:val="2AC5334C"/>
    <w:rsid w:val="42BF647C"/>
    <w:rsid w:val="4C575977"/>
    <w:rsid w:val="642A77A1"/>
    <w:rsid w:val="729D3834"/>
    <w:rsid w:val="72D66D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BFC5DA"/>
  <w15:docId w15:val="{8884AC53-4006-4A7C-A7B9-649060A5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rPr>
  </w:style>
  <w:style w:type="paragraph" w:styleId="a4">
    <w:name w:val="Body Text"/>
    <w:basedOn w:val="a"/>
    <w:link w:val="a5"/>
    <w:autoRedefine/>
    <w:semiHidden/>
    <w:qFormat/>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paragraph" w:styleId="ac">
    <w:name w:val="List Paragraph"/>
    <w:basedOn w:val="a"/>
    <w:uiPriority w:val="34"/>
    <w:qFormat/>
    <w:pPr>
      <w:ind w:firstLineChars="200" w:firstLine="420"/>
    </w:pPr>
  </w:style>
  <w:style w:type="character" w:customStyle="1" w:styleId="a9">
    <w:name w:val="页眉 字符"/>
    <w:basedOn w:val="a0"/>
    <w:link w:val="a8"/>
    <w:uiPriority w:val="99"/>
    <w:rPr>
      <w:rFonts w:ascii="Times New Roman" w:eastAsia="宋体" w:hAnsi="Times New Roman" w:cs="Times New Roman"/>
      <w:sz w:val="18"/>
      <w:szCs w:val="18"/>
    </w:rPr>
  </w:style>
  <w:style w:type="character" w:customStyle="1" w:styleId="a7">
    <w:name w:val="页脚 字符"/>
    <w:basedOn w:val="a0"/>
    <w:link w:val="a6"/>
    <w:uiPriority w:val="99"/>
    <w:rPr>
      <w:rFonts w:ascii="Times New Roman" w:eastAsia="宋体" w:hAnsi="Times New Roman" w:cs="Times New Roman"/>
      <w:sz w:val="18"/>
      <w:szCs w:val="18"/>
    </w:rPr>
  </w:style>
  <w:style w:type="character" w:customStyle="1" w:styleId="a5">
    <w:name w:val="正文文本 字符"/>
    <w:basedOn w:val="a0"/>
    <w:link w:val="a4"/>
    <w:semiHidden/>
    <w:qFormat/>
    <w:rPr>
      <w:rFonts w:ascii="Arial" w:eastAsia="Arial" w:hAnsi="Arial" w:cs="Arial"/>
      <w:snapToGrid w:val="0"/>
      <w:color w:val="000000"/>
      <w:kern w:val="0"/>
      <w:szCs w:val="21"/>
      <w:lang w:eastAsia="en-US"/>
    </w:rPr>
  </w:style>
  <w:style w:type="character" w:customStyle="1" w:styleId="w-text-emphasis">
    <w:name w:val="w-text-emphasis"/>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1CD21-00ED-4FA9-89B0-3859CBA48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6</cp:revision>
  <cp:lastPrinted>2024-12-24T02:37:00Z</cp:lastPrinted>
  <dcterms:created xsi:type="dcterms:W3CDTF">2025-02-21T06:53:00Z</dcterms:created>
  <dcterms:modified xsi:type="dcterms:W3CDTF">2025-02-25T01:46:00Z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0916914D11034FEA980AFD71C0947664_12</vt:lpwstr>
  </property>
</Properties>
</file>