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BB52D1">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2A0FA835" w:rsidR="00CA7296" w:rsidRDefault="00CA7296" w:rsidP="00CA7296">
      <w:pPr>
        <w:spacing w:line="312" w:lineRule="auto"/>
        <w:ind w:firstLine="420"/>
        <w:rPr>
          <w:rFonts w:ascii="宋体" w:hAnsi="宋体" w:cs="宋体"/>
        </w:rPr>
      </w:pPr>
      <w:r>
        <w:t>周</w:t>
      </w:r>
      <w:r w:rsidR="00BF1550">
        <w:rPr>
          <w:rFonts w:hint="eastAsia"/>
        </w:rPr>
        <w:t>五</w:t>
      </w:r>
      <w:r>
        <w:rPr>
          <w:rFonts w:hint="eastAsia"/>
        </w:rPr>
        <w:t>（</w:t>
      </w:r>
      <w:r w:rsidR="00257436">
        <w:t>4</w:t>
      </w:r>
      <w:r>
        <w:rPr>
          <w:rFonts w:hint="eastAsia"/>
        </w:rPr>
        <w:t>月</w:t>
      </w:r>
      <w:r w:rsidR="00BB52D1">
        <w:t>25</w:t>
      </w:r>
      <w:r>
        <w:rPr>
          <w:rFonts w:hint="eastAsia"/>
        </w:rPr>
        <w:t>日）</w:t>
      </w:r>
      <w:r>
        <w:t>美元兑人民币中间价</w:t>
      </w:r>
      <w:r>
        <w:rPr>
          <w:rFonts w:ascii="宋体" w:hAnsi="宋体" w:cs="宋体"/>
        </w:rPr>
        <w:t>报</w:t>
      </w:r>
      <w:r w:rsidRPr="00076C89">
        <w:rPr>
          <w:rFonts w:ascii="宋体" w:hAnsi="宋体" w:cs="宋体"/>
        </w:rPr>
        <w:t>7.</w:t>
      </w:r>
      <w:r w:rsidR="0005052B">
        <w:rPr>
          <w:rFonts w:ascii="宋体" w:hAnsi="宋体" w:cs="宋体"/>
        </w:rPr>
        <w:t>2</w:t>
      </w:r>
      <w:r w:rsidR="00125BEA">
        <w:rPr>
          <w:rFonts w:ascii="宋体" w:hAnsi="宋体" w:cs="宋体"/>
        </w:rPr>
        <w:t>06</w:t>
      </w:r>
      <w:r w:rsidR="00BB52D1">
        <w:rPr>
          <w:rFonts w:ascii="宋体" w:hAnsi="宋体" w:cs="宋体"/>
        </w:rPr>
        <w:t>6</w:t>
      </w:r>
      <w:r>
        <w:rPr>
          <w:rFonts w:ascii="宋体" w:hAnsi="宋体" w:cs="宋体"/>
        </w:rPr>
        <w:t>，</w:t>
      </w:r>
      <w:r>
        <w:rPr>
          <w:rFonts w:ascii="宋体" w:hAnsi="宋体" w:cs="宋体" w:hint="eastAsia"/>
        </w:rPr>
        <w:t>调</w:t>
      </w:r>
      <w:r w:rsidR="00433DAC">
        <w:rPr>
          <w:rFonts w:ascii="宋体" w:hAnsi="宋体" w:cs="宋体" w:hint="eastAsia"/>
        </w:rPr>
        <w:t>升</w:t>
      </w:r>
      <w:r w:rsidR="00BB52D1">
        <w:rPr>
          <w:rFonts w:ascii="宋体" w:hAnsi="宋体" w:cs="宋体"/>
        </w:rPr>
        <w:t>32</w:t>
      </w:r>
      <w:r>
        <w:rPr>
          <w:rFonts w:ascii="宋体" w:hAnsi="宋体" w:cs="宋体" w:hint="eastAsia"/>
        </w:rPr>
        <w:t>个基点，上周累计调</w:t>
      </w:r>
      <w:r w:rsidR="00433DAC">
        <w:rPr>
          <w:rFonts w:ascii="宋体" w:hAnsi="宋体" w:cs="宋体" w:hint="eastAsia"/>
        </w:rPr>
        <w:t>升</w:t>
      </w:r>
      <w:r w:rsidR="00BB52D1">
        <w:rPr>
          <w:rFonts w:ascii="宋体" w:hAnsi="宋体" w:cs="宋体" w:hint="eastAsia"/>
        </w:rPr>
        <w:t>3</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EE0ABC">
        <w:rPr>
          <w:rFonts w:ascii="宋体" w:hAnsi="宋体" w:cs="宋体"/>
        </w:rPr>
        <w:t>5</w:t>
      </w:r>
      <w:r>
        <w:rPr>
          <w:rFonts w:ascii="宋体" w:hAnsi="宋体" w:cs="宋体" w:hint="eastAsia"/>
        </w:rPr>
        <w:t>收</w:t>
      </w:r>
      <w:r w:rsidR="001564E1">
        <w:rPr>
          <w:rFonts w:ascii="宋体" w:hAnsi="宋体" w:cs="宋体" w:hint="eastAsia"/>
        </w:rPr>
        <w:t>跌0</w:t>
      </w:r>
      <w:r w:rsidR="001564E1">
        <w:rPr>
          <w:rFonts w:ascii="宋体" w:hAnsi="宋体" w:cs="宋体"/>
        </w:rPr>
        <w:t>.14</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2D62A9">
        <w:rPr>
          <w:rFonts w:ascii="宋体" w:hAnsi="宋体" w:cs="宋体" w:hint="eastAsia"/>
        </w:rPr>
        <w:t>跌</w:t>
      </w:r>
      <w:r w:rsidR="00464902">
        <w:rPr>
          <w:rFonts w:ascii="宋体" w:hAnsi="宋体" w:cs="宋体"/>
        </w:rPr>
        <w:t>0</w:t>
      </w:r>
      <w:r w:rsidR="002D62A9">
        <w:rPr>
          <w:rFonts w:ascii="宋体" w:hAnsi="宋体" w:cs="宋体"/>
        </w:rPr>
        <w:t>.</w:t>
      </w:r>
      <w:r w:rsidR="00464902">
        <w:rPr>
          <w:rFonts w:ascii="宋体" w:hAnsi="宋体" w:cs="宋体"/>
        </w:rPr>
        <w:t>1</w:t>
      </w:r>
      <w:r w:rsidR="002D62A9">
        <w:rPr>
          <w:rFonts w:ascii="宋体" w:hAnsi="宋体" w:cs="宋体"/>
        </w:rPr>
        <w:t>4</w:t>
      </w:r>
      <w:r w:rsidR="0005052B">
        <w:rPr>
          <w:rFonts w:ascii="宋体" w:hAnsi="宋体" w:cs="宋体"/>
        </w:rPr>
        <w:t>%</w:t>
      </w:r>
      <w:r>
        <w:rPr>
          <w:rFonts w:ascii="宋体" w:hAnsi="宋体" w:cs="宋体" w:hint="eastAsia"/>
        </w:rPr>
        <w:t>。</w:t>
      </w:r>
    </w:p>
    <w:p w14:paraId="2A8620FC" w14:textId="39BE37A3"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8B325C">
        <w:t>2832</w:t>
      </w:r>
      <w:r>
        <w:t>，</w:t>
      </w:r>
      <w:r>
        <w:rPr>
          <w:rFonts w:hint="eastAsia"/>
        </w:rPr>
        <w:t>美元兑离岸人民币收报</w:t>
      </w:r>
      <w:r>
        <w:rPr>
          <w:rFonts w:hint="eastAsia"/>
        </w:rPr>
        <w:t>7</w:t>
      </w:r>
      <w:r>
        <w:t>.</w:t>
      </w:r>
      <w:r w:rsidR="008B325C">
        <w:t>2889</w:t>
      </w:r>
      <w:r>
        <w:rPr>
          <w:rFonts w:hint="eastAsia"/>
        </w:rPr>
        <w:t>，在当周</w:t>
      </w:r>
      <w:r>
        <w:t>分别</w:t>
      </w:r>
      <w:r w:rsidR="008B325C">
        <w:rPr>
          <w:rFonts w:hint="eastAsia"/>
        </w:rPr>
        <w:t>下</w:t>
      </w:r>
      <w:r w:rsidR="00F76960">
        <w:rPr>
          <w:rFonts w:hint="eastAsia"/>
        </w:rPr>
        <w:t>调</w:t>
      </w:r>
      <w:r w:rsidR="008B325C">
        <w:rPr>
          <w:rFonts w:hint="eastAsia"/>
        </w:rPr>
        <w:t>2</w:t>
      </w:r>
      <w:r w:rsidR="008B325C">
        <w:t>07</w:t>
      </w:r>
      <w:r>
        <w:t>和</w:t>
      </w:r>
      <w:r w:rsidR="008B325C">
        <w:rPr>
          <w:rFonts w:hint="eastAsia"/>
        </w:rPr>
        <w:t>下</w:t>
      </w:r>
      <w:r w:rsidR="0066318A">
        <w:rPr>
          <w:rFonts w:hint="eastAsia"/>
        </w:rPr>
        <w:t>调</w:t>
      </w:r>
      <w:r w:rsidR="008B325C">
        <w:t>148</w:t>
      </w:r>
      <w:r>
        <w:rPr>
          <w:rFonts w:hint="eastAsia"/>
        </w:rPr>
        <w:t>个基点</w:t>
      </w:r>
      <w:r>
        <w:t>。欧元兑人民币报</w:t>
      </w:r>
      <w:r w:rsidR="00F64EF4">
        <w:t>8.</w:t>
      </w:r>
      <w:r w:rsidR="008B325C">
        <w:t>2876</w:t>
      </w:r>
      <w:r>
        <w:t>、英镑兑人民币报</w:t>
      </w:r>
      <w:r w:rsidR="00C66DB1">
        <w:t>9.</w:t>
      </w:r>
      <w:r w:rsidR="00647B32">
        <w:t>68</w:t>
      </w:r>
      <w:r w:rsidR="008B325C">
        <w:t>64</w:t>
      </w:r>
      <w:r>
        <w:t>、</w:t>
      </w:r>
      <w:r w:rsidR="000959E1">
        <w:rPr>
          <w:rFonts w:hint="eastAsia"/>
        </w:rPr>
        <w:t>日元</w:t>
      </w:r>
      <w:r>
        <w:t>兑</w:t>
      </w:r>
      <w:r w:rsidR="000959E1">
        <w:rPr>
          <w:rFonts w:hint="eastAsia"/>
        </w:rPr>
        <w:t>人民币</w:t>
      </w:r>
      <w:r>
        <w:t>报</w:t>
      </w:r>
      <w:r w:rsidR="005D4042">
        <w:t>5</w:t>
      </w:r>
      <w:r w:rsidR="008B325C">
        <w:t>.0842</w:t>
      </w:r>
      <w:r w:rsidR="000959E1">
        <w:rPr>
          <w:rFonts w:hint="eastAsia"/>
        </w:rPr>
        <w:t>、</w:t>
      </w:r>
      <w:r>
        <w:t>澳元兑人民币报</w:t>
      </w:r>
      <w:r>
        <w:t>4</w:t>
      </w:r>
      <w:r w:rsidR="006B50D4">
        <w:t>.</w:t>
      </w:r>
      <w:r w:rsidR="00647B32">
        <w:t>6</w:t>
      </w:r>
      <w:r w:rsidR="008B325C">
        <w:t>524</w:t>
      </w:r>
      <w:r>
        <w:rPr>
          <w:rFonts w:hint="eastAsia"/>
        </w:rPr>
        <w:t>，在当</w:t>
      </w:r>
      <w:r>
        <w:t>周分别</w:t>
      </w:r>
      <w:r w:rsidR="00647B32">
        <w:rPr>
          <w:rFonts w:hint="eastAsia"/>
        </w:rPr>
        <w:t>跌</w:t>
      </w:r>
      <w:r w:rsidR="008B325C">
        <w:t>172</w:t>
      </w:r>
      <w:r>
        <w:t>、</w:t>
      </w:r>
      <w:r w:rsidR="00647B32">
        <w:rPr>
          <w:rFonts w:hint="eastAsia"/>
        </w:rPr>
        <w:t>涨</w:t>
      </w:r>
      <w:r w:rsidR="008B325C">
        <w:t>37</w:t>
      </w:r>
      <w:r>
        <w:rPr>
          <w:rFonts w:hint="eastAsia"/>
        </w:rPr>
        <w:t>、</w:t>
      </w:r>
      <w:r w:rsidR="00647B32">
        <w:rPr>
          <w:rFonts w:hint="eastAsia"/>
        </w:rPr>
        <w:t>跌</w:t>
      </w:r>
      <w:r w:rsidR="008B325C">
        <w:t>463</w:t>
      </w:r>
      <w:r>
        <w:t>和</w:t>
      </w:r>
      <w:r w:rsidR="00647B32">
        <w:rPr>
          <w:rFonts w:hint="eastAsia"/>
        </w:rPr>
        <w:t>涨</w:t>
      </w:r>
      <w:r w:rsidR="008B325C">
        <w:t>38</w:t>
      </w:r>
      <w:r>
        <w:rPr>
          <w:rFonts w:hint="eastAsia"/>
        </w:rPr>
        <w:t>个基点</w:t>
      </w:r>
      <w:r>
        <w:t>。</w:t>
      </w:r>
    </w:p>
    <w:p w14:paraId="76AC2601" w14:textId="56D40D55" w:rsidR="00CA7296" w:rsidRDefault="00CA7296" w:rsidP="00CA7296">
      <w:pPr>
        <w:spacing w:line="312" w:lineRule="auto"/>
        <w:ind w:firstLine="420"/>
      </w:pPr>
      <w:r>
        <w:rPr>
          <w:rFonts w:hint="eastAsia"/>
        </w:rPr>
        <w:t>上</w:t>
      </w:r>
      <w:r w:rsidR="00600382">
        <w:rPr>
          <w:rFonts w:hint="eastAsia"/>
        </w:rPr>
        <w:t>周</w:t>
      </w:r>
      <w:r w:rsidR="00052952" w:rsidRPr="00052952">
        <w:rPr>
          <w:rFonts w:hint="eastAsia"/>
        </w:rPr>
        <w:t>央行公开市场累计进行了</w:t>
      </w:r>
      <w:r w:rsidR="00052952" w:rsidRPr="00052952">
        <w:rPr>
          <w:rFonts w:hint="eastAsia"/>
        </w:rPr>
        <w:t>8080</w:t>
      </w:r>
      <w:r w:rsidR="00052952" w:rsidRPr="00052952">
        <w:rPr>
          <w:rFonts w:hint="eastAsia"/>
        </w:rPr>
        <w:t>亿元逆回购操作，</w:t>
      </w:r>
      <w:r w:rsidR="00052952">
        <w:rPr>
          <w:rFonts w:hint="eastAsia"/>
        </w:rPr>
        <w:t>当</w:t>
      </w:r>
      <w:r w:rsidR="00052952" w:rsidRPr="00052952">
        <w:rPr>
          <w:rFonts w:hint="eastAsia"/>
        </w:rPr>
        <w:t>周央行公开市场有</w:t>
      </w:r>
      <w:r w:rsidR="00052952" w:rsidRPr="00052952">
        <w:rPr>
          <w:rFonts w:hint="eastAsia"/>
        </w:rPr>
        <w:t>5742</w:t>
      </w:r>
      <w:r w:rsidR="00052952" w:rsidRPr="00052952">
        <w:rPr>
          <w:rFonts w:hint="eastAsia"/>
        </w:rPr>
        <w:t>亿元逆回购到期，因此净投放</w:t>
      </w:r>
      <w:r w:rsidR="00052952" w:rsidRPr="00052952">
        <w:rPr>
          <w:rFonts w:hint="eastAsia"/>
        </w:rPr>
        <w:t>2338</w:t>
      </w:r>
      <w:r w:rsidR="00052952" w:rsidRPr="00052952">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67C13F89"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350819" w:rsidRPr="00A976F7">
        <w:rPr>
          <w:rFonts w:ascii="宋体" w:hAnsi="宋体" w:hint="eastAsia"/>
        </w:rPr>
        <w:t>中国央行行长潘功胜在国际货币与金融委员会（</w:t>
      </w:r>
      <w:r w:rsidR="00350819" w:rsidRPr="00A976F7">
        <w:rPr>
          <w:rFonts w:ascii="宋体" w:hAnsi="宋体"/>
        </w:rPr>
        <w:t>IMFC）会议上表示，近期美国滥施关税，严重侵犯各国正当权益，严重损害以规则为基础的多边治理体制，严重冲击全球经济秩序，破坏全球经济长期稳定增长；同时也引发全球金融市场剧烈波动，发达经济体尤为严重。这对全球金融稳定造成威胁，对新兴市场经济体和发展中国家构成严峻挑战。</w:t>
      </w:r>
    </w:p>
    <w:p w14:paraId="3316BE34" w14:textId="5EBF8E7C" w:rsidR="00785749" w:rsidRDefault="00CA7296" w:rsidP="0086476E">
      <w:pPr>
        <w:spacing w:line="312" w:lineRule="auto"/>
        <w:ind w:firstLine="420"/>
        <w:rPr>
          <w:rFonts w:ascii="宋体" w:hAnsi="宋体"/>
        </w:rPr>
      </w:pPr>
      <w:r w:rsidRPr="0086476E">
        <w:rPr>
          <w:rFonts w:ascii="宋体" w:hAnsi="宋体" w:hint="eastAsia"/>
        </w:rPr>
        <w:t>2、</w:t>
      </w:r>
      <w:r w:rsidR="00350819" w:rsidRPr="00A976F7">
        <w:rPr>
          <w:rFonts w:ascii="宋体" w:hAnsi="宋体" w:hint="eastAsia"/>
        </w:rPr>
        <w:t>中共中央政治局召开会议，分析研究当前经济形势和经济工作。会议认为，今年以来，各项宏观政策协同发力，经济呈现向好态势。会议强调，要加紧实施更加积极有为的宏观政策，用好用足更加积极的财政政策和适度宽松的货币政策。加快地方政府专项债券、超长期特别国债等发行使用。适时降准降息，保持流动性充裕。</w:t>
      </w:r>
    </w:p>
    <w:p w14:paraId="7CFBDA2E" w14:textId="32FC8634"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350819" w:rsidRPr="00A976F7">
        <w:rPr>
          <w:rFonts w:ascii="宋体" w:hAnsi="宋体" w:hint="eastAsia"/>
        </w:rPr>
        <w:t>美联储主席鲍威尔强调，央行必须远离政治干预，以确保能够专注于保持通胀稳定和高就业率。美联储周六开始进入静默期，市场普遍预期，美联储利率决议将连续第三次维持利率不变。</w:t>
      </w:r>
    </w:p>
    <w:p w14:paraId="5E26AA41" w14:textId="75480A54" w:rsidR="00CA7296" w:rsidRPr="0086476E" w:rsidRDefault="00CA7296" w:rsidP="00CA7296">
      <w:pPr>
        <w:spacing w:line="312" w:lineRule="auto"/>
        <w:ind w:firstLine="420"/>
        <w:rPr>
          <w:rFonts w:ascii="宋体" w:hAnsi="宋体"/>
        </w:rPr>
      </w:pPr>
      <w:r w:rsidRPr="0086476E">
        <w:rPr>
          <w:rFonts w:ascii="宋体" w:hAnsi="宋体" w:hint="eastAsia"/>
        </w:rPr>
        <w:t>4、</w:t>
      </w:r>
      <w:r w:rsidR="00350819" w:rsidRPr="00132B11">
        <w:rPr>
          <w:rFonts w:ascii="宋体" w:hAnsi="宋体" w:hint="eastAsia"/>
        </w:rPr>
        <w:t>据美国财政部数据，</w:t>
      </w:r>
      <w:r w:rsidR="00350819" w:rsidRPr="00132B11">
        <w:rPr>
          <w:rFonts w:ascii="宋体" w:hAnsi="宋体"/>
        </w:rPr>
        <w:t>4月份美国关税收入激增逾60%，至少达到150亿美元，这将创下单月历史最高纪录。</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10529087" w:rsidR="00CA7296" w:rsidRDefault="002D62A9"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A7F5718" wp14:editId="6EB62BCC">
            <wp:extent cx="3543300" cy="2052161"/>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2194" cy="2057312"/>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58DD4AEC" w:rsidR="00CA7296" w:rsidRDefault="002D62A9" w:rsidP="00CA7296">
      <w:pPr>
        <w:spacing w:line="360" w:lineRule="auto"/>
        <w:jc w:val="center"/>
        <w:rPr>
          <w:rFonts w:ascii="宋体" w:hAnsi="宋体"/>
          <w:sz w:val="18"/>
          <w:szCs w:val="18"/>
        </w:rPr>
      </w:pPr>
      <w:r>
        <w:rPr>
          <w:noProof/>
        </w:rPr>
        <w:drawing>
          <wp:inline distT="0" distB="0" distL="0" distR="0" wp14:anchorId="3C901A19" wp14:editId="35568E5A">
            <wp:extent cx="4714875" cy="2549992"/>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5877" cy="2555942"/>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5C9E2890" w:rsidR="00CA7296" w:rsidRDefault="002D62A9" w:rsidP="00CA7296">
      <w:pPr>
        <w:spacing w:line="360" w:lineRule="auto"/>
        <w:jc w:val="center"/>
        <w:rPr>
          <w:rFonts w:ascii="宋体" w:hAnsi="宋体"/>
          <w:sz w:val="18"/>
          <w:szCs w:val="18"/>
        </w:rPr>
      </w:pPr>
      <w:r>
        <w:rPr>
          <w:noProof/>
        </w:rPr>
        <w:drawing>
          <wp:inline distT="0" distB="0" distL="0" distR="0" wp14:anchorId="3A870955" wp14:editId="49674A34">
            <wp:extent cx="3837789" cy="20478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0265" cy="2054532"/>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6E29D745" w:rsidR="00CA7296" w:rsidRDefault="002D62A9" w:rsidP="00CA7296">
      <w:pPr>
        <w:jc w:val="center"/>
      </w:pPr>
      <w:r>
        <w:rPr>
          <w:noProof/>
        </w:rPr>
        <w:drawing>
          <wp:inline distT="0" distB="0" distL="0" distR="0" wp14:anchorId="56346934" wp14:editId="1E7836A8">
            <wp:extent cx="4542329" cy="2343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2428" cy="234836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01BD8242" w:rsidR="00CA7296" w:rsidRDefault="002D62A9" w:rsidP="00CA7296">
      <w:pPr>
        <w:jc w:val="center"/>
      </w:pPr>
      <w:r>
        <w:rPr>
          <w:noProof/>
        </w:rPr>
        <w:drawing>
          <wp:inline distT="0" distB="0" distL="0" distR="0" wp14:anchorId="5E3AC098" wp14:editId="4633C239">
            <wp:extent cx="4000500" cy="2286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0500" cy="2286000"/>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6D29A090">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52D9A4ED" w:rsidR="004445D6" w:rsidRDefault="00BF1550" w:rsidP="00350819">
      <w:pPr>
        <w:spacing w:line="312" w:lineRule="auto"/>
        <w:ind w:firstLine="420"/>
        <w:rPr>
          <w:rFonts w:ascii="宋体" w:hAnsi="宋体" w:cs="宋体"/>
        </w:rPr>
      </w:pPr>
      <w:r w:rsidRPr="00BF1550">
        <w:rPr>
          <w:rFonts w:ascii="宋体" w:hAnsi="宋体" w:cs="宋体" w:hint="eastAsia"/>
        </w:rPr>
        <w:t>最新</w:t>
      </w:r>
      <w:r w:rsidR="000B4D30">
        <w:rPr>
          <w:rFonts w:ascii="宋体" w:hAnsi="宋体" w:cs="宋体" w:hint="eastAsia"/>
        </w:rPr>
        <w:t>消息</w:t>
      </w:r>
      <w:r w:rsidRPr="00BF1550">
        <w:rPr>
          <w:rFonts w:ascii="宋体" w:hAnsi="宋体" w:cs="宋体" w:hint="eastAsia"/>
        </w:rPr>
        <w:t>显示，</w:t>
      </w:r>
      <w:r w:rsidR="00464902" w:rsidRPr="002314E8">
        <w:rPr>
          <w:rFonts w:ascii="宋体" w:hAnsi="宋体" w:cs="宋体"/>
        </w:rPr>
        <w:t>美国总统特朗普的关税政策反复无常，</w:t>
      </w:r>
      <w:r w:rsidR="00464902" w:rsidRPr="002314E8">
        <w:rPr>
          <w:rFonts w:ascii="宋体" w:hAnsi="宋体" w:cs="宋体" w:hint="eastAsia"/>
        </w:rPr>
        <w:t>加剧市场</w:t>
      </w:r>
      <w:r w:rsidR="00464902" w:rsidRPr="002314E8">
        <w:rPr>
          <w:rFonts w:ascii="宋体" w:hAnsi="宋体" w:cs="宋体"/>
        </w:rPr>
        <w:t>对贸易紧张局势的</w:t>
      </w:r>
      <w:r w:rsidR="00464902" w:rsidRPr="002314E8">
        <w:rPr>
          <w:rFonts w:ascii="宋体" w:hAnsi="宋体" w:cs="宋体" w:hint="eastAsia"/>
        </w:rPr>
        <w:t>担忧</w:t>
      </w:r>
      <w:r w:rsidR="00464902" w:rsidRPr="002314E8">
        <w:rPr>
          <w:rFonts w:ascii="宋体" w:hAnsi="宋体" w:cs="宋体"/>
        </w:rPr>
        <w:t>。</w:t>
      </w:r>
      <w:r w:rsidR="00350819" w:rsidRPr="00EC3ED1">
        <w:rPr>
          <w:rFonts w:ascii="宋体" w:hAnsi="宋体" w:cs="宋体"/>
        </w:rPr>
        <w:t>4月22日，美国总统特朗普在白宫新闻发布会上表示，对中国商品征收的高关税将“大幅下降”。当天，美国财政部长贝森特也暗示中美关系将缓和，并表示对华高关税不可持续。</w:t>
      </w:r>
      <w:r w:rsidR="00464902">
        <w:rPr>
          <w:rFonts w:ascii="宋体" w:hAnsi="宋体" w:cs="宋体" w:hint="eastAsia"/>
        </w:rPr>
        <w:t>在此背景下，</w:t>
      </w:r>
      <w:r w:rsidR="00350819" w:rsidRPr="001A2F8D">
        <w:rPr>
          <w:rFonts w:ascii="宋体" w:hAnsi="宋体" w:hint="eastAsia"/>
        </w:rPr>
        <w:t>国际货币基金组织（</w:t>
      </w:r>
      <w:r w:rsidR="00350819" w:rsidRPr="001A2F8D">
        <w:rPr>
          <w:rFonts w:ascii="宋体" w:hAnsi="宋体"/>
        </w:rPr>
        <w:t>IMF）发布的4月《世界经济展望报告》显著调降全球经济增速，并警告贸易紧张局势的迅速升级和极高的政策不确定性预计将对全球经济活动产生重大影响。IMF基于截至4月4日公布的关税措施的参考预测，全球经济增长率将在2025年降至2.8%，在2026年降至3%，显著低于今年1月预测的两年均为3.3%。</w:t>
      </w:r>
    </w:p>
    <w:p w14:paraId="2DC556FA" w14:textId="6157EB58" w:rsidR="00350819" w:rsidRDefault="00061E07" w:rsidP="00464902">
      <w:pPr>
        <w:spacing w:line="312" w:lineRule="auto"/>
        <w:ind w:firstLine="420"/>
        <w:rPr>
          <w:rFonts w:ascii="宋体" w:hAnsi="宋体" w:cs="宋体"/>
        </w:rPr>
      </w:pPr>
      <w:r>
        <w:rPr>
          <w:rFonts w:ascii="宋体" w:hAnsi="宋体" w:cs="宋体" w:hint="eastAsia"/>
          <w:kern w:val="0"/>
        </w:rPr>
        <w:t>国内端，</w:t>
      </w:r>
      <w:r w:rsidR="00350819" w:rsidRPr="00EC3ED1">
        <w:rPr>
          <w:rFonts w:ascii="宋体" w:hAnsi="宋体" w:cs="宋体"/>
        </w:rPr>
        <w:t>4月25日下午，我国外交部举行例行记者会，发言人郭嘉昆表示，中美双方并没有就关税问题进行磋商或谈判，美方不要混淆视听，贸易战局势仍不明朗</w:t>
      </w:r>
      <w:r w:rsidR="00350819" w:rsidRPr="00F57093">
        <w:rPr>
          <w:rFonts w:ascii="宋体" w:hAnsi="宋体" w:cs="宋体" w:hint="eastAsia"/>
        </w:rPr>
        <w:t>。</w:t>
      </w:r>
      <w:r w:rsidR="000B4D30">
        <w:rPr>
          <w:rFonts w:ascii="宋体" w:hAnsi="宋体" w:cs="宋体" w:hint="eastAsia"/>
        </w:rPr>
        <w:t>总的来看，</w:t>
      </w:r>
      <w:r w:rsidR="000B4D30" w:rsidRPr="00EC3ED1">
        <w:rPr>
          <w:rFonts w:ascii="宋体" w:hAnsi="宋体" w:cs="宋体"/>
        </w:rPr>
        <w:t>贸易战局势同地缘政治形势一般反复不断，</w:t>
      </w:r>
      <w:r w:rsidR="000B4D30" w:rsidRPr="00EC3ED1">
        <w:rPr>
          <w:rFonts w:ascii="宋体" w:hAnsi="宋体" w:cs="宋体" w:hint="eastAsia"/>
        </w:rPr>
        <w:t>市场对进出口前景依旧担忧，</w:t>
      </w:r>
      <w:r>
        <w:rPr>
          <w:rFonts w:ascii="宋体" w:hAnsi="宋体" w:cs="宋体" w:hint="eastAsia"/>
          <w:kern w:val="0"/>
        </w:rPr>
        <w:t>部分对美贸易依赖度高的行业</w:t>
      </w:r>
      <w:r w:rsidR="0002357D">
        <w:rPr>
          <w:rFonts w:ascii="宋体" w:hAnsi="宋体" w:cs="宋体" w:hint="eastAsia"/>
          <w:kern w:val="0"/>
        </w:rPr>
        <w:t>接下来</w:t>
      </w:r>
      <w:r w:rsidR="00464902">
        <w:rPr>
          <w:rFonts w:ascii="宋体" w:hAnsi="宋体" w:cs="宋体" w:hint="eastAsia"/>
          <w:kern w:val="0"/>
        </w:rPr>
        <w:t>料持续</w:t>
      </w:r>
      <w:r>
        <w:rPr>
          <w:rFonts w:ascii="宋体" w:hAnsi="宋体" w:cs="宋体" w:hint="eastAsia"/>
          <w:kern w:val="0"/>
        </w:rPr>
        <w:t>承压</w:t>
      </w:r>
      <w:r w:rsidR="00464902">
        <w:rPr>
          <w:rFonts w:ascii="宋体" w:hAnsi="宋体" w:cs="宋体" w:hint="eastAsia"/>
          <w:kern w:val="0"/>
        </w:rPr>
        <w:t>，</w:t>
      </w:r>
      <w:r w:rsidR="0002357D" w:rsidRPr="00EC3ED1">
        <w:rPr>
          <w:rFonts w:ascii="宋体" w:hAnsi="宋体" w:cs="宋体" w:hint="eastAsia"/>
        </w:rPr>
        <w:t>在避险需求下，</w:t>
      </w:r>
      <w:r w:rsidR="0002357D">
        <w:rPr>
          <w:rFonts w:ascii="宋体" w:hAnsi="宋体" w:cs="宋体" w:hint="eastAsia"/>
        </w:rPr>
        <w:t>短期人民币兑美元汇率波动加剧，消息面及情绪为主导</w:t>
      </w:r>
      <w:r w:rsidR="000B45D7">
        <w:rPr>
          <w:rFonts w:ascii="宋体" w:hAnsi="宋体" w:cs="宋体" w:hint="eastAsia"/>
        </w:rPr>
        <w:t>，</w:t>
      </w:r>
      <w:r w:rsidR="000B45D7" w:rsidRPr="00A92E8E">
        <w:rPr>
          <w:rFonts w:ascii="宋体" w:hAnsi="宋体" w:cs="宋体" w:hint="eastAsia"/>
        </w:rPr>
        <w:t>美元</w:t>
      </w:r>
      <w:r w:rsidR="000B45D7">
        <w:rPr>
          <w:rFonts w:ascii="宋体" w:hAnsi="宋体" w:cs="宋体" w:hint="eastAsia"/>
        </w:rPr>
        <w:t>兑</w:t>
      </w:r>
      <w:r w:rsidR="000B45D7" w:rsidRPr="00A92E8E">
        <w:rPr>
          <w:rFonts w:ascii="宋体" w:hAnsi="宋体" w:cs="宋体" w:hint="eastAsia"/>
        </w:rPr>
        <w:t>人民币</w:t>
      </w:r>
      <w:r>
        <w:rPr>
          <w:rFonts w:ascii="宋体" w:hAnsi="宋体" w:cs="宋体" w:hint="eastAsia"/>
        </w:rPr>
        <w:t>或</w:t>
      </w:r>
      <w:r w:rsidR="000B45D7">
        <w:rPr>
          <w:rFonts w:ascii="宋体" w:hAnsi="宋体" w:cs="宋体" w:hint="eastAsia"/>
        </w:rPr>
        <w:t>于7</w:t>
      </w:r>
      <w:r w:rsidR="000B45D7">
        <w:rPr>
          <w:rFonts w:ascii="宋体" w:hAnsi="宋体" w:cs="宋体"/>
        </w:rPr>
        <w:t>.3</w:t>
      </w:r>
      <w:r w:rsidR="00F64EF4">
        <w:rPr>
          <w:rFonts w:ascii="宋体" w:hAnsi="宋体" w:cs="宋体"/>
        </w:rPr>
        <w:t>0</w:t>
      </w:r>
      <w:r w:rsidR="000B45D7">
        <w:rPr>
          <w:rFonts w:ascii="宋体" w:hAnsi="宋体" w:cs="宋体" w:hint="eastAsia"/>
        </w:rPr>
        <w:t>左右波动</w:t>
      </w:r>
      <w:r w:rsidR="00125BEA" w:rsidRPr="00125BEA">
        <w:rPr>
          <w:rFonts w:ascii="宋体" w:hAnsi="宋体" w:cs="宋体" w:hint="eastAsia"/>
        </w:rPr>
        <w:t>。</w:t>
      </w:r>
      <w:r w:rsidR="000B4D30" w:rsidRPr="000B4D30">
        <w:rPr>
          <w:rFonts w:ascii="宋体" w:hAnsi="宋体" w:cs="宋体" w:hint="eastAsia"/>
        </w:rPr>
        <w:t>本周，美国将公布第一季度 GDP 数据</w:t>
      </w:r>
      <w:r w:rsidR="00E31C1C">
        <w:rPr>
          <w:rFonts w:ascii="宋体" w:hAnsi="宋体" w:cs="宋体" w:hint="eastAsia"/>
        </w:rPr>
        <w:t>与</w:t>
      </w:r>
      <w:bookmarkStart w:id="0" w:name="_GoBack"/>
      <w:bookmarkEnd w:id="0"/>
      <w:r w:rsidR="000B4D30">
        <w:rPr>
          <w:rFonts w:ascii="宋体" w:hAnsi="宋体" w:cs="宋体" w:hint="eastAsia"/>
        </w:rPr>
        <w:t>核心P</w:t>
      </w:r>
      <w:r w:rsidR="000B4D30">
        <w:rPr>
          <w:rFonts w:ascii="宋体" w:hAnsi="宋体" w:cs="宋体"/>
        </w:rPr>
        <w:t>CE</w:t>
      </w:r>
      <w:r w:rsidR="000B4D30">
        <w:rPr>
          <w:rFonts w:ascii="宋体" w:hAnsi="宋体" w:cs="宋体" w:hint="eastAsia"/>
        </w:rPr>
        <w:t>通胀数据，需持续关注。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AB88" w14:textId="77777777" w:rsidR="00195C4D" w:rsidRDefault="00195C4D" w:rsidP="00127060">
      <w:r>
        <w:separator/>
      </w:r>
    </w:p>
  </w:endnote>
  <w:endnote w:type="continuationSeparator" w:id="0">
    <w:p w14:paraId="4954CD21" w14:textId="77777777" w:rsidR="00195C4D" w:rsidRDefault="00195C4D"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A17A" w14:textId="77777777" w:rsidR="00195C4D" w:rsidRDefault="00195C4D" w:rsidP="00127060">
      <w:r>
        <w:separator/>
      </w:r>
    </w:p>
  </w:footnote>
  <w:footnote w:type="continuationSeparator" w:id="0">
    <w:p w14:paraId="49A8063D" w14:textId="77777777" w:rsidR="00195C4D" w:rsidRDefault="00195C4D"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357D"/>
    <w:rsid w:val="00027E72"/>
    <w:rsid w:val="000301E2"/>
    <w:rsid w:val="000328C5"/>
    <w:rsid w:val="000447DD"/>
    <w:rsid w:val="0005052B"/>
    <w:rsid w:val="00052952"/>
    <w:rsid w:val="000540B3"/>
    <w:rsid w:val="00055C18"/>
    <w:rsid w:val="0005615C"/>
    <w:rsid w:val="00061E07"/>
    <w:rsid w:val="000649D8"/>
    <w:rsid w:val="000658CB"/>
    <w:rsid w:val="00066060"/>
    <w:rsid w:val="00072AF7"/>
    <w:rsid w:val="0007552B"/>
    <w:rsid w:val="000959E1"/>
    <w:rsid w:val="000A0A52"/>
    <w:rsid w:val="000A1B52"/>
    <w:rsid w:val="000A1C34"/>
    <w:rsid w:val="000A1E80"/>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5730"/>
    <w:rsid w:val="0012070F"/>
    <w:rsid w:val="00125BEA"/>
    <w:rsid w:val="00127060"/>
    <w:rsid w:val="001470E8"/>
    <w:rsid w:val="00150521"/>
    <w:rsid w:val="00153427"/>
    <w:rsid w:val="001564E1"/>
    <w:rsid w:val="0015671A"/>
    <w:rsid w:val="001573DE"/>
    <w:rsid w:val="00182FB2"/>
    <w:rsid w:val="00195C4D"/>
    <w:rsid w:val="00197E1F"/>
    <w:rsid w:val="00197E3E"/>
    <w:rsid w:val="001A59DE"/>
    <w:rsid w:val="001B6505"/>
    <w:rsid w:val="001C7A4C"/>
    <w:rsid w:val="001D5BF6"/>
    <w:rsid w:val="001F0B8B"/>
    <w:rsid w:val="001F4E90"/>
    <w:rsid w:val="0020319F"/>
    <w:rsid w:val="002041D1"/>
    <w:rsid w:val="00215D99"/>
    <w:rsid w:val="0021694A"/>
    <w:rsid w:val="00220075"/>
    <w:rsid w:val="00220B10"/>
    <w:rsid w:val="00223E72"/>
    <w:rsid w:val="00227DE4"/>
    <w:rsid w:val="002348D9"/>
    <w:rsid w:val="002348FA"/>
    <w:rsid w:val="00247EFC"/>
    <w:rsid w:val="00257436"/>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D49D0"/>
    <w:rsid w:val="002D62A9"/>
    <w:rsid w:val="002E0B93"/>
    <w:rsid w:val="002E39E8"/>
    <w:rsid w:val="002F6580"/>
    <w:rsid w:val="00300223"/>
    <w:rsid w:val="00301549"/>
    <w:rsid w:val="00304D86"/>
    <w:rsid w:val="003070DC"/>
    <w:rsid w:val="00312B57"/>
    <w:rsid w:val="00341353"/>
    <w:rsid w:val="00350819"/>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3DAC"/>
    <w:rsid w:val="00434A8A"/>
    <w:rsid w:val="004445D6"/>
    <w:rsid w:val="00447802"/>
    <w:rsid w:val="00456C36"/>
    <w:rsid w:val="00456F4B"/>
    <w:rsid w:val="00462568"/>
    <w:rsid w:val="00464902"/>
    <w:rsid w:val="00472C1A"/>
    <w:rsid w:val="004855D9"/>
    <w:rsid w:val="004A483B"/>
    <w:rsid w:val="004A5DEA"/>
    <w:rsid w:val="004B1822"/>
    <w:rsid w:val="004B569D"/>
    <w:rsid w:val="004C131F"/>
    <w:rsid w:val="004D283C"/>
    <w:rsid w:val="004D75A9"/>
    <w:rsid w:val="004E22E6"/>
    <w:rsid w:val="004F0C55"/>
    <w:rsid w:val="004F16E7"/>
    <w:rsid w:val="00505DD6"/>
    <w:rsid w:val="00511152"/>
    <w:rsid w:val="0051618C"/>
    <w:rsid w:val="0055205C"/>
    <w:rsid w:val="00574E1F"/>
    <w:rsid w:val="00583AD9"/>
    <w:rsid w:val="00585144"/>
    <w:rsid w:val="005D4042"/>
    <w:rsid w:val="005D591B"/>
    <w:rsid w:val="005D6040"/>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A584F"/>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749"/>
    <w:rsid w:val="0078583C"/>
    <w:rsid w:val="00792E03"/>
    <w:rsid w:val="0079373C"/>
    <w:rsid w:val="007A5815"/>
    <w:rsid w:val="007B10D1"/>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2303"/>
    <w:rsid w:val="008C495E"/>
    <w:rsid w:val="008C55B1"/>
    <w:rsid w:val="0090054A"/>
    <w:rsid w:val="009078F0"/>
    <w:rsid w:val="00912158"/>
    <w:rsid w:val="00915D99"/>
    <w:rsid w:val="00916F88"/>
    <w:rsid w:val="00921AD3"/>
    <w:rsid w:val="00922740"/>
    <w:rsid w:val="0093171E"/>
    <w:rsid w:val="009425B7"/>
    <w:rsid w:val="00950AA4"/>
    <w:rsid w:val="009528D9"/>
    <w:rsid w:val="009624AE"/>
    <w:rsid w:val="00965238"/>
    <w:rsid w:val="0097610B"/>
    <w:rsid w:val="0097639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52D1"/>
    <w:rsid w:val="00BB7F54"/>
    <w:rsid w:val="00BC610A"/>
    <w:rsid w:val="00BD0804"/>
    <w:rsid w:val="00BD65EE"/>
    <w:rsid w:val="00BD7EBC"/>
    <w:rsid w:val="00BE2780"/>
    <w:rsid w:val="00BE7495"/>
    <w:rsid w:val="00BF0672"/>
    <w:rsid w:val="00BF1550"/>
    <w:rsid w:val="00BF4F9A"/>
    <w:rsid w:val="00BF7D0E"/>
    <w:rsid w:val="00C12E3E"/>
    <w:rsid w:val="00C21A4B"/>
    <w:rsid w:val="00C34E83"/>
    <w:rsid w:val="00C46144"/>
    <w:rsid w:val="00C47469"/>
    <w:rsid w:val="00C505AE"/>
    <w:rsid w:val="00C66DB1"/>
    <w:rsid w:val="00C670BC"/>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3039F"/>
    <w:rsid w:val="00D32B08"/>
    <w:rsid w:val="00D37130"/>
    <w:rsid w:val="00D435DB"/>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70AE"/>
    <w:rsid w:val="00DD3375"/>
    <w:rsid w:val="00DE5BCE"/>
    <w:rsid w:val="00DF74BC"/>
    <w:rsid w:val="00E07DDD"/>
    <w:rsid w:val="00E136F7"/>
    <w:rsid w:val="00E23901"/>
    <w:rsid w:val="00E2570F"/>
    <w:rsid w:val="00E31C1C"/>
    <w:rsid w:val="00E342E5"/>
    <w:rsid w:val="00E37F6F"/>
    <w:rsid w:val="00E4628F"/>
    <w:rsid w:val="00E55191"/>
    <w:rsid w:val="00E600C5"/>
    <w:rsid w:val="00E615E8"/>
    <w:rsid w:val="00E62C39"/>
    <w:rsid w:val="00E70ABA"/>
    <w:rsid w:val="00E7114D"/>
    <w:rsid w:val="00E72BE2"/>
    <w:rsid w:val="00E75382"/>
    <w:rsid w:val="00E8480F"/>
    <w:rsid w:val="00EA1A14"/>
    <w:rsid w:val="00EB0DF5"/>
    <w:rsid w:val="00EC0693"/>
    <w:rsid w:val="00EC7330"/>
    <w:rsid w:val="00ED03AD"/>
    <w:rsid w:val="00ED2B5E"/>
    <w:rsid w:val="00ED78EE"/>
    <w:rsid w:val="00EE0ABC"/>
    <w:rsid w:val="00EE0BF0"/>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A3D"/>
    <w:rsid w:val="00F76960"/>
    <w:rsid w:val="00F772C1"/>
    <w:rsid w:val="00F810DB"/>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45768</c:v>
                </c:pt>
                <c:pt idx="1">
                  <c:v>45769</c:v>
                </c:pt>
                <c:pt idx="2">
                  <c:v>45770</c:v>
                </c:pt>
                <c:pt idx="3">
                  <c:v>45771</c:v>
                </c:pt>
                <c:pt idx="4">
                  <c:v>45772</c:v>
                </c:pt>
                <c:pt idx="5">
                  <c:v>45775</c:v>
                </c:pt>
              </c:numCache>
            </c:numRef>
          </c:cat>
          <c:val>
            <c:numRef>
              <c:f>'图表6 在岸、离岸人民币及价差'!$G$5:$G$10</c:f>
              <c:numCache>
                <c:formatCode>0.0000_ </c:formatCode>
                <c:ptCount val="6"/>
                <c:pt idx="0">
                  <c:v>4.7999999999994714E-3</c:v>
                </c:pt>
                <c:pt idx="1">
                  <c:v>-3.0999999999998806E-3</c:v>
                </c:pt>
                <c:pt idx="2">
                  <c:v>-8.0000000000000071E-3</c:v>
                </c:pt>
                <c:pt idx="3">
                  <c:v>-5.2000000000003155E-3</c:v>
                </c:pt>
                <c:pt idx="4">
                  <c:v>5.7000000000000384E-3</c:v>
                </c:pt>
                <c:pt idx="5">
                  <c:v>-1.4499999999999957E-2</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45768</c:v>
                </c:pt>
                <c:pt idx="1">
                  <c:v>45769</c:v>
                </c:pt>
                <c:pt idx="2">
                  <c:v>45770</c:v>
                </c:pt>
                <c:pt idx="3">
                  <c:v>45771</c:v>
                </c:pt>
                <c:pt idx="4">
                  <c:v>45772</c:v>
                </c:pt>
                <c:pt idx="5">
                  <c:v>45775</c:v>
                </c:pt>
              </c:numCache>
            </c:numRef>
          </c:cat>
          <c:val>
            <c:numRef>
              <c:f>'图表6 在岸、离岸人民币及价差'!$B$5:$B$10</c:f>
              <c:numCache>
                <c:formatCode>0.0000</c:formatCode>
                <c:ptCount val="6"/>
                <c:pt idx="0">
                  <c:v>7.2880000000000003</c:v>
                </c:pt>
                <c:pt idx="1">
                  <c:v>7.3144999999999998</c:v>
                </c:pt>
                <c:pt idx="2">
                  <c:v>7.2954999999999997</c:v>
                </c:pt>
                <c:pt idx="3">
                  <c:v>7.2930999999999999</c:v>
                </c:pt>
                <c:pt idx="4">
                  <c:v>7.2831999999999999</c:v>
                </c:pt>
                <c:pt idx="5">
                  <c:v>7.2995000000000001</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45768</c:v>
                </c:pt>
                <c:pt idx="1">
                  <c:v>45769</c:v>
                </c:pt>
                <c:pt idx="2">
                  <c:v>45770</c:v>
                </c:pt>
                <c:pt idx="3">
                  <c:v>45771</c:v>
                </c:pt>
                <c:pt idx="4">
                  <c:v>45772</c:v>
                </c:pt>
                <c:pt idx="5">
                  <c:v>45775</c:v>
                </c:pt>
              </c:numCache>
            </c:numRef>
          </c:cat>
          <c:val>
            <c:numRef>
              <c:f>'图表6 在岸、离岸人民币及价差'!$E$5:$E$10</c:f>
              <c:numCache>
                <c:formatCode>0.0000</c:formatCode>
                <c:ptCount val="6"/>
                <c:pt idx="0">
                  <c:v>7.2927999999999997</c:v>
                </c:pt>
                <c:pt idx="1">
                  <c:v>7.3113999999999999</c:v>
                </c:pt>
                <c:pt idx="2">
                  <c:v>7.2874999999999996</c:v>
                </c:pt>
                <c:pt idx="3">
                  <c:v>7.2878999999999996</c:v>
                </c:pt>
                <c:pt idx="4">
                  <c:v>7.2888999999999999</c:v>
                </c:pt>
                <c:pt idx="5">
                  <c:v>7.2850000000000001</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ACE7-E828-40AF-AC71-EF483A67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5</cp:revision>
  <cp:lastPrinted>2024-12-24T02:37:00Z</cp:lastPrinted>
  <dcterms:created xsi:type="dcterms:W3CDTF">2025-04-22T01:44:00Z</dcterms:created>
  <dcterms:modified xsi:type="dcterms:W3CDTF">2025-04-29T01:56:00Z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