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C58856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71C60">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E71C60">
        <w:rPr>
          <w:rFonts w:ascii="微软雅黑" w:eastAsia="微软雅黑" w:hAnsi="微软雅黑" w:cs="微软雅黑"/>
          <w:b/>
          <w:bCs/>
          <w:color w:val="005D97"/>
          <w:spacing w:val="-22"/>
          <w:sz w:val="48"/>
          <w:szCs w:val="48"/>
          <w:lang w:eastAsia="zh-CN"/>
        </w:rPr>
        <w:t>02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04C5E43" w:rsidR="00904B93" w:rsidRDefault="00E71C60" w:rsidP="0059328D">
      <w:pPr>
        <w:ind w:firstLineChars="200" w:firstLine="468"/>
        <w:rPr>
          <w:rFonts w:ascii="微软雅黑" w:eastAsia="微软雅黑" w:hAnsi="微软雅黑" w:cs="微软雅黑"/>
          <w:spacing w:val="12"/>
          <w:lang w:eastAsia="zh-CN"/>
        </w:rPr>
      </w:pPr>
      <w:r w:rsidRPr="00E71C60">
        <w:rPr>
          <w:rFonts w:ascii="微软雅黑" w:eastAsia="微软雅黑" w:hAnsi="微软雅黑" w:cs="微软雅黑" w:hint="eastAsia"/>
          <w:spacing w:val="12"/>
          <w:lang w:eastAsia="zh-CN"/>
        </w:rPr>
        <w:t>受美国劳动节假期影响，美股9月1日休市一日。</w:t>
      </w:r>
      <w:r w:rsidRPr="00E71C60">
        <w:rPr>
          <w:rFonts w:ascii="微软雅黑" w:eastAsia="微软雅黑" w:hAnsi="微软雅黑" w:cs="微软雅黑" w:hint="eastAsia"/>
          <w:spacing w:val="12"/>
          <w:lang w:eastAsia="zh-CN"/>
        </w:rPr>
        <w:t>美元指数跌</w:t>
      </w:r>
      <w:r w:rsidRPr="00E71C60">
        <w:rPr>
          <w:rFonts w:cs="微软雅黑" w:hint="eastAsia"/>
          <w:spacing w:val="12"/>
          <w:lang w:eastAsia="zh-CN"/>
        </w:rPr>
        <w:t>0.18%</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97.68</w:t>
      </w:r>
      <w:r w:rsidRPr="00E71C60">
        <w:rPr>
          <w:rFonts w:ascii="微软雅黑" w:eastAsia="微软雅黑" w:hAnsi="微软雅黑" w:cs="微软雅黑" w:hint="eastAsia"/>
          <w:spacing w:val="12"/>
          <w:lang w:eastAsia="zh-CN"/>
        </w:rPr>
        <w:t>，非美货币多数上涨，欧元兑美元涨0.22%报1.1712，英镑兑美元涨0.30%报1.3546，美元兑日元涨0.08%报147.1715</w:t>
      </w:r>
      <w:r>
        <w:rPr>
          <w:rFonts w:ascii="微软雅黑" w:eastAsia="微软雅黑" w:hAnsi="微软雅黑" w:cs="微软雅黑" w:hint="eastAsia"/>
          <w:spacing w:val="12"/>
          <w:lang w:eastAsia="zh-CN"/>
        </w:rPr>
        <w:t>，</w:t>
      </w:r>
      <w:r w:rsidRPr="00E71C60">
        <w:rPr>
          <w:rFonts w:ascii="微软雅黑" w:eastAsia="微软雅黑" w:hAnsi="微软雅黑" w:cs="微软雅黑" w:hint="eastAsia"/>
          <w:spacing w:val="12"/>
          <w:lang w:eastAsia="zh-CN"/>
        </w:rPr>
        <w:t>离岸人民币对美元跌131个基点报7.1351。</w:t>
      </w:r>
      <w:r w:rsidRPr="00E71C60">
        <w:rPr>
          <w:rFonts w:ascii="微软雅黑" w:eastAsia="微软雅黑" w:hAnsi="微软雅黑" w:cs="微软雅黑" w:hint="eastAsia"/>
          <w:spacing w:val="12"/>
          <w:lang w:eastAsia="zh-CN"/>
        </w:rPr>
        <w:t>美油主力合约涨</w:t>
      </w:r>
      <w:r w:rsidRPr="00E71C60">
        <w:rPr>
          <w:rFonts w:cs="微软雅黑" w:hint="eastAsia"/>
          <w:spacing w:val="12"/>
          <w:lang w:eastAsia="zh-CN"/>
        </w:rPr>
        <w:t>0.94%</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64.61</w:t>
      </w:r>
      <w:r w:rsidRPr="00E71C60">
        <w:rPr>
          <w:rFonts w:ascii="微软雅黑" w:eastAsia="微软雅黑" w:hAnsi="微软雅黑" w:cs="微软雅黑" w:hint="eastAsia"/>
          <w:spacing w:val="12"/>
          <w:lang w:eastAsia="zh-CN"/>
        </w:rPr>
        <w:t>美元</w:t>
      </w:r>
      <w:r w:rsidRPr="00E71C60">
        <w:rPr>
          <w:rFonts w:cs="微软雅黑" w:hint="eastAsia"/>
          <w:spacing w:val="12"/>
          <w:lang w:eastAsia="zh-CN"/>
        </w:rPr>
        <w:t>/</w:t>
      </w:r>
      <w:r w:rsidRPr="00E71C60">
        <w:rPr>
          <w:rFonts w:ascii="微软雅黑" w:eastAsia="微软雅黑" w:hAnsi="微软雅黑" w:cs="微软雅黑" w:hint="eastAsia"/>
          <w:spacing w:val="12"/>
          <w:lang w:eastAsia="zh-CN"/>
        </w:rPr>
        <w:t>桶。布伦特原油主力合约涨</w:t>
      </w:r>
      <w:r w:rsidRPr="00E71C60">
        <w:rPr>
          <w:rFonts w:cs="微软雅黑" w:hint="eastAsia"/>
          <w:spacing w:val="12"/>
          <w:lang w:eastAsia="zh-CN"/>
        </w:rPr>
        <w:t>1.01%</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68.16</w:t>
      </w:r>
      <w:r w:rsidRPr="00E71C60">
        <w:rPr>
          <w:rFonts w:ascii="微软雅黑" w:eastAsia="微软雅黑" w:hAnsi="微软雅黑" w:cs="微软雅黑" w:hint="eastAsia"/>
          <w:spacing w:val="12"/>
          <w:lang w:eastAsia="zh-CN"/>
        </w:rPr>
        <w:t>美元</w:t>
      </w:r>
      <w:r w:rsidRPr="00E71C60">
        <w:rPr>
          <w:rFonts w:cs="微软雅黑" w:hint="eastAsia"/>
          <w:spacing w:val="12"/>
          <w:lang w:eastAsia="zh-CN"/>
        </w:rPr>
        <w:t>/</w:t>
      </w:r>
      <w:r w:rsidRPr="00E71C60">
        <w:rPr>
          <w:rFonts w:ascii="微软雅黑" w:eastAsia="微软雅黑" w:hAnsi="微软雅黑" w:cs="微软雅黑" w:hint="eastAsia"/>
          <w:spacing w:val="12"/>
          <w:lang w:eastAsia="zh-CN"/>
        </w:rPr>
        <w:t>桶</w:t>
      </w:r>
      <w:r w:rsidRPr="00E71C60">
        <w:rPr>
          <w:rFonts w:ascii="微软雅黑" w:eastAsia="微软雅黑" w:hAnsi="微软雅黑" w:cs="微软雅黑" w:hint="eastAsia"/>
          <w:spacing w:val="12"/>
          <w:lang w:eastAsia="zh-CN"/>
        </w:rPr>
        <w:t>。</w:t>
      </w:r>
      <w:r w:rsidRPr="00E71C60">
        <w:rPr>
          <w:rFonts w:ascii="微软雅黑" w:eastAsia="微软雅黑" w:hAnsi="微软雅黑" w:cs="微软雅黑" w:hint="eastAsia"/>
          <w:spacing w:val="12"/>
          <w:lang w:eastAsia="zh-CN"/>
        </w:rPr>
        <w:t>国际贵金属期货普遍收涨，</w:t>
      </w:r>
      <w:r w:rsidRPr="00E71C60">
        <w:rPr>
          <w:rFonts w:cs="微软雅黑" w:hint="eastAsia"/>
          <w:spacing w:val="12"/>
          <w:lang w:eastAsia="zh-CN"/>
        </w:rPr>
        <w:t>COMEX</w:t>
      </w:r>
      <w:r w:rsidRPr="00E71C60">
        <w:rPr>
          <w:rFonts w:ascii="微软雅黑" w:eastAsia="微软雅黑" w:hAnsi="微软雅黑" w:cs="微软雅黑" w:hint="eastAsia"/>
          <w:spacing w:val="12"/>
          <w:lang w:eastAsia="zh-CN"/>
        </w:rPr>
        <w:t>黄金期货涨</w:t>
      </w:r>
      <w:r w:rsidRPr="00E71C60">
        <w:rPr>
          <w:rFonts w:cs="微软雅黑" w:hint="eastAsia"/>
          <w:spacing w:val="12"/>
          <w:lang w:eastAsia="zh-CN"/>
        </w:rPr>
        <w:t>0.84%</w:t>
      </w:r>
      <w:r w:rsidRPr="00E71C60">
        <w:rPr>
          <w:rFonts w:ascii="微软雅黑" w:eastAsia="微软雅黑" w:hAnsi="微软雅黑" w:cs="微软雅黑" w:hint="eastAsia"/>
          <w:spacing w:val="12"/>
          <w:lang w:eastAsia="zh-CN"/>
        </w:rPr>
        <w:t>报</w:t>
      </w:r>
      <w:r w:rsidRPr="00E71C60">
        <w:rPr>
          <w:rFonts w:cs="微软雅黑" w:hint="eastAsia"/>
          <w:spacing w:val="12"/>
          <w:lang w:eastAsia="zh-CN"/>
        </w:rPr>
        <w:t>3545.8</w:t>
      </w:r>
      <w:r w:rsidRPr="00E71C60">
        <w:rPr>
          <w:rFonts w:ascii="微软雅黑" w:eastAsia="微软雅黑" w:hAnsi="微软雅黑" w:cs="微软雅黑" w:hint="eastAsia"/>
          <w:spacing w:val="12"/>
          <w:lang w:eastAsia="zh-CN"/>
        </w:rPr>
        <w:t>美元</w:t>
      </w:r>
      <w:r w:rsidRPr="00E71C60">
        <w:rPr>
          <w:rFonts w:cs="微软雅黑" w:hint="eastAsia"/>
          <w:spacing w:val="12"/>
          <w:lang w:eastAsia="zh-CN"/>
        </w:rPr>
        <w:t>/</w:t>
      </w:r>
      <w:r w:rsidRPr="00E71C60">
        <w:rPr>
          <w:rFonts w:ascii="微软雅黑" w:eastAsia="微软雅黑" w:hAnsi="微软雅黑" w:cs="微软雅黑" w:hint="eastAsia"/>
          <w:spacing w:val="12"/>
          <w:lang w:eastAsia="zh-CN"/>
        </w:rPr>
        <w:t>盎司</w:t>
      </w:r>
      <w:r w:rsidRPr="00E71C60">
        <w:rPr>
          <w:rFonts w:ascii="微软雅黑" w:eastAsia="微软雅黑" w:hAnsi="微软雅黑" w:cs="微软雅黑" w:hint="eastAsia"/>
          <w:spacing w:val="12"/>
          <w:lang w:eastAsia="zh-CN"/>
        </w:rPr>
        <w:t>，</w:t>
      </w:r>
      <w:r w:rsidRPr="00E71C60">
        <w:rPr>
          <w:rFonts w:ascii="微软雅黑" w:eastAsia="微软雅黑" w:hAnsi="微软雅黑" w:cs="微软雅黑"/>
          <w:spacing w:val="12"/>
          <w:lang w:eastAsia="zh-CN"/>
        </w:rPr>
        <w:t>COMEX</w:t>
      </w:r>
      <w:r w:rsidRPr="00E71C60">
        <w:rPr>
          <w:rFonts w:ascii="微软雅黑" w:eastAsia="微软雅黑" w:hAnsi="微软雅黑" w:cs="微软雅黑" w:hint="eastAsia"/>
          <w:spacing w:val="12"/>
          <w:lang w:eastAsia="zh-CN"/>
        </w:rPr>
        <w:t>白银期货涨2.46%报41.725美元/盎司。</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13506FF" w:rsidR="00557736" w:rsidRPr="0022448B" w:rsidRDefault="00E71C60"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7187957" wp14:editId="7E173B43">
            <wp:extent cx="6077709" cy="35895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555" cy="3591777"/>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36B1936F" w:rsidR="00B76B63" w:rsidRPr="002549D7" w:rsidRDefault="00B76B63" w:rsidP="00654E6B">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美国财长贝森特表示，特朗普今年秋季可能宣布国家住房紧急状态以应对房价上涨和供应减少问题</w:t>
      </w:r>
      <w:r w:rsidR="00E71C60" w:rsidRPr="00E71C60">
        <w:rPr>
          <w:rFonts w:ascii="微软雅黑" w:eastAsia="微软雅黑" w:hAnsi="微软雅黑" w:cs="微软雅黑" w:hint="eastAsia"/>
          <w:spacing w:val="12"/>
          <w:lang w:eastAsia="zh-CN"/>
        </w:rPr>
        <w:t>。美联储理事提名人米兰很有可能在9月美联储会议前就职。</w:t>
      </w:r>
      <w:r w:rsidRPr="002549D7">
        <w:rPr>
          <w:rFonts w:ascii="微软雅黑" w:eastAsia="微软雅黑" w:hAnsi="微软雅黑" w:cs="微软雅黑" w:hint="eastAsia"/>
          <w:spacing w:val="12"/>
          <w:lang w:eastAsia="zh-CN"/>
        </w:rPr>
        <w:t>】</w:t>
      </w:r>
    </w:p>
    <w:p w14:paraId="7A6AC1C8" w14:textId="522027F1" w:rsidR="00A209AB" w:rsidRPr="002549D7" w:rsidRDefault="00EF097E"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欧央行行长拉加德表示，</w:t>
      </w:r>
      <w:r w:rsidR="00E71C60" w:rsidRPr="00E71C60">
        <w:rPr>
          <w:rFonts w:cs="微软雅黑" w:hint="eastAsia"/>
          <w:spacing w:val="12"/>
          <w:lang w:eastAsia="zh-CN"/>
        </w:rPr>
        <w:t>2%</w:t>
      </w:r>
      <w:r w:rsidR="00E71C60" w:rsidRPr="00E71C60">
        <w:rPr>
          <w:rFonts w:ascii="微软雅黑" w:eastAsia="微软雅黑" w:hAnsi="微软雅黑" w:cs="微软雅黑" w:hint="eastAsia"/>
          <w:spacing w:val="12"/>
          <w:lang w:eastAsia="zh-CN"/>
        </w:rPr>
        <w:t>的通胀目标已经达成，将继续采取必要措施确保通胀得到控制，价格保持稳定</w:t>
      </w:r>
      <w:r w:rsidR="00E71C60" w:rsidRPr="00E71C60">
        <w:rPr>
          <w:rFonts w:ascii="微软雅黑" w:eastAsia="微软雅黑" w:hAnsi="微软雅黑" w:cs="微软雅黑" w:hint="eastAsia"/>
          <w:spacing w:val="12"/>
          <w:lang w:eastAsia="zh-CN"/>
        </w:rPr>
        <w:t>。斯洛文尼亚央行代理行长称，欧洲央行的“宽松周期已经结束”。</w:t>
      </w:r>
      <w:r w:rsidRPr="002549D7">
        <w:rPr>
          <w:rFonts w:ascii="微软雅黑" w:eastAsia="微软雅黑" w:hAnsi="微软雅黑" w:cs="微软雅黑" w:hint="eastAsia"/>
          <w:spacing w:val="12"/>
          <w:lang w:eastAsia="zh-CN"/>
        </w:rPr>
        <w:t>】</w:t>
      </w:r>
    </w:p>
    <w:p w14:paraId="62059353" w14:textId="2983B630" w:rsidR="00A42DFF" w:rsidRDefault="00A42DFF" w:rsidP="00A42DFF">
      <w:pPr>
        <w:spacing w:before="102" w:line="257" w:lineRule="auto"/>
        <w:ind w:right="210"/>
        <w:jc w:val="both"/>
        <w:rPr>
          <w:rFonts w:ascii="微软雅黑" w:eastAsia="微软雅黑" w:hAnsi="微软雅黑" w:cs="微软雅黑"/>
          <w:spacing w:val="12"/>
          <w:lang w:eastAsia="zh-CN"/>
        </w:rPr>
      </w:pPr>
      <w:r w:rsidRPr="002549D7">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欧元区</w:t>
      </w:r>
      <w:r w:rsidR="00E71C60" w:rsidRPr="00E71C60">
        <w:rPr>
          <w:rFonts w:cs="微软雅黑" w:hint="eastAsia"/>
          <w:spacing w:val="12"/>
          <w:lang w:eastAsia="zh-CN"/>
        </w:rPr>
        <w:t>8</w:t>
      </w:r>
      <w:r w:rsidR="00E71C60" w:rsidRPr="00E71C60">
        <w:rPr>
          <w:rFonts w:ascii="微软雅黑" w:eastAsia="微软雅黑" w:hAnsi="微软雅黑" w:cs="微软雅黑" w:hint="eastAsia"/>
          <w:spacing w:val="12"/>
          <w:lang w:eastAsia="zh-CN"/>
        </w:rPr>
        <w:t>月制造业</w:t>
      </w:r>
      <w:r w:rsidR="00E71C60" w:rsidRPr="00E71C60">
        <w:rPr>
          <w:rFonts w:cs="微软雅黑" w:hint="eastAsia"/>
          <w:spacing w:val="12"/>
          <w:lang w:eastAsia="zh-CN"/>
        </w:rPr>
        <w:t>PMI</w:t>
      </w:r>
      <w:r w:rsidR="00E71C60" w:rsidRPr="00E71C60">
        <w:rPr>
          <w:rFonts w:ascii="微软雅黑" w:eastAsia="微软雅黑" w:hAnsi="微软雅黑" w:cs="微软雅黑" w:hint="eastAsia"/>
          <w:spacing w:val="12"/>
          <w:lang w:eastAsia="zh-CN"/>
        </w:rPr>
        <w:t>终值从</w:t>
      </w:r>
      <w:r w:rsidR="00E71C60" w:rsidRPr="00E71C60">
        <w:rPr>
          <w:rFonts w:cs="微软雅黑" w:hint="eastAsia"/>
          <w:spacing w:val="12"/>
          <w:lang w:eastAsia="zh-CN"/>
        </w:rPr>
        <w:t>7</w:t>
      </w:r>
      <w:r w:rsidR="00E71C60" w:rsidRPr="00E71C60">
        <w:rPr>
          <w:rFonts w:ascii="微软雅黑" w:eastAsia="微软雅黑" w:hAnsi="微软雅黑" w:cs="微软雅黑" w:hint="eastAsia"/>
          <w:spacing w:val="12"/>
          <w:lang w:eastAsia="zh-CN"/>
        </w:rPr>
        <w:t>月份的</w:t>
      </w:r>
      <w:r w:rsidR="00E71C60" w:rsidRPr="00E71C60">
        <w:rPr>
          <w:rFonts w:cs="微软雅黑" w:hint="eastAsia"/>
          <w:spacing w:val="12"/>
          <w:lang w:eastAsia="zh-CN"/>
        </w:rPr>
        <w:t>49.8</w:t>
      </w:r>
      <w:r w:rsidR="00E71C60" w:rsidRPr="00E71C60">
        <w:rPr>
          <w:rFonts w:ascii="微软雅黑" w:eastAsia="微软雅黑" w:hAnsi="微软雅黑" w:cs="微软雅黑" w:hint="eastAsia"/>
          <w:spacing w:val="12"/>
          <w:lang w:eastAsia="zh-CN"/>
        </w:rPr>
        <w:t>升至</w:t>
      </w:r>
      <w:r w:rsidR="00E71C60" w:rsidRPr="00E71C60">
        <w:rPr>
          <w:rFonts w:cs="微软雅黑" w:hint="eastAsia"/>
          <w:spacing w:val="12"/>
          <w:lang w:eastAsia="zh-CN"/>
        </w:rPr>
        <w:t>50.7</w:t>
      </w:r>
      <w:r w:rsidR="00E71C60" w:rsidRPr="00E71C60">
        <w:rPr>
          <w:rFonts w:ascii="微软雅黑" w:eastAsia="微软雅黑" w:hAnsi="微软雅黑" w:cs="微软雅黑" w:hint="eastAsia"/>
          <w:spacing w:val="12"/>
          <w:lang w:eastAsia="zh-CN"/>
        </w:rPr>
        <w:t>的三年多高点，高于初值</w:t>
      </w:r>
      <w:r w:rsidR="00E71C60" w:rsidRPr="00E71C60">
        <w:rPr>
          <w:rFonts w:cs="微软雅黑" w:hint="eastAsia"/>
          <w:spacing w:val="12"/>
          <w:lang w:eastAsia="zh-CN"/>
        </w:rPr>
        <w:t>50.5</w:t>
      </w:r>
      <w:r w:rsidR="00E71C60" w:rsidRPr="00E71C60">
        <w:rPr>
          <w:rFonts w:ascii="微软雅黑" w:eastAsia="微软雅黑" w:hAnsi="微软雅黑" w:cs="微软雅黑" w:hint="eastAsia"/>
          <w:spacing w:val="12"/>
          <w:lang w:eastAsia="zh-CN"/>
        </w:rPr>
        <w:t>，自</w:t>
      </w:r>
      <w:r w:rsidR="00E71C60" w:rsidRPr="00E71C60">
        <w:rPr>
          <w:rFonts w:cs="微软雅黑" w:hint="eastAsia"/>
          <w:spacing w:val="12"/>
          <w:lang w:eastAsia="zh-CN"/>
        </w:rPr>
        <w:t>2022</w:t>
      </w:r>
      <w:r w:rsidR="00E71C60" w:rsidRPr="00E71C60">
        <w:rPr>
          <w:rFonts w:ascii="微软雅黑" w:eastAsia="微软雅黑" w:hAnsi="微软雅黑" w:cs="微软雅黑" w:hint="eastAsia"/>
          <w:spacing w:val="12"/>
          <w:lang w:eastAsia="zh-CN"/>
        </w:rPr>
        <w:t>年中期以来首次扩张</w:t>
      </w:r>
      <w:r w:rsidR="00E71C60" w:rsidRPr="00E71C60">
        <w:rPr>
          <w:rFonts w:ascii="微软雅黑" w:eastAsia="微软雅黑" w:hAnsi="微软雅黑" w:cs="微软雅黑" w:hint="eastAsia"/>
          <w:spacing w:val="12"/>
          <w:lang w:eastAsia="zh-CN"/>
        </w:rPr>
        <w:t>。工厂产量、新订单增速达到近三年半以来的最快。</w:t>
      </w:r>
      <w:r w:rsidRPr="002549D7">
        <w:rPr>
          <w:rFonts w:ascii="微软雅黑" w:eastAsia="微软雅黑" w:hAnsi="微软雅黑" w:cs="微软雅黑" w:hint="eastAsia"/>
          <w:spacing w:val="12"/>
          <w:lang w:eastAsia="zh-CN"/>
        </w:rPr>
        <w:t>】</w:t>
      </w:r>
    </w:p>
    <w:p w14:paraId="3D02FC29" w14:textId="2F9AB82B" w:rsidR="003E226A" w:rsidRDefault="003E226A" w:rsidP="00A42DFF">
      <w:pPr>
        <w:spacing w:before="102" w:line="257" w:lineRule="auto"/>
        <w:ind w:right="210"/>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w:t>
      </w:r>
      <w:r w:rsidR="00E71C60" w:rsidRPr="00E71C60">
        <w:rPr>
          <w:rFonts w:ascii="微软雅黑" w:eastAsia="微软雅黑" w:hAnsi="微软雅黑" w:cs="微软雅黑" w:hint="eastAsia"/>
          <w:spacing w:val="12"/>
          <w:lang w:eastAsia="zh-CN"/>
        </w:rPr>
        <w:t>欧盟统计局公布的数据显示，欧元区</w:t>
      </w:r>
      <w:r w:rsidR="00E71C60" w:rsidRPr="00E71C60">
        <w:rPr>
          <w:rFonts w:ascii="微软雅黑" w:eastAsia="微软雅黑" w:hAnsi="微软雅黑" w:cs="微软雅黑"/>
          <w:spacing w:val="12"/>
          <w:lang w:eastAsia="zh-CN"/>
        </w:rPr>
        <w:t>7</w:t>
      </w:r>
      <w:r w:rsidR="00E71C60" w:rsidRPr="00E71C60">
        <w:rPr>
          <w:rFonts w:ascii="微软雅黑" w:eastAsia="微软雅黑" w:hAnsi="微软雅黑" w:cs="微软雅黑" w:hint="eastAsia"/>
          <w:spacing w:val="12"/>
          <w:lang w:eastAsia="zh-CN"/>
        </w:rPr>
        <w:t>月失业率从</w:t>
      </w:r>
      <w:r w:rsidR="00E71C60" w:rsidRPr="00E71C60">
        <w:rPr>
          <w:rFonts w:ascii="微软雅黑" w:eastAsia="微软雅黑" w:hAnsi="微软雅黑" w:cs="微软雅黑"/>
          <w:spacing w:val="12"/>
          <w:lang w:eastAsia="zh-CN"/>
        </w:rPr>
        <w:t>6</w:t>
      </w:r>
      <w:r w:rsidR="00E71C60" w:rsidRPr="00E71C60">
        <w:rPr>
          <w:rFonts w:ascii="微软雅黑" w:eastAsia="微软雅黑" w:hAnsi="微软雅黑" w:cs="微软雅黑" w:hint="eastAsia"/>
          <w:spacing w:val="12"/>
          <w:lang w:eastAsia="zh-CN"/>
        </w:rPr>
        <w:t>月的</w:t>
      </w:r>
      <w:r w:rsidR="00E71C60" w:rsidRPr="00E71C60">
        <w:rPr>
          <w:rFonts w:ascii="微软雅黑" w:eastAsia="微软雅黑" w:hAnsi="微软雅黑" w:cs="微软雅黑"/>
          <w:spacing w:val="12"/>
          <w:lang w:eastAsia="zh-CN"/>
        </w:rPr>
        <w:t>6.3%</w:t>
      </w:r>
      <w:r w:rsidR="00E71C60" w:rsidRPr="00E71C60">
        <w:rPr>
          <w:rFonts w:ascii="微软雅黑" w:eastAsia="微软雅黑" w:hAnsi="微软雅黑" w:cs="微软雅黑" w:hint="eastAsia"/>
          <w:spacing w:val="12"/>
          <w:lang w:eastAsia="zh-CN"/>
        </w:rPr>
        <w:t>降至</w:t>
      </w:r>
      <w:r w:rsidR="00E71C60" w:rsidRPr="00E71C60">
        <w:rPr>
          <w:rFonts w:ascii="微软雅黑" w:eastAsia="微软雅黑" w:hAnsi="微软雅黑" w:cs="微软雅黑"/>
          <w:spacing w:val="12"/>
          <w:lang w:eastAsia="zh-CN"/>
        </w:rPr>
        <w:t>6.2%</w:t>
      </w:r>
      <w:r w:rsidR="00E71C60" w:rsidRPr="00E71C60">
        <w:rPr>
          <w:rFonts w:ascii="微软雅黑" w:eastAsia="微软雅黑" w:hAnsi="微软雅黑" w:cs="微软雅黑" w:hint="eastAsia"/>
          <w:spacing w:val="12"/>
          <w:lang w:eastAsia="zh-CN"/>
        </w:rPr>
        <w:t>，失业人数减少了</w:t>
      </w:r>
      <w:r w:rsidR="00E71C60" w:rsidRPr="00E71C60">
        <w:rPr>
          <w:rFonts w:ascii="微软雅黑" w:eastAsia="微软雅黑" w:hAnsi="微软雅黑" w:cs="微软雅黑"/>
          <w:spacing w:val="12"/>
          <w:lang w:eastAsia="zh-CN"/>
        </w:rPr>
        <w:t>17</w:t>
      </w:r>
      <w:r w:rsidR="00E71C60" w:rsidRPr="00E71C60">
        <w:rPr>
          <w:rFonts w:ascii="微软雅黑" w:eastAsia="微软雅黑" w:hAnsi="微软雅黑" w:cs="微软雅黑" w:hint="eastAsia"/>
          <w:spacing w:val="12"/>
          <w:lang w:eastAsia="zh-CN"/>
        </w:rPr>
        <w:t>万人。这一数据追平了</w:t>
      </w:r>
      <w:r w:rsidR="00E71C60" w:rsidRPr="00E71C60">
        <w:rPr>
          <w:rFonts w:ascii="微软雅黑" w:eastAsia="微软雅黑" w:hAnsi="微软雅黑" w:cs="微软雅黑"/>
          <w:spacing w:val="12"/>
          <w:lang w:eastAsia="zh-CN"/>
        </w:rPr>
        <w:t>2024</w:t>
      </w:r>
      <w:r w:rsidR="00E71C60" w:rsidRPr="00E71C60">
        <w:rPr>
          <w:rFonts w:ascii="微软雅黑" w:eastAsia="微软雅黑" w:hAnsi="微软雅黑" w:cs="微软雅黑" w:hint="eastAsia"/>
          <w:spacing w:val="12"/>
          <w:lang w:eastAsia="zh-CN"/>
        </w:rPr>
        <w:t>年</w:t>
      </w:r>
      <w:r w:rsidR="00E71C60" w:rsidRPr="00E71C60">
        <w:rPr>
          <w:rFonts w:ascii="微软雅黑" w:eastAsia="微软雅黑" w:hAnsi="微软雅黑" w:cs="微软雅黑"/>
          <w:spacing w:val="12"/>
          <w:lang w:eastAsia="zh-CN"/>
        </w:rPr>
        <w:t>11</w:t>
      </w:r>
      <w:r w:rsidR="00E71C60" w:rsidRPr="00E71C60">
        <w:rPr>
          <w:rFonts w:ascii="微软雅黑" w:eastAsia="微软雅黑" w:hAnsi="微软雅黑" w:cs="微软雅黑" w:hint="eastAsia"/>
          <w:spacing w:val="12"/>
          <w:lang w:eastAsia="zh-CN"/>
        </w:rPr>
        <w:t>月创下的历史低点。</w:t>
      </w:r>
      <w:r>
        <w:rPr>
          <w:rFonts w:ascii="微软雅黑" w:eastAsia="微软雅黑" w:hAnsi="微软雅黑" w:cs="微软雅黑" w:hint="eastAsia"/>
          <w:spacing w:val="12"/>
          <w:lang w:eastAsia="zh-CN"/>
        </w:rPr>
        <w:t>】</w:t>
      </w:r>
    </w:p>
    <w:p w14:paraId="5D982927" w14:textId="61A9178D" w:rsidR="00E71C60" w:rsidRDefault="00E71C60" w:rsidP="00A42DFF">
      <w:pPr>
        <w:spacing w:before="102" w:line="257" w:lineRule="auto"/>
        <w:ind w:right="210"/>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w:t>
      </w:r>
      <w:r w:rsidRPr="00E71C60">
        <w:rPr>
          <w:rFonts w:ascii="微软雅黑" w:eastAsia="微软雅黑" w:hAnsi="微软雅黑" w:cs="微软雅黑" w:hint="eastAsia"/>
          <w:spacing w:val="12"/>
          <w:lang w:eastAsia="zh-CN"/>
        </w:rPr>
        <w:t>日本财务省统计显示，二季度日本制造业经常利润同比</w:t>
      </w:r>
      <w:bookmarkStart w:id="0" w:name="_GoBack"/>
      <w:bookmarkEnd w:id="0"/>
      <w:r w:rsidRPr="00E71C60">
        <w:rPr>
          <w:rFonts w:ascii="微软雅黑" w:eastAsia="微软雅黑" w:hAnsi="微软雅黑" w:cs="微软雅黑" w:hint="eastAsia"/>
          <w:spacing w:val="12"/>
          <w:lang w:eastAsia="zh-CN"/>
        </w:rPr>
        <w:t>减少</w:t>
      </w:r>
      <w:r w:rsidRPr="00E71C60">
        <w:rPr>
          <w:rFonts w:ascii="微软雅黑" w:eastAsia="微软雅黑" w:hAnsi="微软雅黑" w:cs="微软雅黑"/>
          <w:spacing w:val="12"/>
          <w:lang w:eastAsia="zh-CN"/>
        </w:rPr>
        <w:t>11.5%</w:t>
      </w:r>
      <w:r w:rsidRPr="00E71C60">
        <w:rPr>
          <w:rFonts w:ascii="微软雅黑" w:eastAsia="微软雅黑" w:hAnsi="微软雅黑" w:cs="微软雅黑" w:hint="eastAsia"/>
          <w:spacing w:val="12"/>
          <w:lang w:eastAsia="zh-CN"/>
        </w:rPr>
        <w:t>，为</w:t>
      </w:r>
      <w:r w:rsidRPr="00E71C60">
        <w:rPr>
          <w:rFonts w:ascii="微软雅黑" w:eastAsia="微软雅黑" w:hAnsi="微软雅黑" w:cs="微软雅黑"/>
          <w:spacing w:val="12"/>
          <w:lang w:eastAsia="zh-CN"/>
        </w:rPr>
        <w:t>11.27</w:t>
      </w:r>
      <w:r w:rsidRPr="00E71C60">
        <w:rPr>
          <w:rFonts w:ascii="微软雅黑" w:eastAsia="微软雅黑" w:hAnsi="微软雅黑" w:cs="微软雅黑" w:hint="eastAsia"/>
          <w:spacing w:val="12"/>
          <w:lang w:eastAsia="zh-CN"/>
        </w:rPr>
        <w:t>万亿日元，连续</w:t>
      </w:r>
      <w:r w:rsidRPr="00E71C60">
        <w:rPr>
          <w:rFonts w:ascii="微软雅黑" w:eastAsia="微软雅黑" w:hAnsi="微软雅黑" w:cs="微软雅黑"/>
          <w:spacing w:val="12"/>
          <w:lang w:eastAsia="zh-CN"/>
        </w:rPr>
        <w:t>2</w:t>
      </w:r>
      <w:r w:rsidRPr="00E71C60">
        <w:rPr>
          <w:rFonts w:ascii="微软雅黑" w:eastAsia="微软雅黑" w:hAnsi="微软雅黑" w:cs="微软雅黑" w:hint="eastAsia"/>
          <w:spacing w:val="12"/>
          <w:lang w:eastAsia="zh-CN"/>
        </w:rPr>
        <w:t>个季度减少。受关税影响，汽车等运输用机械大幅下滑</w:t>
      </w:r>
      <w:r w:rsidRPr="00E71C60">
        <w:rPr>
          <w:rFonts w:ascii="微软雅黑" w:eastAsia="微软雅黑" w:hAnsi="微软雅黑" w:cs="微软雅黑"/>
          <w:spacing w:val="12"/>
          <w:lang w:eastAsia="zh-CN"/>
        </w:rPr>
        <w:t>29.7%</w:t>
      </w:r>
      <w:r w:rsidRPr="00E71C60">
        <w:rPr>
          <w:rFonts w:ascii="微软雅黑" w:eastAsia="微软雅黑" w:hAnsi="微软雅黑" w:cs="微软雅黑" w:hint="eastAsia"/>
          <w:spacing w:val="12"/>
          <w:lang w:eastAsia="zh-CN"/>
        </w:rPr>
        <w:t>。</w:t>
      </w:r>
      <w:r>
        <w:rPr>
          <w:rFonts w:ascii="微软雅黑" w:eastAsia="微软雅黑" w:hAnsi="微软雅黑" w:cs="微软雅黑" w:hint="eastAsia"/>
          <w:spacing w:val="12"/>
          <w:lang w:eastAsia="zh-CN"/>
        </w:rPr>
        <w:t>】</w:t>
      </w:r>
    </w:p>
    <w:p w14:paraId="2EF95457" w14:textId="5FF5AAA2" w:rsidR="00E71C60" w:rsidRPr="002549D7" w:rsidRDefault="00E71C60" w:rsidP="00A42DFF">
      <w:pPr>
        <w:spacing w:before="102" w:line="257" w:lineRule="auto"/>
        <w:ind w:right="21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lastRenderedPageBreak/>
        <w:t>【</w:t>
      </w:r>
      <w:r w:rsidRPr="00E71C60">
        <w:rPr>
          <w:rFonts w:ascii="微软雅黑" w:eastAsia="微软雅黑" w:hAnsi="微软雅黑" w:cs="微软雅黑" w:hint="eastAsia"/>
          <w:spacing w:val="12"/>
          <w:lang w:eastAsia="zh-CN"/>
        </w:rPr>
        <w:t>英国制造业</w:t>
      </w:r>
      <w:r w:rsidRPr="00E71C60">
        <w:rPr>
          <w:rFonts w:ascii="微软雅黑" w:eastAsia="微软雅黑" w:hAnsi="微软雅黑" w:cs="微软雅黑"/>
          <w:spacing w:val="12"/>
          <w:lang w:eastAsia="zh-CN"/>
        </w:rPr>
        <w:t>PMI</w:t>
      </w:r>
      <w:r w:rsidRPr="00E71C60">
        <w:rPr>
          <w:rFonts w:ascii="微软雅黑" w:eastAsia="微软雅黑" w:hAnsi="微软雅黑" w:cs="微软雅黑" w:hint="eastAsia"/>
          <w:spacing w:val="12"/>
          <w:lang w:eastAsia="zh-CN"/>
        </w:rPr>
        <w:t>五个月来首次下降，</w:t>
      </w:r>
      <w:r w:rsidRPr="00E71C60">
        <w:rPr>
          <w:rFonts w:ascii="微软雅黑" w:eastAsia="微软雅黑" w:hAnsi="微软雅黑" w:cs="微软雅黑"/>
          <w:spacing w:val="12"/>
          <w:lang w:eastAsia="zh-CN"/>
        </w:rPr>
        <w:t>8</w:t>
      </w:r>
      <w:r w:rsidRPr="00E71C60">
        <w:rPr>
          <w:rFonts w:ascii="微软雅黑" w:eastAsia="微软雅黑" w:hAnsi="微软雅黑" w:cs="微软雅黑" w:hint="eastAsia"/>
          <w:spacing w:val="12"/>
          <w:lang w:eastAsia="zh-CN"/>
        </w:rPr>
        <w:t>月份终值从</w:t>
      </w:r>
      <w:r w:rsidRPr="00E71C60">
        <w:rPr>
          <w:rFonts w:ascii="微软雅黑" w:eastAsia="微软雅黑" w:hAnsi="微软雅黑" w:cs="微软雅黑"/>
          <w:spacing w:val="12"/>
          <w:lang w:eastAsia="zh-CN"/>
        </w:rPr>
        <w:t>7</w:t>
      </w:r>
      <w:r w:rsidRPr="00E71C60">
        <w:rPr>
          <w:rFonts w:ascii="微软雅黑" w:eastAsia="微软雅黑" w:hAnsi="微软雅黑" w:cs="微软雅黑" w:hint="eastAsia"/>
          <w:spacing w:val="12"/>
          <w:lang w:eastAsia="zh-CN"/>
        </w:rPr>
        <w:t>月份的六个月高点</w:t>
      </w:r>
      <w:r w:rsidRPr="00E71C60">
        <w:rPr>
          <w:rFonts w:ascii="微软雅黑" w:eastAsia="微软雅黑" w:hAnsi="微软雅黑" w:cs="微软雅黑"/>
          <w:spacing w:val="12"/>
          <w:lang w:eastAsia="zh-CN"/>
        </w:rPr>
        <w:t>48</w:t>
      </w:r>
      <w:r w:rsidRPr="00E71C60">
        <w:rPr>
          <w:rFonts w:ascii="微软雅黑" w:eastAsia="微软雅黑" w:hAnsi="微软雅黑" w:cs="微软雅黑" w:hint="eastAsia"/>
          <w:spacing w:val="12"/>
          <w:lang w:eastAsia="zh-CN"/>
        </w:rPr>
        <w:t>降至</w:t>
      </w:r>
      <w:r w:rsidRPr="00E71C60">
        <w:rPr>
          <w:rFonts w:ascii="微软雅黑" w:eastAsia="微软雅黑" w:hAnsi="微软雅黑" w:cs="微软雅黑"/>
          <w:spacing w:val="12"/>
          <w:lang w:eastAsia="zh-CN"/>
        </w:rPr>
        <w:t>47</w:t>
      </w:r>
      <w:r w:rsidRPr="00E71C60">
        <w:rPr>
          <w:rFonts w:ascii="微软雅黑" w:eastAsia="微软雅黑" w:hAnsi="微软雅黑" w:cs="微软雅黑" w:hint="eastAsia"/>
          <w:spacing w:val="12"/>
          <w:lang w:eastAsia="zh-CN"/>
        </w:rPr>
        <w:t>，低于初值</w:t>
      </w:r>
      <w:r w:rsidRPr="00E71C60">
        <w:rPr>
          <w:rFonts w:ascii="微软雅黑" w:eastAsia="微软雅黑" w:hAnsi="微软雅黑" w:cs="微软雅黑"/>
          <w:spacing w:val="12"/>
          <w:lang w:eastAsia="zh-CN"/>
        </w:rPr>
        <w:t>47.3</w:t>
      </w:r>
      <w:r w:rsidRPr="00E71C60">
        <w:rPr>
          <w:rFonts w:ascii="微软雅黑" w:eastAsia="微软雅黑" w:hAnsi="微软雅黑" w:cs="微软雅黑" w:hint="eastAsia"/>
          <w:spacing w:val="12"/>
          <w:lang w:eastAsia="zh-CN"/>
        </w:rPr>
        <w:t>，且连续第</w:t>
      </w:r>
      <w:r w:rsidRPr="00E71C60">
        <w:rPr>
          <w:rFonts w:ascii="微软雅黑" w:eastAsia="微软雅黑" w:hAnsi="微软雅黑" w:cs="微软雅黑"/>
          <w:spacing w:val="12"/>
          <w:lang w:eastAsia="zh-CN"/>
        </w:rPr>
        <w:t>11</w:t>
      </w:r>
      <w:r w:rsidRPr="00E71C60">
        <w:rPr>
          <w:rFonts w:ascii="微软雅黑" w:eastAsia="微软雅黑" w:hAnsi="微软雅黑" w:cs="微软雅黑" w:hint="eastAsia"/>
          <w:spacing w:val="12"/>
          <w:lang w:eastAsia="zh-CN"/>
        </w:rPr>
        <w:t>个月处于收缩区间。</w:t>
      </w:r>
      <w:r>
        <w:rPr>
          <w:rFonts w:ascii="微软雅黑" w:eastAsia="微软雅黑" w:hAnsi="微软雅黑" w:cs="微软雅黑" w:hint="eastAsia"/>
          <w:spacing w:val="12"/>
          <w:lang w:eastAsia="zh-CN"/>
        </w:rPr>
        <w:t>】</w:t>
      </w:r>
    </w:p>
    <w:p w14:paraId="0C15C282" w14:textId="571CEC25"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p>
    <w:p w14:paraId="0B9C1957" w14:textId="77777777"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6B8F39EA" w:rsidR="0086045C" w:rsidRPr="00E46AF4" w:rsidRDefault="002914A1" w:rsidP="00E71C60">
            <w:pPr>
              <w:pStyle w:val="TableText"/>
              <w:spacing w:before="230" w:line="191" w:lineRule="auto"/>
              <w:ind w:left="210" w:right="210" w:firstLineChars="0" w:firstLine="0"/>
              <w:jc w:val="left"/>
              <w:rPr>
                <w:lang w:eastAsia="zh-CN"/>
              </w:rPr>
            </w:pPr>
            <w:r>
              <w:rPr>
                <w:lang w:eastAsia="zh-CN"/>
              </w:rPr>
              <w:t>2</w:t>
            </w:r>
            <w:r w:rsidRPr="00654E6B">
              <w:rPr>
                <w:lang w:eastAsia="zh-CN"/>
              </w:rPr>
              <w:t>025/</w:t>
            </w:r>
            <w:r w:rsidR="00E71C60">
              <w:rPr>
                <w:lang w:eastAsia="zh-CN"/>
              </w:rPr>
              <w:t>9</w:t>
            </w:r>
            <w:r w:rsidRPr="00654E6B">
              <w:rPr>
                <w:lang w:eastAsia="zh-CN"/>
              </w:rPr>
              <w:t>/</w:t>
            </w:r>
            <w:r w:rsidR="00E71C60">
              <w:rPr>
                <w:lang w:eastAsia="zh-CN"/>
              </w:rPr>
              <w:t>2</w:t>
            </w:r>
          </w:p>
        </w:tc>
        <w:tc>
          <w:tcPr>
            <w:tcW w:w="1314" w:type="dxa"/>
            <w:shd w:val="clear" w:color="auto" w:fill="auto"/>
          </w:tcPr>
          <w:p w14:paraId="454D24C6" w14:textId="649932E0" w:rsidR="0086045C" w:rsidRDefault="00E71C60" w:rsidP="002914A1">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3B888876" w14:textId="3157AEAB" w:rsidR="0086045C" w:rsidRPr="005A2897" w:rsidRDefault="00E71C60" w:rsidP="00F948BD">
            <w:pPr>
              <w:pStyle w:val="TableText"/>
              <w:spacing w:before="221" w:line="180" w:lineRule="auto"/>
              <w:ind w:left="210" w:right="210"/>
              <w:rPr>
                <w:lang w:eastAsia="zh-CN"/>
              </w:rPr>
            </w:pPr>
            <w:r w:rsidRPr="00E71C60">
              <w:rPr>
                <w:lang w:eastAsia="zh-CN"/>
              </w:rPr>
              <w:t>欧元区8月CPI年率初值</w:t>
            </w:r>
          </w:p>
        </w:tc>
      </w:tr>
      <w:bookmarkEnd w:id="1"/>
      <w:tr w:rsidR="003E226A" w:rsidRPr="008E3E9D" w14:paraId="352E2600" w14:textId="77777777" w:rsidTr="0075620D">
        <w:trPr>
          <w:trHeight w:val="620"/>
        </w:trPr>
        <w:tc>
          <w:tcPr>
            <w:tcW w:w="1701" w:type="dxa"/>
            <w:shd w:val="clear" w:color="auto" w:fill="DAE3F4" w:themeFill="accent1" w:themeFillTint="33"/>
          </w:tcPr>
          <w:p w14:paraId="68165DC3" w14:textId="7BBBE4EB" w:rsidR="003E226A" w:rsidRDefault="00E71C60" w:rsidP="003E226A">
            <w:pPr>
              <w:pStyle w:val="TableText"/>
              <w:spacing w:before="230" w:line="191" w:lineRule="auto"/>
              <w:ind w:left="210" w:right="210" w:firstLineChars="0" w:firstLine="0"/>
              <w:jc w:val="left"/>
              <w:rPr>
                <w:lang w:eastAsia="zh-CN"/>
              </w:rPr>
            </w:pPr>
            <w:r>
              <w:rPr>
                <w:lang w:eastAsia="zh-CN"/>
              </w:rPr>
              <w:t>2</w:t>
            </w:r>
            <w:r w:rsidRPr="00654E6B">
              <w:rPr>
                <w:lang w:eastAsia="zh-CN"/>
              </w:rPr>
              <w:t>025/</w:t>
            </w:r>
            <w:r>
              <w:rPr>
                <w:lang w:eastAsia="zh-CN"/>
              </w:rPr>
              <w:t>9</w:t>
            </w:r>
            <w:r w:rsidRPr="00654E6B">
              <w:rPr>
                <w:lang w:eastAsia="zh-CN"/>
              </w:rPr>
              <w:t>/</w:t>
            </w:r>
            <w:r>
              <w:rPr>
                <w:lang w:eastAsia="zh-CN"/>
              </w:rPr>
              <w:t>2</w:t>
            </w:r>
          </w:p>
        </w:tc>
        <w:tc>
          <w:tcPr>
            <w:tcW w:w="1314" w:type="dxa"/>
            <w:shd w:val="clear" w:color="auto" w:fill="DAE3F4" w:themeFill="accent1" w:themeFillTint="33"/>
          </w:tcPr>
          <w:p w14:paraId="3D17EC77" w14:textId="4BCEA8C8" w:rsidR="003E226A" w:rsidRDefault="003E226A" w:rsidP="00E71C60">
            <w:pPr>
              <w:pStyle w:val="TableText"/>
              <w:spacing w:before="245" w:line="172" w:lineRule="auto"/>
              <w:ind w:left="210" w:right="210" w:firstLineChars="100" w:firstLine="196"/>
              <w:rPr>
                <w:lang w:eastAsia="zh-CN"/>
              </w:rPr>
            </w:pPr>
            <w:r>
              <w:rPr>
                <w:lang w:eastAsia="zh-CN"/>
              </w:rPr>
              <w:t>2</w:t>
            </w:r>
            <w:r w:rsidR="00E71C60">
              <w:rPr>
                <w:lang w:eastAsia="zh-CN"/>
              </w:rPr>
              <w:t>2</w:t>
            </w:r>
            <w:r>
              <w:rPr>
                <w:lang w:eastAsia="zh-CN"/>
              </w:rPr>
              <w:t>:</w:t>
            </w:r>
            <w:r w:rsidR="00E71C60">
              <w:rPr>
                <w:lang w:eastAsia="zh-CN"/>
              </w:rPr>
              <w:t>0</w:t>
            </w:r>
            <w:r>
              <w:rPr>
                <w:lang w:eastAsia="zh-CN"/>
              </w:rPr>
              <w:t>0</w:t>
            </w:r>
          </w:p>
        </w:tc>
        <w:tc>
          <w:tcPr>
            <w:tcW w:w="6344" w:type="dxa"/>
            <w:shd w:val="clear" w:color="auto" w:fill="DAE3F4" w:themeFill="accent1" w:themeFillTint="33"/>
          </w:tcPr>
          <w:p w14:paraId="59D756EA" w14:textId="14837B37" w:rsidR="003E226A" w:rsidRPr="00D347B5" w:rsidRDefault="00E71C60" w:rsidP="003E226A">
            <w:pPr>
              <w:pStyle w:val="TableText"/>
              <w:spacing w:before="221" w:line="180" w:lineRule="auto"/>
              <w:ind w:left="210" w:right="210"/>
              <w:rPr>
                <w:lang w:eastAsia="zh-CN"/>
              </w:rPr>
            </w:pPr>
            <w:r w:rsidRPr="00E71C60">
              <w:rPr>
                <w:rFonts w:hint="eastAsia"/>
                <w:lang w:eastAsia="zh-CN"/>
              </w:rPr>
              <w:t>美国</w:t>
            </w:r>
            <w:r w:rsidRPr="00E71C60">
              <w:rPr>
                <w:lang w:eastAsia="zh-CN"/>
              </w:rPr>
              <w:t>8</w:t>
            </w:r>
            <w:r w:rsidRPr="00E71C60">
              <w:rPr>
                <w:rFonts w:hint="eastAsia"/>
                <w:lang w:eastAsia="zh-CN"/>
              </w:rPr>
              <w:t>月</w:t>
            </w:r>
            <w:r w:rsidRPr="00E71C60">
              <w:rPr>
                <w:lang w:eastAsia="zh-CN"/>
              </w:rPr>
              <w:t>ISM</w:t>
            </w:r>
            <w:r w:rsidRPr="00E71C60">
              <w:rPr>
                <w:rFonts w:hint="eastAsia"/>
                <w:lang w:eastAsia="zh-CN"/>
              </w:rPr>
              <w:t>制造业</w:t>
            </w:r>
            <w:r w:rsidRPr="00E71C60">
              <w:rPr>
                <w:lang w:eastAsia="zh-CN"/>
              </w:rPr>
              <w:t>PMI</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3EFEE867" w14:textId="77777777" w:rsidR="00C06CB8" w:rsidRPr="00C06CB8" w:rsidRDefault="00C06CB8" w:rsidP="00C06CB8">
      <w:pPr>
        <w:spacing w:before="103" w:line="256" w:lineRule="auto"/>
        <w:ind w:right="210" w:firstLineChars="200" w:firstLine="448"/>
        <w:rPr>
          <w:rFonts w:ascii="微软雅黑" w:eastAsia="微软雅黑" w:hAnsi="微软雅黑" w:cs="微软雅黑"/>
          <w:spacing w:val="7"/>
          <w:lang w:eastAsia="zh-CN"/>
        </w:rPr>
      </w:pPr>
      <w:r w:rsidRPr="00C06CB8">
        <w:rPr>
          <w:rFonts w:ascii="微软雅黑" w:eastAsia="微软雅黑" w:hAnsi="微软雅黑" w:cs="微软雅黑" w:hint="eastAsia"/>
          <w:spacing w:val="7"/>
          <w:lang w:eastAsia="zh-CN"/>
        </w:rPr>
        <w:t>隔夜，美元指数跌</w:t>
      </w:r>
      <w:r w:rsidRPr="00C06CB8">
        <w:rPr>
          <w:rFonts w:ascii="微软雅黑" w:eastAsia="微软雅黑" w:hAnsi="微软雅黑" w:cs="微软雅黑"/>
          <w:spacing w:val="7"/>
          <w:lang w:eastAsia="zh-CN"/>
        </w:rPr>
        <w:t>0.18%</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97.68</w:t>
      </w:r>
      <w:r w:rsidRPr="00C06CB8">
        <w:rPr>
          <w:rFonts w:ascii="微软雅黑" w:eastAsia="微软雅黑" w:hAnsi="微软雅黑" w:cs="微软雅黑" w:hint="eastAsia"/>
          <w:spacing w:val="7"/>
          <w:lang w:eastAsia="zh-CN"/>
        </w:rPr>
        <w:t>，非美货币多数上涨，欧元兑美元涨</w:t>
      </w:r>
      <w:r w:rsidRPr="00C06CB8">
        <w:rPr>
          <w:rFonts w:ascii="微软雅黑" w:eastAsia="微软雅黑" w:hAnsi="微软雅黑" w:cs="微软雅黑"/>
          <w:spacing w:val="7"/>
          <w:lang w:eastAsia="zh-CN"/>
        </w:rPr>
        <w:t>0.22%</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1.1712</w:t>
      </w:r>
      <w:r w:rsidRPr="00C06CB8">
        <w:rPr>
          <w:rFonts w:ascii="微软雅黑" w:eastAsia="微软雅黑" w:hAnsi="微软雅黑" w:cs="微软雅黑" w:hint="eastAsia"/>
          <w:spacing w:val="7"/>
          <w:lang w:eastAsia="zh-CN"/>
        </w:rPr>
        <w:t>，英镑兑美元涨</w:t>
      </w:r>
      <w:r w:rsidRPr="00C06CB8">
        <w:rPr>
          <w:rFonts w:ascii="微软雅黑" w:eastAsia="微软雅黑" w:hAnsi="微软雅黑" w:cs="微软雅黑"/>
          <w:spacing w:val="7"/>
          <w:lang w:eastAsia="zh-CN"/>
        </w:rPr>
        <w:t>0.30%</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1.3546</w:t>
      </w:r>
      <w:r w:rsidRPr="00C06CB8">
        <w:rPr>
          <w:rFonts w:ascii="微软雅黑" w:eastAsia="微软雅黑" w:hAnsi="微软雅黑" w:cs="微软雅黑" w:hint="eastAsia"/>
          <w:spacing w:val="7"/>
          <w:lang w:eastAsia="zh-CN"/>
        </w:rPr>
        <w:t>，美元兑日元涨</w:t>
      </w:r>
      <w:r w:rsidRPr="00C06CB8">
        <w:rPr>
          <w:rFonts w:ascii="微软雅黑" w:eastAsia="微软雅黑" w:hAnsi="微软雅黑" w:cs="微软雅黑"/>
          <w:spacing w:val="7"/>
          <w:lang w:eastAsia="zh-CN"/>
        </w:rPr>
        <w:t>0.08%</w:t>
      </w:r>
      <w:r w:rsidRPr="00C06CB8">
        <w:rPr>
          <w:rFonts w:ascii="微软雅黑" w:eastAsia="微软雅黑" w:hAnsi="微软雅黑" w:cs="微软雅黑" w:hint="eastAsia"/>
          <w:spacing w:val="7"/>
          <w:lang w:eastAsia="zh-CN"/>
        </w:rPr>
        <w:t>报</w:t>
      </w:r>
      <w:r w:rsidRPr="00C06CB8">
        <w:rPr>
          <w:rFonts w:ascii="微软雅黑" w:eastAsia="微软雅黑" w:hAnsi="微软雅黑" w:cs="微软雅黑"/>
          <w:spacing w:val="7"/>
          <w:lang w:eastAsia="zh-CN"/>
        </w:rPr>
        <w:t>147.1715</w:t>
      </w:r>
      <w:r w:rsidRPr="00C06CB8">
        <w:rPr>
          <w:rFonts w:ascii="微软雅黑" w:eastAsia="微软雅黑" w:hAnsi="微软雅黑" w:cs="微软雅黑" w:hint="eastAsia"/>
          <w:spacing w:val="7"/>
          <w:lang w:eastAsia="zh-CN"/>
        </w:rPr>
        <w:t>。</w:t>
      </w:r>
    </w:p>
    <w:p w14:paraId="54269E98" w14:textId="77777777" w:rsidR="00C06CB8" w:rsidRPr="00C06CB8" w:rsidRDefault="00C06CB8" w:rsidP="00C06CB8">
      <w:pPr>
        <w:spacing w:before="103" w:line="256" w:lineRule="auto"/>
        <w:ind w:right="210" w:firstLineChars="200" w:firstLine="448"/>
        <w:rPr>
          <w:rFonts w:ascii="微软雅黑" w:eastAsia="微软雅黑" w:hAnsi="微软雅黑" w:cs="微软雅黑"/>
          <w:spacing w:val="7"/>
          <w:lang w:eastAsia="zh-CN"/>
        </w:rPr>
      </w:pPr>
      <w:r w:rsidRPr="00C06CB8">
        <w:rPr>
          <w:rFonts w:ascii="微软雅黑" w:eastAsia="微软雅黑" w:hAnsi="微软雅黑" w:cs="微软雅黑" w:hint="eastAsia"/>
          <w:spacing w:val="7"/>
          <w:lang w:eastAsia="zh-CN"/>
        </w:rPr>
        <w:t>此前公布的核心</w:t>
      </w:r>
      <w:r w:rsidRPr="00C06CB8">
        <w:rPr>
          <w:rFonts w:ascii="微软雅黑" w:eastAsia="微软雅黑" w:hAnsi="微软雅黑" w:cs="微软雅黑"/>
          <w:spacing w:val="7"/>
          <w:lang w:eastAsia="zh-CN"/>
        </w:rPr>
        <w:t>PCE</w:t>
      </w:r>
      <w:r w:rsidRPr="00C06CB8">
        <w:rPr>
          <w:rFonts w:ascii="微软雅黑" w:eastAsia="微软雅黑" w:hAnsi="微软雅黑" w:cs="微软雅黑" w:hint="eastAsia"/>
          <w:spacing w:val="7"/>
          <w:lang w:eastAsia="zh-CN"/>
        </w:rPr>
        <w:t>通胀同比录得今年</w:t>
      </w:r>
      <w:r w:rsidRPr="00C06CB8">
        <w:rPr>
          <w:rFonts w:ascii="微软雅黑" w:eastAsia="微软雅黑" w:hAnsi="微软雅黑" w:cs="微软雅黑"/>
          <w:spacing w:val="7"/>
          <w:lang w:eastAsia="zh-CN"/>
        </w:rPr>
        <w:t>2</w:t>
      </w:r>
      <w:r w:rsidRPr="00C06CB8">
        <w:rPr>
          <w:rFonts w:ascii="微软雅黑" w:eastAsia="微软雅黑" w:hAnsi="微软雅黑" w:cs="微软雅黑" w:hint="eastAsia"/>
          <w:spacing w:val="7"/>
          <w:lang w:eastAsia="zh-CN"/>
        </w:rPr>
        <w:t>月以来最快增速，同时消费者支出创四个月最大增幅，整体符合市场预期，也在美联储可控的通胀范围内，美国经济数据仍具韧性。市场对</w:t>
      </w:r>
      <w:r w:rsidRPr="00C06CB8">
        <w:rPr>
          <w:rFonts w:ascii="微软雅黑" w:eastAsia="微软雅黑" w:hAnsi="微软雅黑" w:cs="微软雅黑"/>
          <w:spacing w:val="7"/>
          <w:lang w:eastAsia="zh-CN"/>
        </w:rPr>
        <w:t>9</w:t>
      </w:r>
      <w:r w:rsidRPr="00C06CB8">
        <w:rPr>
          <w:rFonts w:ascii="微软雅黑" w:eastAsia="微软雅黑" w:hAnsi="微软雅黑" w:cs="微软雅黑" w:hint="eastAsia"/>
          <w:spacing w:val="7"/>
          <w:lang w:eastAsia="zh-CN"/>
        </w:rPr>
        <w:t>月降息的预期保持稳固，</w:t>
      </w:r>
      <w:r w:rsidRPr="00C06CB8">
        <w:rPr>
          <w:rFonts w:ascii="微软雅黑" w:eastAsia="微软雅黑" w:hAnsi="微软雅黑" w:cs="微软雅黑"/>
          <w:spacing w:val="7"/>
          <w:lang w:eastAsia="zh-CN"/>
        </w:rPr>
        <w:t>FedWatch</w:t>
      </w:r>
      <w:r w:rsidRPr="00C06CB8">
        <w:rPr>
          <w:rFonts w:ascii="微软雅黑" w:eastAsia="微软雅黑" w:hAnsi="微软雅黑" w:cs="微软雅黑" w:hint="eastAsia"/>
          <w:spacing w:val="7"/>
          <w:lang w:eastAsia="zh-CN"/>
        </w:rPr>
        <w:t>显示降息</w:t>
      </w:r>
      <w:r w:rsidRPr="00C06CB8">
        <w:rPr>
          <w:rFonts w:ascii="微软雅黑" w:eastAsia="微软雅黑" w:hAnsi="微软雅黑" w:cs="微软雅黑"/>
          <w:spacing w:val="7"/>
          <w:lang w:eastAsia="zh-CN"/>
        </w:rPr>
        <w:t>25</w:t>
      </w:r>
      <w:r w:rsidRPr="00C06CB8">
        <w:rPr>
          <w:rFonts w:ascii="微软雅黑" w:eastAsia="微软雅黑" w:hAnsi="微软雅黑" w:cs="微软雅黑" w:hint="eastAsia"/>
          <w:spacing w:val="7"/>
          <w:lang w:eastAsia="zh-CN"/>
        </w:rPr>
        <w:t>个基点的概率抬升至</w:t>
      </w:r>
      <w:r w:rsidRPr="00C06CB8">
        <w:rPr>
          <w:rFonts w:ascii="微软雅黑" w:eastAsia="微软雅黑" w:hAnsi="微软雅黑" w:cs="微软雅黑"/>
          <w:spacing w:val="7"/>
          <w:lang w:eastAsia="zh-CN"/>
        </w:rPr>
        <w:t>90%</w:t>
      </w:r>
      <w:r w:rsidRPr="00C06CB8">
        <w:rPr>
          <w:rFonts w:ascii="微软雅黑" w:eastAsia="微软雅黑" w:hAnsi="微软雅黑" w:cs="微软雅黑" w:hint="eastAsia"/>
          <w:spacing w:val="7"/>
          <w:lang w:eastAsia="zh-CN"/>
        </w:rPr>
        <w:t>。美国第二季度实际</w:t>
      </w:r>
      <w:r w:rsidRPr="00C06CB8">
        <w:rPr>
          <w:rFonts w:ascii="微软雅黑" w:eastAsia="微软雅黑" w:hAnsi="微软雅黑" w:cs="微软雅黑"/>
          <w:spacing w:val="7"/>
          <w:lang w:eastAsia="zh-CN"/>
        </w:rPr>
        <w:t>GDP</w:t>
      </w:r>
      <w:r w:rsidRPr="00C06CB8">
        <w:rPr>
          <w:rFonts w:ascii="微软雅黑" w:eastAsia="微软雅黑" w:hAnsi="微软雅黑" w:cs="微软雅黑" w:hint="eastAsia"/>
          <w:spacing w:val="7"/>
          <w:lang w:eastAsia="zh-CN"/>
        </w:rPr>
        <w:t>年化增长率修正值高于市场预期；劳动力市场仍存在一定韧性，周度初请失业金人数低于市场预期。尽管数据延续韧性，但美元走势并未得到支撑：市场持续就美联储政策独立性的争论，以及对货币政策可能更快转向宽松的预期仍在反复定价；其次，经济韧性与就业通胀放缓走势的“不对称”对美债长端收益率构成双向拉扯，导致实际利率缺乏趋势性上行动力，美元难以获得实际利差优势。本周五公布的非农就业报告将成为下一市场风向标，若就业数据继续释放降温信号，将进一步巩固降息预期，数据的大幅不及预期可能推动年内三次降息的可能性，对美元持续造成施压。技术面，美元空头均线排列，日线</w:t>
      </w:r>
      <w:r w:rsidRPr="00C06CB8">
        <w:rPr>
          <w:rFonts w:ascii="微软雅黑" w:eastAsia="微软雅黑" w:hAnsi="微软雅黑" w:cs="微软雅黑"/>
          <w:spacing w:val="7"/>
          <w:lang w:eastAsia="zh-CN"/>
        </w:rPr>
        <w:t>RSI</w:t>
      </w:r>
      <w:r w:rsidRPr="00C06CB8">
        <w:rPr>
          <w:rFonts w:ascii="微软雅黑" w:eastAsia="微软雅黑" w:hAnsi="微软雅黑" w:cs="微软雅黑" w:hint="eastAsia"/>
          <w:spacing w:val="7"/>
          <w:lang w:eastAsia="zh-CN"/>
        </w:rPr>
        <w:t>和</w:t>
      </w:r>
      <w:r w:rsidRPr="00C06CB8">
        <w:rPr>
          <w:rFonts w:ascii="微软雅黑" w:eastAsia="微软雅黑" w:hAnsi="微软雅黑" w:cs="微软雅黑"/>
          <w:spacing w:val="7"/>
          <w:lang w:eastAsia="zh-CN"/>
        </w:rPr>
        <w:t>MACD</w:t>
      </w:r>
      <w:r w:rsidRPr="00C06CB8">
        <w:rPr>
          <w:rFonts w:ascii="微软雅黑" w:eastAsia="微软雅黑" w:hAnsi="微软雅黑" w:cs="微软雅黑" w:hint="eastAsia"/>
          <w:spacing w:val="7"/>
          <w:lang w:eastAsia="zh-CN"/>
        </w:rPr>
        <w:t>均显示下行动能增加，短期走势震荡走弱。</w:t>
      </w:r>
    </w:p>
    <w:p w14:paraId="502379A4" w14:textId="689F0BA0" w:rsidR="002760F0" w:rsidRPr="002760F0" w:rsidRDefault="00C06CB8" w:rsidP="00C06CB8">
      <w:pPr>
        <w:spacing w:before="103" w:line="256" w:lineRule="auto"/>
        <w:ind w:right="210" w:firstLineChars="200" w:firstLine="448"/>
        <w:rPr>
          <w:rFonts w:ascii="微软雅黑" w:eastAsia="微软雅黑" w:hAnsi="微软雅黑" w:cs="微软雅黑"/>
          <w:spacing w:val="7"/>
          <w:lang w:eastAsia="zh-CN"/>
        </w:rPr>
      </w:pPr>
      <w:r w:rsidRPr="00C06CB8">
        <w:rPr>
          <w:rFonts w:ascii="微软雅黑" w:eastAsia="微软雅黑" w:hAnsi="微软雅黑" w:cs="微软雅黑" w:hint="eastAsia"/>
          <w:spacing w:val="7"/>
          <w:lang w:eastAsia="zh-CN"/>
        </w:rPr>
        <w:t>欧元区</w:t>
      </w:r>
      <w:r w:rsidRPr="00C06CB8">
        <w:rPr>
          <w:rFonts w:ascii="微软雅黑" w:eastAsia="微软雅黑" w:hAnsi="微软雅黑" w:cs="微软雅黑"/>
          <w:spacing w:val="7"/>
          <w:lang w:eastAsia="zh-CN"/>
        </w:rPr>
        <w:t>8</w:t>
      </w:r>
      <w:r w:rsidRPr="00C06CB8">
        <w:rPr>
          <w:rFonts w:ascii="微软雅黑" w:eastAsia="微软雅黑" w:hAnsi="微软雅黑" w:cs="微软雅黑" w:hint="eastAsia"/>
          <w:spacing w:val="7"/>
          <w:lang w:eastAsia="zh-CN"/>
        </w:rPr>
        <w:t>月制造业</w:t>
      </w:r>
      <w:r w:rsidRPr="00C06CB8">
        <w:rPr>
          <w:rFonts w:ascii="微软雅黑" w:eastAsia="微软雅黑" w:hAnsi="微软雅黑" w:cs="微软雅黑"/>
          <w:spacing w:val="7"/>
          <w:lang w:eastAsia="zh-CN"/>
        </w:rPr>
        <w:t>PMI</w:t>
      </w:r>
      <w:r w:rsidRPr="00C06CB8">
        <w:rPr>
          <w:rFonts w:ascii="微软雅黑" w:eastAsia="微软雅黑" w:hAnsi="微软雅黑" w:cs="微软雅黑" w:hint="eastAsia"/>
          <w:spacing w:val="7"/>
          <w:lang w:eastAsia="zh-CN"/>
        </w:rPr>
        <w:t>经修正后升至</w:t>
      </w:r>
      <w:r w:rsidRPr="00C06CB8">
        <w:rPr>
          <w:rFonts w:ascii="微软雅黑" w:eastAsia="微软雅黑" w:hAnsi="微软雅黑" w:cs="微软雅黑"/>
          <w:spacing w:val="7"/>
          <w:lang w:eastAsia="zh-CN"/>
        </w:rPr>
        <w:t>50.7</w:t>
      </w:r>
      <w:r w:rsidRPr="00C06CB8">
        <w:rPr>
          <w:rFonts w:ascii="微软雅黑" w:eastAsia="微软雅黑" w:hAnsi="微软雅黑" w:cs="微软雅黑" w:hint="eastAsia"/>
          <w:spacing w:val="7"/>
          <w:lang w:eastAsia="zh-CN"/>
        </w:rPr>
        <w:t>的三年多高点，为</w:t>
      </w:r>
      <w:r w:rsidRPr="00C06CB8">
        <w:rPr>
          <w:rFonts w:ascii="微软雅黑" w:eastAsia="微软雅黑" w:hAnsi="微软雅黑" w:cs="微软雅黑"/>
          <w:spacing w:val="7"/>
          <w:lang w:eastAsia="zh-CN"/>
        </w:rPr>
        <w:t>2022</w:t>
      </w:r>
      <w:r w:rsidRPr="00C06CB8">
        <w:rPr>
          <w:rFonts w:ascii="微软雅黑" w:eastAsia="微软雅黑" w:hAnsi="微软雅黑" w:cs="微软雅黑" w:hint="eastAsia"/>
          <w:spacing w:val="7"/>
          <w:lang w:eastAsia="zh-CN"/>
        </w:rPr>
        <w:t>年中期以来首次扩张。此前公布的经济景气指标呈持续回落态势，反映在关税施压背景下欧元区经济复苏预期仍偏谨慎。欧央行行长拉加德反复强调通胀接近目标，近期各类“软数据”预示欧元区经济前景承压，年内重启降息预期重燃。受关税局势缓和提振，日本经济数据延续韧性，</w:t>
      </w:r>
      <w:r w:rsidRPr="00C06CB8">
        <w:rPr>
          <w:rFonts w:ascii="微软雅黑" w:eastAsia="微软雅黑" w:hAnsi="微软雅黑" w:cs="微软雅黑"/>
          <w:spacing w:val="7"/>
          <w:lang w:eastAsia="zh-CN"/>
        </w:rPr>
        <w:t>7</w:t>
      </w:r>
      <w:r w:rsidRPr="00C06CB8">
        <w:rPr>
          <w:rFonts w:ascii="微软雅黑" w:eastAsia="微软雅黑" w:hAnsi="微软雅黑" w:cs="微软雅黑" w:hint="eastAsia"/>
          <w:spacing w:val="7"/>
          <w:lang w:eastAsia="zh-CN"/>
        </w:rPr>
        <w:t>月失业率录得</w:t>
      </w:r>
      <w:r w:rsidRPr="00C06CB8">
        <w:rPr>
          <w:rFonts w:ascii="微软雅黑" w:eastAsia="微软雅黑" w:hAnsi="微软雅黑" w:cs="微软雅黑"/>
          <w:spacing w:val="7"/>
          <w:lang w:eastAsia="zh-CN"/>
        </w:rPr>
        <w:t>2019</w:t>
      </w:r>
      <w:r w:rsidRPr="00C06CB8">
        <w:rPr>
          <w:rFonts w:ascii="微软雅黑" w:eastAsia="微软雅黑" w:hAnsi="微软雅黑" w:cs="微软雅黑" w:hint="eastAsia"/>
          <w:spacing w:val="7"/>
          <w:lang w:eastAsia="zh-CN"/>
        </w:rPr>
        <w:t>年</w:t>
      </w:r>
      <w:r w:rsidRPr="00C06CB8">
        <w:rPr>
          <w:rFonts w:ascii="微软雅黑" w:eastAsia="微软雅黑" w:hAnsi="微软雅黑" w:cs="微软雅黑"/>
          <w:spacing w:val="7"/>
          <w:lang w:eastAsia="zh-CN"/>
        </w:rPr>
        <w:t>12</w:t>
      </w:r>
      <w:r w:rsidRPr="00C06CB8">
        <w:rPr>
          <w:rFonts w:ascii="微软雅黑" w:eastAsia="微软雅黑" w:hAnsi="微软雅黑" w:cs="微软雅黑" w:hint="eastAsia"/>
          <w:spacing w:val="7"/>
          <w:lang w:eastAsia="zh-CN"/>
        </w:rPr>
        <w:t>月以来新低，</w:t>
      </w:r>
      <w:r w:rsidRPr="00C06CB8">
        <w:rPr>
          <w:rFonts w:ascii="微软雅黑" w:eastAsia="微软雅黑" w:hAnsi="微软雅黑" w:cs="微软雅黑"/>
          <w:spacing w:val="7"/>
          <w:lang w:eastAsia="zh-CN"/>
        </w:rPr>
        <w:t>2025 Q2</w:t>
      </w:r>
      <w:r w:rsidRPr="00C06CB8">
        <w:rPr>
          <w:rFonts w:ascii="微软雅黑" w:eastAsia="微软雅黑" w:hAnsi="微软雅黑" w:cs="微软雅黑" w:hint="eastAsia"/>
          <w:spacing w:val="7"/>
          <w:lang w:eastAsia="zh-CN"/>
        </w:rPr>
        <w:t>实际</w:t>
      </w:r>
      <w:r w:rsidRPr="00C06CB8">
        <w:rPr>
          <w:rFonts w:ascii="微软雅黑" w:eastAsia="微软雅黑" w:hAnsi="微软雅黑" w:cs="微软雅黑"/>
          <w:spacing w:val="7"/>
          <w:lang w:eastAsia="zh-CN"/>
        </w:rPr>
        <w:t>GDP</w:t>
      </w:r>
      <w:r w:rsidRPr="00C06CB8">
        <w:rPr>
          <w:rFonts w:ascii="微软雅黑" w:eastAsia="微软雅黑" w:hAnsi="微软雅黑" w:cs="微软雅黑" w:hint="eastAsia"/>
          <w:spacing w:val="7"/>
          <w:lang w:eastAsia="zh-CN"/>
        </w:rPr>
        <w:t>环比增长超出市场预期，连续</w:t>
      </w:r>
      <w:r w:rsidRPr="00C06CB8">
        <w:rPr>
          <w:rFonts w:ascii="微软雅黑" w:eastAsia="微软雅黑" w:hAnsi="微软雅黑" w:cs="微软雅黑"/>
          <w:spacing w:val="7"/>
          <w:lang w:eastAsia="zh-CN"/>
        </w:rPr>
        <w:t>5</w:t>
      </w:r>
      <w:r w:rsidRPr="00C06CB8">
        <w:rPr>
          <w:rFonts w:ascii="微软雅黑" w:eastAsia="微软雅黑" w:hAnsi="微软雅黑" w:cs="微软雅黑" w:hint="eastAsia"/>
          <w:spacing w:val="7"/>
          <w:lang w:eastAsia="zh-CN"/>
        </w:rPr>
        <w:t>个季度呈现增长，支撑日央行鹰派加息立场，若后期数据不存在转弱迹象，日央行或于年内开启加息议程，近期持续走高的日本国债收益率亦对日元形成较强支撑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5F20B69" w:rsidR="007A477E" w:rsidRDefault="00C06CB8" w:rsidP="002B2EDC">
      <w:pPr>
        <w:spacing w:before="120" w:line="190" w:lineRule="auto"/>
        <w:ind w:right="210" w:firstLineChars="200" w:firstLine="400"/>
        <w:jc w:val="center"/>
        <w:rPr>
          <w:rFonts w:ascii="微软雅黑" w:eastAsia="微软雅黑" w:hAnsi="微软雅黑" w:cs="微软雅黑"/>
          <w:spacing w:val="7"/>
          <w:lang w:eastAsia="zh-CN"/>
        </w:rPr>
      </w:pPr>
      <w:r w:rsidRPr="001118A4">
        <w:rPr>
          <w:rFonts w:ascii="黑体" w:eastAsia="黑体" w:hAnsi="黑体"/>
          <w:noProof/>
          <w:sz w:val="20"/>
          <w:szCs w:val="20"/>
        </w:rPr>
        <w:lastRenderedPageBreak/>
        <w:drawing>
          <wp:inline distT="0" distB="0" distL="0" distR="0" wp14:anchorId="71AC9A9A" wp14:editId="05B3EF86">
            <wp:extent cx="4762500" cy="2188845"/>
            <wp:effectExtent l="0" t="0" r="0" b="1905"/>
            <wp:docPr id="700165985" name="图片 1" descr="图表, 折线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65985" name="图片 1" descr="图表, 折线图,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218884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EF5C4D3" w14:textId="77777777" w:rsidR="00E71C60" w:rsidRDefault="00E71C60" w:rsidP="00B00DB4">
      <w:pPr>
        <w:spacing w:before="103" w:line="256" w:lineRule="auto"/>
        <w:ind w:right="210" w:firstLine="420"/>
        <w:rPr>
          <w:rFonts w:ascii="微软雅黑" w:eastAsia="微软雅黑" w:hAnsi="微软雅黑" w:cs="微软雅黑"/>
          <w:spacing w:val="7"/>
          <w:lang w:eastAsia="zh-CN"/>
        </w:rPr>
      </w:pP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w:t>
      </w:r>
      <w:r w:rsidRPr="00E71C60">
        <w:rPr>
          <w:rFonts w:ascii="微软雅黑" w:eastAsia="微软雅黑" w:hAnsi="微软雅黑" w:cs="微软雅黑"/>
          <w:spacing w:val="7"/>
          <w:lang w:eastAsia="zh-CN"/>
        </w:rPr>
        <w:t>1</w:t>
      </w:r>
      <w:r w:rsidRPr="00E71C60">
        <w:rPr>
          <w:rFonts w:ascii="微软雅黑" w:eastAsia="微软雅黑" w:hAnsi="微软雅黑" w:cs="微软雅黑" w:hint="eastAsia"/>
          <w:spacing w:val="7"/>
          <w:lang w:eastAsia="zh-CN"/>
        </w:rPr>
        <w:t>日美国金融市场因劳动节假期休市。经济数据及货币政策方面，美国</w:t>
      </w:r>
      <w:r w:rsidRPr="00E71C60">
        <w:rPr>
          <w:rFonts w:ascii="微软雅黑" w:eastAsia="微软雅黑" w:hAnsi="微软雅黑" w:cs="微软雅黑"/>
          <w:spacing w:val="7"/>
          <w:lang w:eastAsia="zh-CN"/>
        </w:rPr>
        <w:t>7</w:t>
      </w:r>
      <w:r w:rsidRPr="00E71C60">
        <w:rPr>
          <w:rFonts w:ascii="微软雅黑" w:eastAsia="微软雅黑" w:hAnsi="微软雅黑" w:cs="微软雅黑" w:hint="eastAsia"/>
          <w:spacing w:val="7"/>
          <w:lang w:eastAsia="zh-CN"/>
        </w:rPr>
        <w:t>月核心</w:t>
      </w:r>
      <w:r w:rsidRPr="00E71C60">
        <w:rPr>
          <w:rFonts w:ascii="微软雅黑" w:eastAsia="微软雅黑" w:hAnsi="微软雅黑" w:cs="微软雅黑"/>
          <w:spacing w:val="7"/>
          <w:lang w:eastAsia="zh-CN"/>
        </w:rPr>
        <w:t>PCE</w:t>
      </w:r>
      <w:r w:rsidRPr="00E71C60">
        <w:rPr>
          <w:rFonts w:ascii="微软雅黑" w:eastAsia="微软雅黑" w:hAnsi="微软雅黑" w:cs="微软雅黑" w:hint="eastAsia"/>
          <w:spacing w:val="7"/>
          <w:lang w:eastAsia="zh-CN"/>
        </w:rPr>
        <w:t>物价指数同比升</w:t>
      </w:r>
      <w:r w:rsidRPr="00E71C60">
        <w:rPr>
          <w:rFonts w:ascii="微软雅黑" w:eastAsia="微软雅黑" w:hAnsi="微软雅黑" w:cs="微软雅黑"/>
          <w:spacing w:val="7"/>
          <w:lang w:eastAsia="zh-CN"/>
        </w:rPr>
        <w:t>2.9%</w:t>
      </w:r>
      <w:r w:rsidRPr="00E71C60">
        <w:rPr>
          <w:rFonts w:ascii="微软雅黑" w:eastAsia="微软雅黑" w:hAnsi="微软雅黑" w:cs="微软雅黑" w:hint="eastAsia"/>
          <w:spacing w:val="7"/>
          <w:lang w:eastAsia="zh-CN"/>
        </w:rPr>
        <w:t>，为</w:t>
      </w:r>
      <w:r w:rsidRPr="00E71C60">
        <w:rPr>
          <w:rFonts w:ascii="微软雅黑" w:eastAsia="微软雅黑" w:hAnsi="微软雅黑" w:cs="微软雅黑"/>
          <w:spacing w:val="7"/>
          <w:lang w:eastAsia="zh-CN"/>
        </w:rPr>
        <w:t>2025</w:t>
      </w:r>
      <w:r w:rsidRPr="00E71C60">
        <w:rPr>
          <w:rFonts w:ascii="微软雅黑" w:eastAsia="微软雅黑" w:hAnsi="微软雅黑" w:cs="微软雅黑" w:hint="eastAsia"/>
          <w:spacing w:val="7"/>
          <w:lang w:eastAsia="zh-CN"/>
        </w:rPr>
        <w:t>年</w:t>
      </w:r>
      <w:r w:rsidRPr="00E71C60">
        <w:rPr>
          <w:rFonts w:ascii="微软雅黑" w:eastAsia="微软雅黑" w:hAnsi="微软雅黑" w:cs="微软雅黑"/>
          <w:spacing w:val="7"/>
          <w:lang w:eastAsia="zh-CN"/>
        </w:rPr>
        <w:t>2</w:t>
      </w:r>
      <w:r w:rsidRPr="00E71C60">
        <w:rPr>
          <w:rFonts w:ascii="微软雅黑" w:eastAsia="微软雅黑" w:hAnsi="微软雅黑" w:cs="微软雅黑" w:hint="eastAsia"/>
          <w:spacing w:val="7"/>
          <w:lang w:eastAsia="zh-CN"/>
        </w:rPr>
        <w:t>月以来新高，预期升</w:t>
      </w:r>
      <w:r w:rsidRPr="00E71C60">
        <w:rPr>
          <w:rFonts w:ascii="微软雅黑" w:eastAsia="微软雅黑" w:hAnsi="微软雅黑" w:cs="微软雅黑"/>
          <w:spacing w:val="7"/>
          <w:lang w:eastAsia="zh-CN"/>
        </w:rPr>
        <w:t>2.9%</w:t>
      </w:r>
      <w:r w:rsidRPr="00E71C60">
        <w:rPr>
          <w:rFonts w:ascii="微软雅黑" w:eastAsia="微软雅黑" w:hAnsi="微软雅黑" w:cs="微软雅黑" w:hint="eastAsia"/>
          <w:spacing w:val="7"/>
          <w:lang w:eastAsia="zh-CN"/>
        </w:rPr>
        <w:t>，前值升</w:t>
      </w:r>
      <w:r w:rsidRPr="00E71C60">
        <w:rPr>
          <w:rFonts w:ascii="微软雅黑" w:eastAsia="微软雅黑" w:hAnsi="微软雅黑" w:cs="微软雅黑"/>
          <w:spacing w:val="7"/>
          <w:lang w:eastAsia="zh-CN"/>
        </w:rPr>
        <w:t>2.8%</w:t>
      </w:r>
      <w:r w:rsidRPr="00E71C60">
        <w:rPr>
          <w:rFonts w:ascii="微软雅黑" w:eastAsia="微软雅黑" w:hAnsi="微软雅黑" w:cs="微软雅黑" w:hint="eastAsia"/>
          <w:spacing w:val="7"/>
          <w:lang w:eastAsia="zh-CN"/>
        </w:rPr>
        <w:t>；环比升</w:t>
      </w:r>
      <w:r w:rsidRPr="00E71C60">
        <w:rPr>
          <w:rFonts w:ascii="微软雅黑" w:eastAsia="微软雅黑" w:hAnsi="微软雅黑" w:cs="微软雅黑"/>
          <w:spacing w:val="7"/>
          <w:lang w:eastAsia="zh-CN"/>
        </w:rPr>
        <w:t>0.3%</w:t>
      </w:r>
      <w:r w:rsidRPr="00E71C60">
        <w:rPr>
          <w:rFonts w:ascii="微软雅黑" w:eastAsia="微软雅黑" w:hAnsi="微软雅黑" w:cs="微软雅黑" w:hint="eastAsia"/>
          <w:spacing w:val="7"/>
          <w:lang w:eastAsia="zh-CN"/>
        </w:rPr>
        <w:t>，与预期及前值一致。美联储最青睐的通胀指标符合预期，进一步巩固市场对美联储</w:t>
      </w: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月降息预期。整体来看，美国经济基本面并未出现明显走弱的迹象，但由于市场充分反映美联储</w:t>
      </w: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月降息预期，因此</w:t>
      </w:r>
      <w:r w:rsidRPr="00E71C60">
        <w:rPr>
          <w:rFonts w:ascii="微软雅黑" w:eastAsia="微软雅黑" w:hAnsi="微软雅黑" w:cs="微软雅黑"/>
          <w:spacing w:val="7"/>
          <w:lang w:eastAsia="zh-CN"/>
        </w:rPr>
        <w:t>7</w:t>
      </w:r>
      <w:r w:rsidRPr="00E71C60">
        <w:rPr>
          <w:rFonts w:ascii="微软雅黑" w:eastAsia="微软雅黑" w:hAnsi="微软雅黑" w:cs="微软雅黑" w:hint="eastAsia"/>
          <w:spacing w:val="7"/>
          <w:lang w:eastAsia="zh-CN"/>
        </w:rPr>
        <w:t>月核心</w:t>
      </w:r>
      <w:r w:rsidRPr="00E71C60">
        <w:rPr>
          <w:rFonts w:ascii="微软雅黑" w:eastAsia="微软雅黑" w:hAnsi="微软雅黑" w:cs="微软雅黑"/>
          <w:spacing w:val="7"/>
          <w:lang w:eastAsia="zh-CN"/>
        </w:rPr>
        <w:t>PCE</w:t>
      </w:r>
      <w:r w:rsidRPr="00E71C60">
        <w:rPr>
          <w:rFonts w:ascii="微软雅黑" w:eastAsia="微软雅黑" w:hAnsi="微软雅黑" w:cs="微软雅黑" w:hint="eastAsia"/>
          <w:spacing w:val="7"/>
          <w:lang w:eastAsia="zh-CN"/>
        </w:rPr>
        <w:t>数据并未对市场产生过多有利影响。策略上，建议暂时观望。</w:t>
      </w:r>
    </w:p>
    <w:p w14:paraId="3E7D9146" w14:textId="7E8211E7"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F1B230C" w:rsidR="007A477E" w:rsidRPr="00EE7376" w:rsidRDefault="00E71C60" w:rsidP="006B6996">
      <w:pPr>
        <w:spacing w:before="103" w:line="256" w:lineRule="auto"/>
        <w:ind w:right="210" w:firstLine="420"/>
        <w:jc w:val="center"/>
        <w:rPr>
          <w:rFonts w:ascii="微软雅黑" w:eastAsia="微软雅黑" w:hAnsi="微软雅黑" w:cs="微软雅黑"/>
          <w:spacing w:val="7"/>
          <w:lang w:eastAsia="zh-CN"/>
        </w:rPr>
      </w:pPr>
      <w:r w:rsidRPr="00380E07">
        <w:rPr>
          <w:rFonts w:ascii="Helvetica" w:hAnsi="Helvetica" w:cs="Helvetica"/>
          <w:noProof/>
          <w:shd w:val="clear" w:color="auto" w:fill="FFFFFF"/>
        </w:rPr>
        <w:drawing>
          <wp:inline distT="0" distB="0" distL="0" distR="0" wp14:anchorId="4F1C91A6" wp14:editId="160C64C0">
            <wp:extent cx="5274310" cy="1542215"/>
            <wp:effectExtent l="0" t="0" r="2540" b="1270"/>
            <wp:docPr id="3" name="图片 3" descr="C:\Users\Administrator\xwechat_files\wxid_vkxlzo0vqu7s22_6f5b\temp\InputTemp\74d554f3-7b3b-4e65-8c02-a2cc39f9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74d554f3-7b3b-4e65-8c02-a2cc39f9e48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221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DBA4837" w:rsidR="002760F0" w:rsidRPr="00AE484C" w:rsidRDefault="00E71C60" w:rsidP="000511AA">
      <w:pPr>
        <w:spacing w:before="103" w:line="256" w:lineRule="auto"/>
        <w:ind w:right="210" w:firstLine="420"/>
        <w:jc w:val="both"/>
        <w:rPr>
          <w:rFonts w:ascii="微软雅黑" w:eastAsia="微软雅黑" w:hAnsi="微软雅黑" w:cs="微软雅黑"/>
          <w:spacing w:val="7"/>
          <w:lang w:eastAsia="zh-CN"/>
        </w:rPr>
      </w:pPr>
      <w:r w:rsidRPr="00E71C60">
        <w:rPr>
          <w:rFonts w:ascii="微软雅黑" w:eastAsia="微软雅黑" w:hAnsi="微软雅黑" w:cs="微软雅黑" w:hint="eastAsia"/>
          <w:spacing w:val="7"/>
          <w:lang w:eastAsia="zh-CN"/>
        </w:rPr>
        <w:t>截至</w:t>
      </w:r>
      <w:r w:rsidRPr="00E71C60">
        <w:rPr>
          <w:rFonts w:ascii="微软雅黑" w:eastAsia="微软雅黑" w:hAnsi="微软雅黑" w:cs="微软雅黑"/>
          <w:spacing w:val="7"/>
          <w:lang w:eastAsia="zh-CN"/>
        </w:rPr>
        <w:t>9</w:t>
      </w:r>
      <w:r w:rsidRPr="00E71C60">
        <w:rPr>
          <w:rFonts w:ascii="微软雅黑" w:eastAsia="微软雅黑" w:hAnsi="微软雅黑" w:cs="微软雅黑" w:hint="eastAsia"/>
          <w:spacing w:val="7"/>
          <w:lang w:eastAsia="zh-CN"/>
        </w:rPr>
        <w:t>月</w:t>
      </w:r>
      <w:r w:rsidRPr="00E71C60">
        <w:rPr>
          <w:rFonts w:ascii="微软雅黑" w:eastAsia="微软雅黑" w:hAnsi="微软雅黑" w:cs="微软雅黑"/>
          <w:spacing w:val="7"/>
          <w:lang w:eastAsia="zh-CN"/>
        </w:rPr>
        <w:t>1</w:t>
      </w:r>
      <w:r w:rsidRPr="00E71C60">
        <w:rPr>
          <w:rFonts w:ascii="微软雅黑" w:eastAsia="微软雅黑" w:hAnsi="微软雅黑" w:cs="微软雅黑" w:hint="eastAsia"/>
          <w:spacing w:val="7"/>
          <w:lang w:eastAsia="zh-CN"/>
        </w:rPr>
        <w:t>日，富时中国</w:t>
      </w:r>
      <w:r w:rsidRPr="00E71C60">
        <w:rPr>
          <w:rFonts w:ascii="微软雅黑" w:eastAsia="微软雅黑" w:hAnsi="微软雅黑" w:cs="微软雅黑"/>
          <w:spacing w:val="7"/>
          <w:lang w:eastAsia="zh-CN"/>
        </w:rPr>
        <w:t>A50</w:t>
      </w:r>
      <w:r w:rsidRPr="00E71C60">
        <w:rPr>
          <w:rFonts w:ascii="微软雅黑" w:eastAsia="微软雅黑" w:hAnsi="微软雅黑" w:cs="微软雅黑" w:hint="eastAsia"/>
          <w:spacing w:val="7"/>
          <w:lang w:eastAsia="zh-CN"/>
        </w:rPr>
        <w:t>指数下跌</w:t>
      </w:r>
      <w:r w:rsidRPr="00E71C60">
        <w:rPr>
          <w:rFonts w:ascii="微软雅黑" w:eastAsia="微软雅黑" w:hAnsi="微软雅黑" w:cs="微软雅黑"/>
          <w:spacing w:val="7"/>
          <w:lang w:eastAsia="zh-CN"/>
        </w:rPr>
        <w:t>0.41%</w:t>
      </w:r>
      <w:r w:rsidRPr="00E71C60">
        <w:rPr>
          <w:rFonts w:ascii="微软雅黑" w:eastAsia="微软雅黑" w:hAnsi="微软雅黑" w:cs="微软雅黑" w:hint="eastAsia"/>
          <w:spacing w:val="7"/>
          <w:lang w:eastAsia="zh-CN"/>
        </w:rPr>
        <w:t>至</w:t>
      </w:r>
      <w:r w:rsidRPr="00E71C60">
        <w:rPr>
          <w:rFonts w:ascii="微软雅黑" w:eastAsia="微软雅黑" w:hAnsi="微软雅黑" w:cs="微软雅黑"/>
          <w:spacing w:val="7"/>
          <w:lang w:eastAsia="zh-CN"/>
        </w:rPr>
        <w:t>14904.15</w:t>
      </w:r>
      <w:r w:rsidRPr="00E71C60">
        <w:rPr>
          <w:rFonts w:ascii="微软雅黑" w:eastAsia="微软雅黑" w:hAnsi="微软雅黑" w:cs="微软雅黑" w:hint="eastAsia"/>
          <w:spacing w:val="7"/>
          <w:lang w:eastAsia="zh-CN"/>
        </w:rPr>
        <w:t>；新交所富时</w:t>
      </w:r>
      <w:r w:rsidRPr="00E71C60">
        <w:rPr>
          <w:rFonts w:ascii="微软雅黑" w:eastAsia="微软雅黑" w:hAnsi="微软雅黑" w:cs="微软雅黑"/>
          <w:spacing w:val="7"/>
          <w:lang w:eastAsia="zh-CN"/>
        </w:rPr>
        <w:t>A50</w:t>
      </w:r>
      <w:r w:rsidRPr="00E71C60">
        <w:rPr>
          <w:rFonts w:ascii="微软雅黑" w:eastAsia="微软雅黑" w:hAnsi="微软雅黑" w:cs="微软雅黑" w:hint="eastAsia"/>
          <w:spacing w:val="7"/>
          <w:lang w:eastAsia="zh-CN"/>
        </w:rPr>
        <w:t>期指主力合约下跌</w:t>
      </w:r>
      <w:r w:rsidRPr="00E71C60">
        <w:rPr>
          <w:rFonts w:ascii="微软雅黑" w:eastAsia="微软雅黑" w:hAnsi="微软雅黑" w:cs="微软雅黑"/>
          <w:spacing w:val="7"/>
          <w:lang w:eastAsia="zh-CN"/>
        </w:rPr>
        <w:t>0.54%</w:t>
      </w:r>
      <w:r w:rsidRPr="00E71C60">
        <w:rPr>
          <w:rFonts w:ascii="微软雅黑" w:eastAsia="微软雅黑" w:hAnsi="微软雅黑" w:cs="微软雅黑" w:hint="eastAsia"/>
          <w:spacing w:val="7"/>
          <w:lang w:eastAsia="zh-CN"/>
        </w:rPr>
        <w:t>至</w:t>
      </w:r>
      <w:r w:rsidRPr="00E71C60">
        <w:rPr>
          <w:rFonts w:ascii="微软雅黑" w:eastAsia="微软雅黑" w:hAnsi="微软雅黑" w:cs="微软雅黑"/>
          <w:spacing w:val="7"/>
          <w:lang w:eastAsia="zh-CN"/>
        </w:rPr>
        <w:t>14904</w:t>
      </w:r>
      <w:r w:rsidRPr="00E71C60">
        <w:rPr>
          <w:rFonts w:ascii="微软雅黑" w:eastAsia="微软雅黑" w:hAnsi="微软雅黑" w:cs="微软雅黑" w:hint="eastAsia"/>
          <w:spacing w:val="7"/>
          <w:lang w:eastAsia="zh-CN"/>
        </w:rPr>
        <w:t>。国内方面，经济基本面，中国</w:t>
      </w:r>
      <w:r w:rsidRPr="00E71C60">
        <w:rPr>
          <w:rFonts w:ascii="微软雅黑" w:eastAsia="微软雅黑" w:hAnsi="微软雅黑" w:cs="微软雅黑"/>
          <w:spacing w:val="7"/>
          <w:lang w:eastAsia="zh-CN"/>
        </w:rPr>
        <w:t>8</w:t>
      </w:r>
      <w:r w:rsidRPr="00E71C60">
        <w:rPr>
          <w:rFonts w:ascii="微软雅黑" w:eastAsia="微软雅黑" w:hAnsi="微软雅黑" w:cs="微软雅黑" w:hint="eastAsia"/>
          <w:spacing w:val="7"/>
          <w:lang w:eastAsia="zh-CN"/>
        </w:rPr>
        <w:t>月官方制造业</w:t>
      </w:r>
      <w:r w:rsidRPr="00E71C60">
        <w:rPr>
          <w:rFonts w:ascii="微软雅黑" w:eastAsia="微软雅黑" w:hAnsi="微软雅黑" w:cs="微软雅黑"/>
          <w:spacing w:val="7"/>
          <w:lang w:eastAsia="zh-CN"/>
        </w:rPr>
        <w:t>PMI</w:t>
      </w:r>
      <w:r w:rsidRPr="00E71C60">
        <w:rPr>
          <w:rFonts w:ascii="微软雅黑" w:eastAsia="微软雅黑" w:hAnsi="微软雅黑" w:cs="微软雅黑" w:hint="eastAsia"/>
          <w:spacing w:val="7"/>
          <w:lang w:eastAsia="zh-CN"/>
        </w:rPr>
        <w:t>、非制造业</w:t>
      </w:r>
      <w:r w:rsidRPr="00E71C60">
        <w:rPr>
          <w:rFonts w:ascii="微软雅黑" w:eastAsia="微软雅黑" w:hAnsi="微软雅黑" w:cs="微软雅黑"/>
          <w:spacing w:val="7"/>
          <w:lang w:eastAsia="zh-CN"/>
        </w:rPr>
        <w:t>PMI</w:t>
      </w:r>
      <w:r w:rsidRPr="00E71C60">
        <w:rPr>
          <w:rFonts w:ascii="微软雅黑" w:eastAsia="微软雅黑" w:hAnsi="微软雅黑" w:cs="微软雅黑" w:hint="eastAsia"/>
          <w:spacing w:val="7"/>
          <w:lang w:eastAsia="zh-CN"/>
        </w:rPr>
        <w:t>和综合</w:t>
      </w:r>
      <w:r w:rsidRPr="00E71C60">
        <w:rPr>
          <w:rFonts w:ascii="微软雅黑" w:eastAsia="微软雅黑" w:hAnsi="微软雅黑" w:cs="微软雅黑"/>
          <w:spacing w:val="7"/>
          <w:lang w:eastAsia="zh-CN"/>
        </w:rPr>
        <w:t>PMI</w:t>
      </w:r>
      <w:r w:rsidRPr="00E71C60">
        <w:rPr>
          <w:rFonts w:ascii="微软雅黑" w:eastAsia="微软雅黑" w:hAnsi="微软雅黑" w:cs="微软雅黑" w:hint="eastAsia"/>
          <w:spacing w:val="7"/>
          <w:lang w:eastAsia="zh-CN"/>
        </w:rPr>
        <w:t>分别为</w:t>
      </w:r>
      <w:r w:rsidRPr="00E71C60">
        <w:rPr>
          <w:rFonts w:ascii="微软雅黑" w:eastAsia="微软雅黑" w:hAnsi="微软雅黑" w:cs="微软雅黑"/>
          <w:spacing w:val="7"/>
          <w:lang w:eastAsia="zh-CN"/>
        </w:rPr>
        <w:t>49.4%</w:t>
      </w:r>
      <w:r w:rsidRPr="00E71C60">
        <w:rPr>
          <w:rFonts w:ascii="微软雅黑" w:eastAsia="微软雅黑" w:hAnsi="微软雅黑" w:cs="微软雅黑" w:hint="eastAsia"/>
          <w:spacing w:val="7"/>
          <w:lang w:eastAsia="zh-CN"/>
        </w:rPr>
        <w:t>、</w:t>
      </w:r>
      <w:r w:rsidRPr="00E71C60">
        <w:rPr>
          <w:rFonts w:ascii="微软雅黑" w:eastAsia="微软雅黑" w:hAnsi="微软雅黑" w:cs="微软雅黑"/>
          <w:spacing w:val="7"/>
          <w:lang w:eastAsia="zh-CN"/>
        </w:rPr>
        <w:t>50.3%</w:t>
      </w:r>
      <w:r w:rsidRPr="00E71C60">
        <w:rPr>
          <w:rFonts w:ascii="微软雅黑" w:eastAsia="微软雅黑" w:hAnsi="微软雅黑" w:cs="微软雅黑" w:hint="eastAsia"/>
          <w:spacing w:val="7"/>
          <w:lang w:eastAsia="zh-CN"/>
        </w:rPr>
        <w:t>和</w:t>
      </w:r>
      <w:r w:rsidRPr="00E71C60">
        <w:rPr>
          <w:rFonts w:ascii="微软雅黑" w:eastAsia="微软雅黑" w:hAnsi="微软雅黑" w:cs="微软雅黑"/>
          <w:spacing w:val="7"/>
          <w:lang w:eastAsia="zh-CN"/>
        </w:rPr>
        <w:t>50.5%</w:t>
      </w:r>
      <w:r w:rsidRPr="00E71C60">
        <w:rPr>
          <w:rFonts w:ascii="微软雅黑" w:eastAsia="微软雅黑" w:hAnsi="微软雅黑" w:cs="微软雅黑" w:hint="eastAsia"/>
          <w:spacing w:val="7"/>
          <w:lang w:eastAsia="zh-CN"/>
        </w:rPr>
        <w:t>，环比升</w:t>
      </w:r>
      <w:r w:rsidRPr="00E71C60">
        <w:rPr>
          <w:rFonts w:ascii="微软雅黑" w:eastAsia="微软雅黑" w:hAnsi="微软雅黑" w:cs="微软雅黑"/>
          <w:spacing w:val="7"/>
          <w:lang w:eastAsia="zh-CN"/>
        </w:rPr>
        <w:t>0.1</w:t>
      </w:r>
      <w:r w:rsidRPr="00E71C60">
        <w:rPr>
          <w:rFonts w:ascii="微软雅黑" w:eastAsia="微软雅黑" w:hAnsi="微软雅黑" w:cs="微软雅黑" w:hint="eastAsia"/>
          <w:spacing w:val="7"/>
          <w:lang w:eastAsia="zh-CN"/>
        </w:rPr>
        <w:t>、</w:t>
      </w:r>
      <w:r w:rsidRPr="00E71C60">
        <w:rPr>
          <w:rFonts w:ascii="微软雅黑" w:eastAsia="微软雅黑" w:hAnsi="微软雅黑" w:cs="微软雅黑"/>
          <w:spacing w:val="7"/>
          <w:lang w:eastAsia="zh-CN"/>
        </w:rPr>
        <w:t>0.2</w:t>
      </w:r>
      <w:r w:rsidRPr="00E71C60">
        <w:rPr>
          <w:rFonts w:ascii="微软雅黑" w:eastAsia="微软雅黑" w:hAnsi="微软雅黑" w:cs="微软雅黑" w:hint="eastAsia"/>
          <w:spacing w:val="7"/>
          <w:lang w:eastAsia="zh-CN"/>
        </w:rPr>
        <w:t>和</w:t>
      </w:r>
      <w:r w:rsidRPr="00E71C60">
        <w:rPr>
          <w:rFonts w:ascii="微软雅黑" w:eastAsia="微软雅黑" w:hAnsi="微软雅黑" w:cs="微软雅黑"/>
          <w:spacing w:val="7"/>
          <w:lang w:eastAsia="zh-CN"/>
        </w:rPr>
        <w:t>0.3</w:t>
      </w:r>
      <w:r w:rsidRPr="00E71C60">
        <w:rPr>
          <w:rFonts w:ascii="微软雅黑" w:eastAsia="微软雅黑" w:hAnsi="微软雅黑" w:cs="微软雅黑" w:hint="eastAsia"/>
          <w:spacing w:val="7"/>
          <w:lang w:eastAsia="zh-CN"/>
        </w:rPr>
        <w:t>个百分点。制造业景气有所回升，但仍处于收缩区间。个股层面，</w:t>
      </w:r>
      <w:r w:rsidRPr="00E71C60">
        <w:rPr>
          <w:rFonts w:ascii="微软雅黑" w:eastAsia="微软雅黑" w:hAnsi="微软雅黑" w:cs="微软雅黑"/>
          <w:spacing w:val="7"/>
          <w:lang w:eastAsia="zh-CN"/>
        </w:rPr>
        <w:t>A</w:t>
      </w:r>
      <w:r w:rsidRPr="00E71C60">
        <w:rPr>
          <w:rFonts w:ascii="微软雅黑" w:eastAsia="微软雅黑" w:hAnsi="微软雅黑" w:cs="微软雅黑" w:hint="eastAsia"/>
          <w:spacing w:val="7"/>
          <w:lang w:eastAsia="zh-CN"/>
        </w:rPr>
        <w:t>股半年报显示，上证</w:t>
      </w:r>
      <w:r w:rsidRPr="00E71C60">
        <w:rPr>
          <w:rFonts w:ascii="微软雅黑" w:eastAsia="微软雅黑" w:hAnsi="微软雅黑" w:cs="微软雅黑"/>
          <w:spacing w:val="7"/>
          <w:lang w:eastAsia="zh-CN"/>
        </w:rPr>
        <w:t>50</w:t>
      </w:r>
      <w:r w:rsidRPr="00E71C60">
        <w:rPr>
          <w:rFonts w:ascii="微软雅黑" w:eastAsia="微软雅黑" w:hAnsi="微软雅黑" w:cs="微软雅黑" w:hint="eastAsia"/>
          <w:spacing w:val="7"/>
          <w:lang w:eastAsia="zh-CN"/>
        </w:rPr>
        <w:t>净利增速较一季度小幅增长，沪深</w:t>
      </w:r>
      <w:r w:rsidRPr="00E71C60">
        <w:rPr>
          <w:rFonts w:ascii="微软雅黑" w:eastAsia="微软雅黑" w:hAnsi="微软雅黑" w:cs="微软雅黑"/>
          <w:spacing w:val="7"/>
          <w:lang w:eastAsia="zh-CN"/>
        </w:rPr>
        <w:t>300</w:t>
      </w:r>
      <w:r w:rsidRPr="00E71C60">
        <w:rPr>
          <w:rFonts w:ascii="微软雅黑" w:eastAsia="微软雅黑" w:hAnsi="微软雅黑" w:cs="微软雅黑" w:hint="eastAsia"/>
          <w:spacing w:val="7"/>
          <w:lang w:eastAsia="zh-CN"/>
        </w:rPr>
        <w:t>及中证</w:t>
      </w:r>
      <w:r w:rsidRPr="00E71C60">
        <w:rPr>
          <w:rFonts w:ascii="微软雅黑" w:eastAsia="微软雅黑" w:hAnsi="微软雅黑" w:cs="微软雅黑"/>
          <w:spacing w:val="7"/>
          <w:lang w:eastAsia="zh-CN"/>
        </w:rPr>
        <w:t>500</w:t>
      </w:r>
      <w:r w:rsidRPr="00E71C60">
        <w:rPr>
          <w:rFonts w:ascii="微软雅黑" w:eastAsia="微软雅黑" w:hAnsi="微软雅黑" w:cs="微软雅黑" w:hint="eastAsia"/>
          <w:spacing w:val="7"/>
          <w:lang w:eastAsia="zh-CN"/>
        </w:rPr>
        <w:t>有所回落，而中证</w:t>
      </w:r>
      <w:r w:rsidRPr="00E71C60">
        <w:rPr>
          <w:rFonts w:ascii="微软雅黑" w:eastAsia="微软雅黑" w:hAnsi="微软雅黑" w:cs="微软雅黑"/>
          <w:spacing w:val="7"/>
          <w:lang w:eastAsia="zh-CN"/>
        </w:rPr>
        <w:t>1000</w:t>
      </w:r>
      <w:r w:rsidRPr="00E71C60">
        <w:rPr>
          <w:rFonts w:ascii="微软雅黑" w:eastAsia="微软雅黑" w:hAnsi="微软雅黑" w:cs="微软雅黑" w:hint="eastAsia"/>
          <w:spacing w:val="7"/>
          <w:lang w:eastAsia="zh-CN"/>
        </w:rPr>
        <w:t>净利增速由一季度增长转为下滑。资金面，北向资金成交保持活跃，两融余额持续攀升。整体来看，在经过持续的大幅拉涨后，涨势有所放缓，短期或呈现震荡整固。目前</w:t>
      </w:r>
      <w:r w:rsidRPr="00E71C60">
        <w:rPr>
          <w:rFonts w:ascii="微软雅黑" w:eastAsia="微软雅黑" w:hAnsi="微软雅黑" w:cs="微软雅黑"/>
          <w:spacing w:val="7"/>
          <w:lang w:eastAsia="zh-CN"/>
        </w:rPr>
        <w:t>A</w:t>
      </w:r>
      <w:r w:rsidRPr="00E71C60">
        <w:rPr>
          <w:rFonts w:ascii="微软雅黑" w:eastAsia="微软雅黑" w:hAnsi="微软雅黑" w:cs="微软雅黑" w:hint="eastAsia"/>
          <w:spacing w:val="7"/>
          <w:lang w:eastAsia="zh-CN"/>
        </w:rPr>
        <w:t>股上市公司半年报已基本披露完毕，后续市场将进入业绩及政策真空期。在当前的低利率环境下，居民存款搬家将为市场注入流动性，而此前政策对中长期资金入市的安排，也对优化</w:t>
      </w:r>
      <w:r w:rsidRPr="00E71C60">
        <w:rPr>
          <w:rFonts w:ascii="微软雅黑" w:eastAsia="微软雅黑" w:hAnsi="微软雅黑" w:cs="微软雅黑"/>
          <w:spacing w:val="7"/>
          <w:lang w:eastAsia="zh-CN"/>
        </w:rPr>
        <w:t>A</w:t>
      </w:r>
      <w:r w:rsidRPr="00E71C60">
        <w:rPr>
          <w:rFonts w:ascii="微软雅黑" w:eastAsia="微软雅黑" w:hAnsi="微软雅黑" w:cs="微软雅黑" w:hint="eastAsia"/>
          <w:spacing w:val="7"/>
          <w:lang w:eastAsia="zh-CN"/>
        </w:rPr>
        <w:t>股投资结构起到助推效果。此外，在美股估值偏高的情况下，估值较为合</w:t>
      </w:r>
      <w:r w:rsidRPr="00E71C60">
        <w:rPr>
          <w:rFonts w:ascii="微软雅黑" w:eastAsia="微软雅黑" w:hAnsi="微软雅黑" w:cs="微软雅黑" w:hint="eastAsia"/>
          <w:spacing w:val="7"/>
          <w:lang w:eastAsia="zh-CN"/>
        </w:rPr>
        <w:lastRenderedPageBreak/>
        <w:t>理的</w:t>
      </w:r>
      <w:r w:rsidRPr="00E71C60">
        <w:rPr>
          <w:rFonts w:ascii="微软雅黑" w:eastAsia="微软雅黑" w:hAnsi="微软雅黑" w:cs="微软雅黑"/>
          <w:spacing w:val="7"/>
          <w:lang w:eastAsia="zh-CN"/>
        </w:rPr>
        <w:t>A</w:t>
      </w:r>
      <w:r w:rsidRPr="00E71C60">
        <w:rPr>
          <w:rFonts w:ascii="微软雅黑" w:eastAsia="微软雅黑" w:hAnsi="微软雅黑" w:cs="微软雅黑" w:hint="eastAsia"/>
          <w:spacing w:val="7"/>
          <w:lang w:eastAsia="zh-CN"/>
        </w:rPr>
        <w:t>股也持续吸引外资流入。最后，由于经济数据表现不佳，市场对政策加码的预期仍存。策略上，建议轻仓逢低买入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4F7CADB" w:rsidR="009372C5" w:rsidRPr="00D44799" w:rsidRDefault="00E71C60" w:rsidP="00904B93">
      <w:pPr>
        <w:spacing w:before="103" w:line="256" w:lineRule="auto"/>
        <w:ind w:right="210" w:firstLine="420"/>
        <w:jc w:val="center"/>
        <w:rPr>
          <w:rFonts w:ascii="新宋体" w:eastAsia="新宋体" w:hAnsi="新宋体"/>
          <w:lang w:eastAsia="zh-CN"/>
        </w:rPr>
      </w:pPr>
      <w:r w:rsidRPr="00380E07">
        <w:rPr>
          <w:rFonts w:asciiTheme="minorEastAsia" w:hAnsiTheme="minorEastAsia" w:cs="Times New Roman"/>
          <w:noProof/>
        </w:rPr>
        <w:drawing>
          <wp:inline distT="0" distB="0" distL="0" distR="0" wp14:anchorId="512DEC5B" wp14:editId="69D12CC2">
            <wp:extent cx="5274310" cy="1545421"/>
            <wp:effectExtent l="0" t="0" r="2540" b="0"/>
            <wp:docPr id="5" name="图片 5" descr="C:\Users\Administrator\xwechat_files\wxid_vkxlzo0vqu7s22_6f5b\temp\InputTemp\99617a54-01da-4a27-aba3-e76832b03f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9617a54-01da-4a27-aba3-e76832b03f2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037C2FF4" w:rsidR="002760F0" w:rsidRDefault="00E71C60" w:rsidP="00D372FB">
      <w:pPr>
        <w:spacing w:before="103" w:line="256" w:lineRule="auto"/>
        <w:ind w:right="210" w:firstLine="448"/>
        <w:jc w:val="both"/>
        <w:rPr>
          <w:rFonts w:ascii="微软雅黑" w:eastAsia="微软雅黑" w:hAnsi="微软雅黑" w:cs="微软雅黑"/>
          <w:spacing w:val="12"/>
          <w:lang w:eastAsia="zh-CN"/>
        </w:rPr>
      </w:pPr>
      <w:r w:rsidRPr="00E71C60">
        <w:rPr>
          <w:rFonts w:ascii="微软雅黑" w:eastAsia="微软雅黑" w:hAnsi="微软雅黑" w:cs="微软雅黑" w:hint="eastAsia"/>
          <w:spacing w:val="12"/>
          <w:lang w:eastAsia="zh-CN"/>
        </w:rPr>
        <w:t>隔夜</w:t>
      </w:r>
      <w:r w:rsidRPr="00E71C60">
        <w:rPr>
          <w:rFonts w:ascii="微软雅黑" w:eastAsia="微软雅黑" w:hAnsi="微软雅黑" w:cs="微软雅黑"/>
          <w:spacing w:val="12"/>
          <w:lang w:eastAsia="zh-CN"/>
        </w:rPr>
        <w:t>COMEX</w:t>
      </w:r>
      <w:r w:rsidRPr="00E71C60">
        <w:rPr>
          <w:rFonts w:ascii="微软雅黑" w:eastAsia="微软雅黑" w:hAnsi="微软雅黑" w:cs="微软雅黑" w:hint="eastAsia"/>
          <w:spacing w:val="12"/>
          <w:lang w:eastAsia="zh-CN"/>
        </w:rPr>
        <w:t>铜震荡走势，报收</w:t>
      </w:r>
      <w:r w:rsidRPr="00E71C60">
        <w:rPr>
          <w:rFonts w:ascii="微软雅黑" w:eastAsia="微软雅黑" w:hAnsi="微软雅黑" w:cs="微软雅黑"/>
          <w:spacing w:val="12"/>
          <w:lang w:eastAsia="zh-CN"/>
        </w:rPr>
        <w:t>4.5725</w:t>
      </w:r>
      <w:r w:rsidRPr="00E71C60">
        <w:rPr>
          <w:rFonts w:ascii="微软雅黑" w:eastAsia="微软雅黑" w:hAnsi="微软雅黑" w:cs="微软雅黑" w:hint="eastAsia"/>
          <w:spacing w:val="12"/>
          <w:lang w:eastAsia="zh-CN"/>
        </w:rPr>
        <w:t>元</w:t>
      </w:r>
      <w:r w:rsidRPr="00E71C60">
        <w:rPr>
          <w:rFonts w:ascii="微软雅黑" w:eastAsia="微软雅黑" w:hAnsi="微软雅黑" w:cs="微软雅黑"/>
          <w:spacing w:val="12"/>
          <w:lang w:eastAsia="zh-CN"/>
        </w:rPr>
        <w:t>/</w:t>
      </w:r>
      <w:r w:rsidRPr="00E71C60">
        <w:rPr>
          <w:rFonts w:ascii="微软雅黑" w:eastAsia="微软雅黑" w:hAnsi="微软雅黑" w:cs="微软雅黑" w:hint="eastAsia"/>
          <w:spacing w:val="12"/>
          <w:lang w:eastAsia="zh-CN"/>
        </w:rPr>
        <w:t>磅，涨跌幅</w:t>
      </w:r>
      <w:r w:rsidRPr="00E71C60">
        <w:rPr>
          <w:rFonts w:ascii="微软雅黑" w:eastAsia="微软雅黑" w:hAnsi="微软雅黑" w:cs="微软雅黑"/>
          <w:spacing w:val="12"/>
          <w:lang w:eastAsia="zh-CN"/>
        </w:rPr>
        <w:t>-0.39%</w:t>
      </w:r>
      <w:r w:rsidRPr="00E71C60">
        <w:rPr>
          <w:rFonts w:ascii="微软雅黑" w:eastAsia="微软雅黑" w:hAnsi="微软雅黑" w:cs="微软雅黑" w:hint="eastAsia"/>
          <w:spacing w:val="12"/>
          <w:lang w:eastAsia="zh-CN"/>
        </w:rPr>
        <w:t>。国际方面，欧元区</w:t>
      </w:r>
      <w:r w:rsidRPr="00E71C60">
        <w:rPr>
          <w:rFonts w:ascii="微软雅黑" w:eastAsia="微软雅黑" w:hAnsi="微软雅黑" w:cs="微软雅黑"/>
          <w:spacing w:val="12"/>
          <w:lang w:eastAsia="zh-CN"/>
        </w:rPr>
        <w:t>8</w:t>
      </w:r>
      <w:r w:rsidRPr="00E71C60">
        <w:rPr>
          <w:rFonts w:ascii="微软雅黑" w:eastAsia="微软雅黑" w:hAnsi="微软雅黑" w:cs="微软雅黑" w:hint="eastAsia"/>
          <w:spacing w:val="12"/>
          <w:lang w:eastAsia="zh-CN"/>
        </w:rPr>
        <w:t>月制造业</w:t>
      </w:r>
      <w:r w:rsidRPr="00E71C60">
        <w:rPr>
          <w:rFonts w:ascii="微软雅黑" w:eastAsia="微软雅黑" w:hAnsi="微软雅黑" w:cs="微软雅黑"/>
          <w:spacing w:val="12"/>
          <w:lang w:eastAsia="zh-CN"/>
        </w:rPr>
        <w:t>PMI</w:t>
      </w:r>
      <w:r w:rsidRPr="00E71C60">
        <w:rPr>
          <w:rFonts w:ascii="微软雅黑" w:eastAsia="微软雅黑" w:hAnsi="微软雅黑" w:cs="微软雅黑" w:hint="eastAsia"/>
          <w:spacing w:val="12"/>
          <w:lang w:eastAsia="zh-CN"/>
        </w:rPr>
        <w:t>终值从</w:t>
      </w:r>
      <w:r w:rsidRPr="00E71C60">
        <w:rPr>
          <w:rFonts w:ascii="微软雅黑" w:eastAsia="微软雅黑" w:hAnsi="微软雅黑" w:cs="微软雅黑"/>
          <w:spacing w:val="12"/>
          <w:lang w:eastAsia="zh-CN"/>
        </w:rPr>
        <w:t>7</w:t>
      </w:r>
      <w:r w:rsidRPr="00E71C60">
        <w:rPr>
          <w:rFonts w:ascii="微软雅黑" w:eastAsia="微软雅黑" w:hAnsi="微软雅黑" w:cs="微软雅黑" w:hint="eastAsia"/>
          <w:spacing w:val="12"/>
          <w:lang w:eastAsia="zh-CN"/>
        </w:rPr>
        <w:t>月份的</w:t>
      </w:r>
      <w:r w:rsidRPr="00E71C60">
        <w:rPr>
          <w:rFonts w:ascii="微软雅黑" w:eastAsia="微软雅黑" w:hAnsi="微软雅黑" w:cs="微软雅黑"/>
          <w:spacing w:val="12"/>
          <w:lang w:eastAsia="zh-CN"/>
        </w:rPr>
        <w:t>49.8</w:t>
      </w:r>
      <w:r w:rsidRPr="00E71C60">
        <w:rPr>
          <w:rFonts w:ascii="微软雅黑" w:eastAsia="微软雅黑" w:hAnsi="微软雅黑" w:cs="微软雅黑" w:hint="eastAsia"/>
          <w:spacing w:val="12"/>
          <w:lang w:eastAsia="zh-CN"/>
        </w:rPr>
        <w:t>升至</w:t>
      </w:r>
      <w:r w:rsidRPr="00E71C60">
        <w:rPr>
          <w:rFonts w:ascii="微软雅黑" w:eastAsia="微软雅黑" w:hAnsi="微软雅黑" w:cs="微软雅黑"/>
          <w:spacing w:val="12"/>
          <w:lang w:eastAsia="zh-CN"/>
        </w:rPr>
        <w:t>50.7</w:t>
      </w:r>
      <w:r w:rsidRPr="00E71C60">
        <w:rPr>
          <w:rFonts w:ascii="微软雅黑" w:eastAsia="微软雅黑" w:hAnsi="微软雅黑" w:cs="微软雅黑" w:hint="eastAsia"/>
          <w:spacing w:val="12"/>
          <w:lang w:eastAsia="zh-CN"/>
        </w:rPr>
        <w:t>的三年多高点，高于初值</w:t>
      </w:r>
      <w:r w:rsidRPr="00E71C60">
        <w:rPr>
          <w:rFonts w:ascii="微软雅黑" w:eastAsia="微软雅黑" w:hAnsi="微软雅黑" w:cs="微软雅黑"/>
          <w:spacing w:val="12"/>
          <w:lang w:eastAsia="zh-CN"/>
        </w:rPr>
        <w:t>50.5</w:t>
      </w:r>
      <w:r w:rsidRPr="00E71C60">
        <w:rPr>
          <w:rFonts w:ascii="微软雅黑" w:eastAsia="微软雅黑" w:hAnsi="微软雅黑" w:cs="微软雅黑" w:hint="eastAsia"/>
          <w:spacing w:val="12"/>
          <w:lang w:eastAsia="zh-CN"/>
        </w:rPr>
        <w:t>，自</w:t>
      </w:r>
      <w:r w:rsidRPr="00E71C60">
        <w:rPr>
          <w:rFonts w:ascii="微软雅黑" w:eastAsia="微软雅黑" w:hAnsi="微软雅黑" w:cs="微软雅黑"/>
          <w:spacing w:val="12"/>
          <w:lang w:eastAsia="zh-CN"/>
        </w:rPr>
        <w:t>2022</w:t>
      </w:r>
      <w:r w:rsidRPr="00E71C60">
        <w:rPr>
          <w:rFonts w:ascii="微软雅黑" w:eastAsia="微软雅黑" w:hAnsi="微软雅黑" w:cs="微软雅黑" w:hint="eastAsia"/>
          <w:spacing w:val="12"/>
          <w:lang w:eastAsia="zh-CN"/>
        </w:rPr>
        <w:t>年中期以来首次扩张。工厂产量、新订单增速达到近三年半以来的最快。国内方面，《个人消费贷款财政贴息政策实施方案》于</w:t>
      </w:r>
      <w:r w:rsidRPr="00E71C60">
        <w:rPr>
          <w:rFonts w:ascii="微软雅黑" w:eastAsia="微软雅黑" w:hAnsi="微软雅黑" w:cs="微软雅黑"/>
          <w:spacing w:val="12"/>
          <w:lang w:eastAsia="zh-CN"/>
        </w:rPr>
        <w:t>9</w:t>
      </w:r>
      <w:r w:rsidRPr="00E71C60">
        <w:rPr>
          <w:rFonts w:ascii="微软雅黑" w:eastAsia="微软雅黑" w:hAnsi="微软雅黑" w:cs="微软雅黑" w:hint="eastAsia"/>
          <w:spacing w:val="12"/>
          <w:lang w:eastAsia="zh-CN"/>
        </w:rPr>
        <w:t>月</w:t>
      </w:r>
      <w:r w:rsidRPr="00E71C60">
        <w:rPr>
          <w:rFonts w:ascii="微软雅黑" w:eastAsia="微软雅黑" w:hAnsi="微软雅黑" w:cs="微软雅黑"/>
          <w:spacing w:val="12"/>
          <w:lang w:eastAsia="zh-CN"/>
        </w:rPr>
        <w:t>1</w:t>
      </w:r>
      <w:r w:rsidRPr="00E71C60">
        <w:rPr>
          <w:rFonts w:ascii="微软雅黑" w:eastAsia="微软雅黑" w:hAnsi="微软雅黑" w:cs="微软雅黑" w:hint="eastAsia"/>
          <w:spacing w:val="12"/>
          <w:lang w:eastAsia="zh-CN"/>
        </w:rPr>
        <w:t>日正式实施，参与试点银行等机构正式接受贴息方案申请。正值银行中报季，部分银行高管在中报业绩会上对消费信贷贴息政策的影响给予乐观预期。此外，各家银行均明确，信用卡分期业务不在贴息范围。库存方面，截至</w:t>
      </w:r>
      <w:r w:rsidRPr="00E71C60">
        <w:rPr>
          <w:rFonts w:ascii="微软雅黑" w:eastAsia="微软雅黑" w:hAnsi="微软雅黑" w:cs="微软雅黑"/>
          <w:spacing w:val="12"/>
          <w:lang w:eastAsia="zh-CN"/>
        </w:rPr>
        <w:t>9</w:t>
      </w:r>
      <w:r w:rsidRPr="00E71C60">
        <w:rPr>
          <w:rFonts w:ascii="微软雅黑" w:eastAsia="微软雅黑" w:hAnsi="微软雅黑" w:cs="微软雅黑" w:hint="eastAsia"/>
          <w:spacing w:val="12"/>
          <w:lang w:eastAsia="zh-CN"/>
        </w:rPr>
        <w:t>月</w:t>
      </w:r>
      <w:r w:rsidRPr="00E71C60">
        <w:rPr>
          <w:rFonts w:ascii="微软雅黑" w:eastAsia="微软雅黑" w:hAnsi="微软雅黑" w:cs="微软雅黑"/>
          <w:spacing w:val="12"/>
          <w:lang w:eastAsia="zh-CN"/>
        </w:rPr>
        <w:t>1</w:t>
      </w:r>
      <w:r w:rsidRPr="00E71C60">
        <w:rPr>
          <w:rFonts w:ascii="微软雅黑" w:eastAsia="微软雅黑" w:hAnsi="微软雅黑" w:cs="微软雅黑" w:hint="eastAsia"/>
          <w:spacing w:val="12"/>
          <w:lang w:eastAsia="zh-CN"/>
        </w:rPr>
        <w:t>日，</w:t>
      </w:r>
      <w:r w:rsidRPr="00E71C60">
        <w:rPr>
          <w:rFonts w:ascii="微软雅黑" w:eastAsia="微软雅黑" w:hAnsi="微软雅黑" w:cs="微软雅黑"/>
          <w:spacing w:val="12"/>
          <w:lang w:eastAsia="zh-CN"/>
        </w:rPr>
        <w:t>COMEX</w:t>
      </w:r>
      <w:r w:rsidRPr="00E71C60">
        <w:rPr>
          <w:rFonts w:ascii="微软雅黑" w:eastAsia="微软雅黑" w:hAnsi="微软雅黑" w:cs="微软雅黑" w:hint="eastAsia"/>
          <w:spacing w:val="12"/>
          <w:lang w:eastAsia="zh-CN"/>
        </w:rPr>
        <w:t>铜库存为</w:t>
      </w:r>
      <w:r w:rsidRPr="00E71C60">
        <w:rPr>
          <w:rFonts w:ascii="微软雅黑" w:eastAsia="微软雅黑" w:hAnsi="微软雅黑" w:cs="微软雅黑"/>
          <w:spacing w:val="12"/>
          <w:lang w:eastAsia="zh-CN"/>
        </w:rPr>
        <w:t>277843</w:t>
      </w:r>
      <w:r w:rsidRPr="00E71C60">
        <w:rPr>
          <w:rFonts w:ascii="微软雅黑" w:eastAsia="微软雅黑" w:hAnsi="微软雅黑" w:cs="微软雅黑" w:hint="eastAsia"/>
          <w:spacing w:val="12"/>
          <w:lang w:eastAsia="zh-CN"/>
        </w:rPr>
        <w:t>短吨，环比</w:t>
      </w:r>
      <w:r w:rsidRPr="00E71C60">
        <w:rPr>
          <w:rFonts w:ascii="微软雅黑" w:eastAsia="微软雅黑" w:hAnsi="微软雅黑" w:cs="微软雅黑"/>
          <w:spacing w:val="12"/>
          <w:lang w:eastAsia="zh-CN"/>
        </w:rPr>
        <w:t>+2617</w:t>
      </w:r>
      <w:r w:rsidRPr="00E71C60">
        <w:rPr>
          <w:rFonts w:ascii="微软雅黑" w:eastAsia="微软雅黑" w:hAnsi="微软雅黑" w:cs="微软雅黑" w:hint="eastAsia"/>
          <w:spacing w:val="12"/>
          <w:lang w:eastAsia="zh-CN"/>
        </w:rPr>
        <w:t>短吨；</w:t>
      </w:r>
      <w:r w:rsidRPr="00E71C60">
        <w:rPr>
          <w:rFonts w:ascii="微软雅黑" w:eastAsia="微软雅黑" w:hAnsi="微软雅黑" w:cs="微软雅黑"/>
          <w:spacing w:val="12"/>
          <w:lang w:eastAsia="zh-CN"/>
        </w:rPr>
        <w:t>LME</w:t>
      </w:r>
      <w:r w:rsidRPr="00E71C60">
        <w:rPr>
          <w:rFonts w:ascii="微软雅黑" w:eastAsia="微软雅黑" w:hAnsi="微软雅黑" w:cs="微软雅黑" w:hint="eastAsia"/>
          <w:spacing w:val="12"/>
          <w:lang w:eastAsia="zh-CN"/>
        </w:rPr>
        <w:t>铜库存为</w:t>
      </w:r>
      <w:r w:rsidRPr="00E71C60">
        <w:rPr>
          <w:rFonts w:ascii="微软雅黑" w:eastAsia="微软雅黑" w:hAnsi="微软雅黑" w:cs="微软雅黑"/>
          <w:spacing w:val="12"/>
          <w:lang w:eastAsia="zh-CN"/>
        </w:rPr>
        <w:t>158875</w:t>
      </w:r>
      <w:r w:rsidRPr="00E71C60">
        <w:rPr>
          <w:rFonts w:ascii="微软雅黑" w:eastAsia="微软雅黑" w:hAnsi="微软雅黑" w:cs="微软雅黑" w:hint="eastAsia"/>
          <w:spacing w:val="12"/>
          <w:lang w:eastAsia="zh-CN"/>
        </w:rPr>
        <w:t>吨，环比</w:t>
      </w:r>
      <w:r w:rsidRPr="00E71C60">
        <w:rPr>
          <w:rFonts w:ascii="微软雅黑" w:eastAsia="微软雅黑" w:hAnsi="微软雅黑" w:cs="微软雅黑"/>
          <w:spacing w:val="12"/>
          <w:lang w:eastAsia="zh-CN"/>
        </w:rPr>
        <w:t>-25</w:t>
      </w:r>
      <w:r w:rsidRPr="00E71C60">
        <w:rPr>
          <w:rFonts w:ascii="微软雅黑" w:eastAsia="微软雅黑" w:hAnsi="微软雅黑" w:cs="微软雅黑" w:hint="eastAsia"/>
          <w:spacing w:val="12"/>
          <w:lang w:eastAsia="zh-CN"/>
        </w:rPr>
        <w:t>吨；</w:t>
      </w:r>
      <w:r w:rsidRPr="00E71C60">
        <w:rPr>
          <w:rFonts w:ascii="微软雅黑" w:eastAsia="微软雅黑" w:hAnsi="微软雅黑" w:cs="微软雅黑"/>
          <w:spacing w:val="12"/>
          <w:lang w:eastAsia="zh-CN"/>
        </w:rPr>
        <w:t>SHFE</w:t>
      </w:r>
      <w:r w:rsidRPr="00E71C60">
        <w:rPr>
          <w:rFonts w:ascii="微软雅黑" w:eastAsia="微软雅黑" w:hAnsi="微软雅黑" w:cs="微软雅黑" w:hint="eastAsia"/>
          <w:spacing w:val="12"/>
          <w:lang w:eastAsia="zh-CN"/>
        </w:rPr>
        <w:t>每日仓单</w:t>
      </w:r>
      <w:r w:rsidRPr="00E71C60">
        <w:rPr>
          <w:rFonts w:ascii="微软雅黑" w:eastAsia="微软雅黑" w:hAnsi="微软雅黑" w:cs="微软雅黑"/>
          <w:spacing w:val="12"/>
          <w:lang w:eastAsia="zh-CN"/>
        </w:rPr>
        <w:t>20200</w:t>
      </w:r>
      <w:r w:rsidRPr="00E71C60">
        <w:rPr>
          <w:rFonts w:ascii="微软雅黑" w:eastAsia="微软雅黑" w:hAnsi="微软雅黑" w:cs="微软雅黑" w:hint="eastAsia"/>
          <w:spacing w:val="12"/>
          <w:lang w:eastAsia="zh-CN"/>
        </w:rPr>
        <w:t>吨，环比</w:t>
      </w:r>
      <w:r w:rsidRPr="00E71C60">
        <w:rPr>
          <w:rFonts w:ascii="微软雅黑" w:eastAsia="微软雅黑" w:hAnsi="微软雅黑" w:cs="微软雅黑"/>
          <w:spacing w:val="12"/>
          <w:lang w:eastAsia="zh-CN"/>
        </w:rPr>
        <w:t>-1212</w:t>
      </w:r>
      <w:r w:rsidRPr="00E71C60">
        <w:rPr>
          <w:rFonts w:ascii="微软雅黑" w:eastAsia="微软雅黑" w:hAnsi="微软雅黑" w:cs="微软雅黑" w:hint="eastAsia"/>
          <w:spacing w:val="12"/>
          <w:lang w:eastAsia="zh-CN"/>
        </w:rPr>
        <w:t>吨。美元美债方面，由于市场对美联储的降息押注升温叠加对其独立性的担忧加剧，美元指数承压走低，最终收跌</w:t>
      </w:r>
      <w:r w:rsidRPr="00E71C60">
        <w:rPr>
          <w:rFonts w:ascii="微软雅黑" w:eastAsia="微软雅黑" w:hAnsi="微软雅黑" w:cs="微软雅黑"/>
          <w:spacing w:val="12"/>
          <w:lang w:eastAsia="zh-CN"/>
        </w:rPr>
        <w:t>0.17%</w:t>
      </w:r>
      <w:r w:rsidRPr="00E71C60">
        <w:rPr>
          <w:rFonts w:ascii="微软雅黑" w:eastAsia="微软雅黑" w:hAnsi="微软雅黑" w:cs="微软雅黑" w:hint="eastAsia"/>
          <w:spacing w:val="12"/>
          <w:lang w:eastAsia="zh-CN"/>
        </w:rPr>
        <w:t>，报</w:t>
      </w:r>
      <w:r w:rsidRPr="00E71C60">
        <w:rPr>
          <w:rFonts w:ascii="微软雅黑" w:eastAsia="微软雅黑" w:hAnsi="微软雅黑" w:cs="微软雅黑"/>
          <w:spacing w:val="12"/>
          <w:lang w:eastAsia="zh-CN"/>
        </w:rPr>
        <w:t>97.68</w:t>
      </w:r>
      <w:r w:rsidRPr="00E71C60">
        <w:rPr>
          <w:rFonts w:ascii="微软雅黑" w:eastAsia="微软雅黑" w:hAnsi="微软雅黑" w:cs="微软雅黑" w:hint="eastAsia"/>
          <w:spacing w:val="12"/>
          <w:lang w:eastAsia="zh-CN"/>
        </w:rPr>
        <w:t>。操作建议，纽铜主力合约轻仓震荡交易，仅供参考</w:t>
      </w:r>
      <w:r w:rsidR="00D372FB" w:rsidRPr="00D372FB">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2F58CF83" w:rsidR="00A02266" w:rsidRDefault="00E71C60" w:rsidP="006B6996">
      <w:pPr>
        <w:spacing w:before="103" w:line="256" w:lineRule="auto"/>
        <w:ind w:right="210"/>
        <w:jc w:val="center"/>
      </w:pPr>
      <w:r>
        <w:rPr>
          <w:noProof/>
        </w:rPr>
        <w:drawing>
          <wp:inline distT="0" distB="0" distL="0" distR="0" wp14:anchorId="7D1D99E5" wp14:editId="73A5E711">
            <wp:extent cx="5274310" cy="2879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463ACCD1" w:rsidR="00EF55A3" w:rsidRDefault="00C06CB8" w:rsidP="00B00DB4">
      <w:pPr>
        <w:spacing w:before="103" w:line="256" w:lineRule="auto"/>
        <w:ind w:right="210" w:firstLine="468"/>
        <w:jc w:val="both"/>
        <w:rPr>
          <w:rFonts w:ascii="微软雅黑" w:eastAsia="微软雅黑" w:hAnsi="微软雅黑" w:cs="微软雅黑"/>
          <w:spacing w:val="12"/>
          <w:lang w:eastAsia="zh-CN"/>
        </w:rPr>
      </w:pPr>
      <w:r w:rsidRPr="00C06CB8">
        <w:rPr>
          <w:rFonts w:ascii="微软雅黑" w:eastAsia="微软雅黑" w:hAnsi="微软雅黑" w:cs="微软雅黑" w:hint="eastAsia"/>
          <w:spacing w:val="12"/>
          <w:lang w:eastAsia="zh-CN"/>
        </w:rPr>
        <w:t>隔夜，国际贵金属期货普遍收涨，</w:t>
      </w:r>
      <w:r w:rsidRPr="00C06CB8">
        <w:rPr>
          <w:rFonts w:ascii="微软雅黑" w:eastAsia="微软雅黑" w:hAnsi="微软雅黑" w:cs="微软雅黑"/>
          <w:spacing w:val="12"/>
          <w:lang w:eastAsia="zh-CN"/>
        </w:rPr>
        <w:t>COMEX</w:t>
      </w:r>
      <w:r w:rsidRPr="00C06CB8">
        <w:rPr>
          <w:rFonts w:ascii="微软雅黑" w:eastAsia="微软雅黑" w:hAnsi="微软雅黑" w:cs="微软雅黑" w:hint="eastAsia"/>
          <w:spacing w:val="12"/>
          <w:lang w:eastAsia="zh-CN"/>
        </w:rPr>
        <w:t>黄金期货涨</w:t>
      </w:r>
      <w:r w:rsidRPr="00C06CB8">
        <w:rPr>
          <w:rFonts w:ascii="微软雅黑" w:eastAsia="微软雅黑" w:hAnsi="微软雅黑" w:cs="微软雅黑"/>
          <w:spacing w:val="12"/>
          <w:lang w:eastAsia="zh-CN"/>
        </w:rPr>
        <w:t>0.84%</w:t>
      </w:r>
      <w:r w:rsidRPr="00C06CB8">
        <w:rPr>
          <w:rFonts w:ascii="微软雅黑" w:eastAsia="微软雅黑" w:hAnsi="微软雅黑" w:cs="微软雅黑" w:hint="eastAsia"/>
          <w:spacing w:val="12"/>
          <w:lang w:eastAsia="zh-CN"/>
        </w:rPr>
        <w:t>报</w:t>
      </w:r>
      <w:r w:rsidRPr="00C06CB8">
        <w:rPr>
          <w:rFonts w:ascii="微软雅黑" w:eastAsia="微软雅黑" w:hAnsi="微软雅黑" w:cs="微软雅黑"/>
          <w:spacing w:val="12"/>
          <w:lang w:eastAsia="zh-CN"/>
        </w:rPr>
        <w:t>3545.8</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w:t>
      </w:r>
      <w:r w:rsidRPr="00C06CB8">
        <w:rPr>
          <w:rFonts w:ascii="微软雅黑" w:eastAsia="微软雅黑" w:hAnsi="微软雅黑" w:cs="微软雅黑"/>
          <w:spacing w:val="12"/>
          <w:lang w:eastAsia="zh-CN"/>
        </w:rPr>
        <w:t>COMEX</w:t>
      </w:r>
      <w:r w:rsidRPr="00C06CB8">
        <w:rPr>
          <w:rFonts w:ascii="微软雅黑" w:eastAsia="微软雅黑" w:hAnsi="微软雅黑" w:cs="微软雅黑" w:hint="eastAsia"/>
          <w:spacing w:val="12"/>
          <w:lang w:eastAsia="zh-CN"/>
        </w:rPr>
        <w:t>白银期货涨</w:t>
      </w:r>
      <w:r w:rsidRPr="00C06CB8">
        <w:rPr>
          <w:rFonts w:ascii="微软雅黑" w:eastAsia="微软雅黑" w:hAnsi="微软雅黑" w:cs="微软雅黑"/>
          <w:spacing w:val="12"/>
          <w:lang w:eastAsia="zh-CN"/>
        </w:rPr>
        <w:t>2.46%</w:t>
      </w:r>
      <w:r w:rsidRPr="00C06CB8">
        <w:rPr>
          <w:rFonts w:ascii="微软雅黑" w:eastAsia="微软雅黑" w:hAnsi="微软雅黑" w:cs="微软雅黑" w:hint="eastAsia"/>
          <w:spacing w:val="12"/>
          <w:lang w:eastAsia="zh-CN"/>
        </w:rPr>
        <w:t>报</w:t>
      </w:r>
      <w:r w:rsidRPr="00C06CB8">
        <w:rPr>
          <w:rFonts w:ascii="微软雅黑" w:eastAsia="微软雅黑" w:hAnsi="微软雅黑" w:cs="微软雅黑"/>
          <w:spacing w:val="12"/>
          <w:lang w:eastAsia="zh-CN"/>
        </w:rPr>
        <w:t>41.725</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w:t>
      </w:r>
      <w:r w:rsidRPr="00C06CB8">
        <w:rPr>
          <w:rFonts w:ascii="微软雅黑" w:eastAsia="微软雅黑" w:hAnsi="微软雅黑" w:cs="微软雅黑"/>
          <w:spacing w:val="12"/>
          <w:lang w:eastAsia="zh-CN"/>
        </w:rPr>
        <w:t>COMEX</w:t>
      </w:r>
      <w:r w:rsidRPr="00C06CB8">
        <w:rPr>
          <w:rFonts w:ascii="微软雅黑" w:eastAsia="微软雅黑" w:hAnsi="微软雅黑" w:cs="微软雅黑" w:hint="eastAsia"/>
          <w:spacing w:val="12"/>
          <w:lang w:eastAsia="zh-CN"/>
        </w:rPr>
        <w:t>黄金白银期货价均创下历史新高，</w:t>
      </w:r>
      <w:r w:rsidRPr="00C06CB8">
        <w:rPr>
          <w:rFonts w:ascii="微软雅黑" w:eastAsia="微软雅黑" w:hAnsi="微软雅黑" w:cs="微软雅黑"/>
          <w:spacing w:val="12"/>
          <w:lang w:eastAsia="zh-CN"/>
        </w:rPr>
        <w:t>SHFE</w:t>
      </w:r>
      <w:r w:rsidRPr="00C06CB8">
        <w:rPr>
          <w:rFonts w:ascii="微软雅黑" w:eastAsia="微软雅黑" w:hAnsi="微软雅黑" w:cs="微软雅黑" w:hint="eastAsia"/>
          <w:spacing w:val="12"/>
          <w:lang w:eastAsia="zh-CN"/>
        </w:rPr>
        <w:t>贵金属市场维持强劲上涨动能。近期贵金属市场强势突破，主要受以下几方面因素驱动：首先，美联储降息预期持续得到强化，</w:t>
      </w:r>
      <w:r w:rsidRPr="00C06CB8">
        <w:rPr>
          <w:rFonts w:ascii="微软雅黑" w:eastAsia="微软雅黑" w:hAnsi="微软雅黑" w:cs="微软雅黑"/>
          <w:spacing w:val="12"/>
          <w:lang w:eastAsia="zh-CN"/>
        </w:rPr>
        <w:t>9</w:t>
      </w:r>
      <w:r w:rsidRPr="00C06CB8">
        <w:rPr>
          <w:rFonts w:ascii="微软雅黑" w:eastAsia="微软雅黑" w:hAnsi="微软雅黑" w:cs="微软雅黑" w:hint="eastAsia"/>
          <w:spacing w:val="12"/>
          <w:lang w:eastAsia="zh-CN"/>
        </w:rPr>
        <w:t>月启动降息成为市场基准情景，若后续美国非农数据再显疲弱，不排除年内降息三次的可能性，推动贵金属板块高度乐观的交易情绪。历史数据显示，在降息预期升温阶段，金银价格通常呈现相对强势。其次，特朗普持续对美联储官员施加压力，威胁美联储政策独立性，推动避险情绪回升并提振金价，白银作为高</w:t>
      </w:r>
      <w:r w:rsidRPr="00C06CB8">
        <w:rPr>
          <w:rFonts w:ascii="微软雅黑" w:eastAsia="微软雅黑" w:hAnsi="微软雅黑" w:cs="微软雅黑"/>
          <w:spacing w:val="12"/>
          <w:lang w:eastAsia="zh-CN"/>
        </w:rPr>
        <w:t>beta</w:t>
      </w:r>
      <w:r w:rsidRPr="00C06CB8">
        <w:rPr>
          <w:rFonts w:ascii="微软雅黑" w:eastAsia="微软雅黑" w:hAnsi="微软雅黑" w:cs="微软雅黑" w:hint="eastAsia"/>
          <w:spacing w:val="12"/>
          <w:lang w:eastAsia="zh-CN"/>
        </w:rPr>
        <w:t>品种跟随黄金上行。此外，金银比价向历史均值回归的交易情绪继续升温，当前伦敦金</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伦敦银比率仍高于历史中枢水平，存在进一步修复空间，从而对银价形成潜在拉动。回顾前几个月，金价持续区间震荡，主因关税及通胀预期频繁扰动；近期市场对降息预期不确定性有所消散，交易情绪转向乐观。展望后续，需重点关注美国</w:t>
      </w:r>
      <w:r w:rsidRPr="00C06CB8">
        <w:rPr>
          <w:rFonts w:ascii="微软雅黑" w:eastAsia="微软雅黑" w:hAnsi="微软雅黑" w:cs="微软雅黑"/>
          <w:spacing w:val="12"/>
          <w:lang w:eastAsia="zh-CN"/>
        </w:rPr>
        <w:t>8</w:t>
      </w:r>
      <w:r w:rsidRPr="00C06CB8">
        <w:rPr>
          <w:rFonts w:ascii="微软雅黑" w:eastAsia="微软雅黑" w:hAnsi="微软雅黑" w:cs="微软雅黑" w:hint="eastAsia"/>
          <w:spacing w:val="12"/>
          <w:lang w:eastAsia="zh-CN"/>
        </w:rPr>
        <w:t>月</w:t>
      </w:r>
      <w:r w:rsidRPr="00C06CB8">
        <w:rPr>
          <w:rFonts w:ascii="微软雅黑" w:eastAsia="微软雅黑" w:hAnsi="微软雅黑" w:cs="微软雅黑"/>
          <w:spacing w:val="12"/>
          <w:lang w:eastAsia="zh-CN"/>
        </w:rPr>
        <w:t>PMI</w:t>
      </w:r>
      <w:r w:rsidRPr="00C06CB8">
        <w:rPr>
          <w:rFonts w:ascii="微软雅黑" w:eastAsia="微软雅黑" w:hAnsi="微软雅黑" w:cs="微软雅黑" w:hint="eastAsia"/>
          <w:spacing w:val="12"/>
          <w:lang w:eastAsia="zh-CN"/>
        </w:rPr>
        <w:t>及非农就业数据，若数据与预期不符，或迎来阶段性回调，但</w:t>
      </w:r>
      <w:r w:rsidRPr="00C06CB8">
        <w:rPr>
          <w:rFonts w:ascii="微软雅黑" w:eastAsia="微软雅黑" w:hAnsi="微软雅黑" w:cs="微软雅黑"/>
          <w:spacing w:val="12"/>
          <w:lang w:eastAsia="zh-CN"/>
        </w:rPr>
        <w:t>9</w:t>
      </w:r>
      <w:r w:rsidRPr="00C06CB8">
        <w:rPr>
          <w:rFonts w:ascii="微软雅黑" w:eastAsia="微软雅黑" w:hAnsi="微软雅黑" w:cs="微软雅黑" w:hint="eastAsia"/>
          <w:spacing w:val="12"/>
          <w:lang w:eastAsia="zh-CN"/>
        </w:rPr>
        <w:t>月降息基本已成定局，出现大幅下跌的可能性较低，除非就业数据显著超预期乐观。技术面上，多项指标显示黄金与白银均已进入超买区间，短期或有调整需求，投资者需注意风险控制。沪金</w:t>
      </w:r>
      <w:r w:rsidRPr="00C06CB8">
        <w:rPr>
          <w:rFonts w:ascii="微软雅黑" w:eastAsia="微软雅黑" w:hAnsi="微软雅黑" w:cs="微软雅黑"/>
          <w:spacing w:val="12"/>
          <w:lang w:eastAsia="zh-CN"/>
        </w:rPr>
        <w:t>2510</w:t>
      </w:r>
      <w:r w:rsidRPr="00C06CB8">
        <w:rPr>
          <w:rFonts w:ascii="微软雅黑" w:eastAsia="微软雅黑" w:hAnsi="微软雅黑" w:cs="微软雅黑" w:hint="eastAsia"/>
          <w:spacing w:val="12"/>
          <w:lang w:eastAsia="zh-CN"/>
        </w:rPr>
        <w:t>合约本周关注区间：</w:t>
      </w:r>
      <w:r w:rsidRPr="00C06CB8">
        <w:rPr>
          <w:rFonts w:ascii="微软雅黑" w:eastAsia="微软雅黑" w:hAnsi="微软雅黑" w:cs="微软雅黑"/>
          <w:spacing w:val="12"/>
          <w:lang w:eastAsia="zh-CN"/>
        </w:rPr>
        <w:t>750-850</w:t>
      </w:r>
      <w:r w:rsidRPr="00C06CB8">
        <w:rPr>
          <w:rFonts w:ascii="微软雅黑" w:eastAsia="微软雅黑" w:hAnsi="微软雅黑" w:cs="微软雅黑" w:hint="eastAsia"/>
          <w:spacing w:val="12"/>
          <w:lang w:eastAsia="zh-CN"/>
        </w:rPr>
        <w:t>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克；沪银</w:t>
      </w:r>
      <w:r w:rsidRPr="00C06CB8">
        <w:rPr>
          <w:rFonts w:ascii="微软雅黑" w:eastAsia="微软雅黑" w:hAnsi="微软雅黑" w:cs="微软雅黑"/>
          <w:spacing w:val="12"/>
          <w:lang w:eastAsia="zh-CN"/>
        </w:rPr>
        <w:t>2510</w:t>
      </w:r>
      <w:r w:rsidRPr="00C06CB8">
        <w:rPr>
          <w:rFonts w:ascii="微软雅黑" w:eastAsia="微软雅黑" w:hAnsi="微软雅黑" w:cs="微软雅黑" w:hint="eastAsia"/>
          <w:spacing w:val="12"/>
          <w:lang w:eastAsia="zh-CN"/>
        </w:rPr>
        <w:t>合约关注区间：</w:t>
      </w:r>
      <w:r w:rsidRPr="00C06CB8">
        <w:rPr>
          <w:rFonts w:ascii="微软雅黑" w:eastAsia="微软雅黑" w:hAnsi="微软雅黑" w:cs="微软雅黑"/>
          <w:spacing w:val="12"/>
          <w:lang w:eastAsia="zh-CN"/>
        </w:rPr>
        <w:t>9600-9900</w:t>
      </w:r>
      <w:r w:rsidRPr="00C06CB8">
        <w:rPr>
          <w:rFonts w:ascii="微软雅黑" w:eastAsia="微软雅黑" w:hAnsi="微软雅黑" w:cs="微软雅黑" w:hint="eastAsia"/>
          <w:spacing w:val="12"/>
          <w:lang w:eastAsia="zh-CN"/>
        </w:rPr>
        <w:t>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千克。外盘方面，伦敦金价关注区间：</w:t>
      </w:r>
      <w:r w:rsidRPr="00C06CB8">
        <w:rPr>
          <w:rFonts w:ascii="微软雅黑" w:eastAsia="微软雅黑" w:hAnsi="微软雅黑" w:cs="微软雅黑"/>
          <w:spacing w:val="12"/>
          <w:lang w:eastAsia="zh-CN"/>
        </w:rPr>
        <w:t>3450-3550</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盎司，伦敦银价关注区间：</w:t>
      </w:r>
      <w:r w:rsidRPr="00C06CB8">
        <w:rPr>
          <w:rFonts w:ascii="微软雅黑" w:eastAsia="微软雅黑" w:hAnsi="微软雅黑" w:cs="微软雅黑"/>
          <w:spacing w:val="12"/>
          <w:lang w:eastAsia="zh-CN"/>
        </w:rPr>
        <w:t>39-41</w:t>
      </w:r>
      <w:r w:rsidRPr="00C06CB8">
        <w:rPr>
          <w:rFonts w:ascii="微软雅黑" w:eastAsia="微软雅黑" w:hAnsi="微软雅黑" w:cs="微软雅黑" w:hint="eastAsia"/>
          <w:spacing w:val="12"/>
          <w:lang w:eastAsia="zh-CN"/>
        </w:rPr>
        <w:t>美元</w:t>
      </w:r>
      <w:r w:rsidRPr="00C06CB8">
        <w:rPr>
          <w:rFonts w:ascii="微软雅黑" w:eastAsia="微软雅黑" w:hAnsi="微软雅黑" w:cs="微软雅黑"/>
          <w:spacing w:val="12"/>
          <w:lang w:eastAsia="zh-CN"/>
        </w:rPr>
        <w:t>/</w:t>
      </w:r>
      <w:r w:rsidRPr="00C06CB8">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CF0A767" w:rsidR="007A477E" w:rsidRDefault="00C06CB8"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1118A4">
        <w:rPr>
          <w:rFonts w:ascii="黑体" w:eastAsia="黑体" w:hAnsi="黑体"/>
          <w:noProof/>
          <w:sz w:val="24"/>
        </w:rPr>
        <w:drawing>
          <wp:inline distT="0" distB="0" distL="0" distR="0" wp14:anchorId="5752E5A6" wp14:editId="2240E9DF">
            <wp:extent cx="4933950" cy="2395220"/>
            <wp:effectExtent l="0" t="0" r="0" b="5080"/>
            <wp:docPr id="105482398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2398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239522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68FD2577" w14:textId="77777777" w:rsidR="00C06CB8" w:rsidRDefault="00C06CB8" w:rsidP="00D372FB">
      <w:pPr>
        <w:spacing w:before="103" w:line="256" w:lineRule="auto"/>
        <w:ind w:right="210" w:firstLineChars="200" w:firstLine="448"/>
        <w:jc w:val="both"/>
        <w:rPr>
          <w:rFonts w:ascii="微软雅黑" w:eastAsia="微软雅黑" w:hAnsi="微软雅黑" w:cs="微软雅黑"/>
          <w:noProof/>
          <w:spacing w:val="7"/>
          <w:lang w:eastAsia="zh-CN"/>
        </w:rPr>
      </w:pPr>
      <w:r w:rsidRPr="00C06CB8">
        <w:rPr>
          <w:rFonts w:ascii="微软雅黑" w:eastAsia="微软雅黑" w:hAnsi="微软雅黑" w:cs="微软雅黑" w:hint="eastAsia"/>
          <w:noProof/>
          <w:spacing w:val="7"/>
          <w:lang w:eastAsia="zh-CN"/>
        </w:rPr>
        <w:t>周一美国金融市场因劳动节假期休市。</w:t>
      </w:r>
    </w:p>
    <w:p w14:paraId="2031B9D4" w14:textId="3F3ED84F" w:rsidR="00C24CC6" w:rsidRPr="00CF1235" w:rsidRDefault="004D5774" w:rsidP="00D372FB">
      <w:pPr>
        <w:spacing w:before="103" w:line="256" w:lineRule="auto"/>
        <w:ind w:right="210" w:firstLineChars="200" w:firstLine="44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6A4636A7" w:rsidR="007A477E" w:rsidRDefault="00D12237" w:rsidP="007A477E">
      <w:pPr>
        <w:spacing w:before="103" w:line="256" w:lineRule="auto"/>
        <w:ind w:right="210"/>
        <w:jc w:val="center"/>
        <w:rPr>
          <w:rFonts w:ascii="微软雅黑" w:eastAsia="微软雅黑" w:hAnsi="微软雅黑" w:cs="微软雅黑"/>
          <w:spacing w:val="7"/>
          <w:lang w:eastAsia="zh-CN"/>
        </w:rPr>
      </w:pPr>
      <w:r>
        <w:rPr>
          <w:noProof/>
          <w:lang w:eastAsia="zh-CN"/>
        </w:rPr>
        <w:lastRenderedPageBreak/>
        <w:drawing>
          <wp:inline distT="0" distB="0" distL="0" distR="0" wp14:anchorId="737E119C" wp14:editId="22B08E0C">
            <wp:extent cx="5274310" cy="168275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8AAD971" w14:textId="77777777" w:rsidR="00C06CB8" w:rsidRDefault="00C06CB8" w:rsidP="00EF55A3">
      <w:pPr>
        <w:spacing w:before="103" w:line="256" w:lineRule="auto"/>
        <w:ind w:right="210" w:firstLine="468"/>
        <w:jc w:val="both"/>
        <w:rPr>
          <w:rFonts w:ascii="微软雅黑" w:eastAsia="微软雅黑" w:hAnsi="微软雅黑" w:cs="微软雅黑"/>
          <w:noProof/>
          <w:spacing w:val="7"/>
          <w:lang w:eastAsia="zh-CN"/>
        </w:rPr>
      </w:pPr>
      <w:r w:rsidRPr="00C06CB8">
        <w:rPr>
          <w:rFonts w:ascii="微软雅黑" w:eastAsia="微软雅黑" w:hAnsi="微软雅黑" w:cs="微软雅黑" w:hint="eastAsia"/>
          <w:noProof/>
          <w:spacing w:val="7"/>
          <w:lang w:eastAsia="zh-CN"/>
        </w:rPr>
        <w:t>周一美国金融市场因劳动节假期休市。</w:t>
      </w:r>
    </w:p>
    <w:p w14:paraId="7D3DBD43" w14:textId="06BDC13C"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B3B72B4" w:rsidR="00C24CC6" w:rsidRDefault="00D12237"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36A749DE" wp14:editId="576F1312">
            <wp:extent cx="5259705" cy="1668145"/>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166814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lastRenderedPageBreak/>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0AEAD" w14:textId="77777777" w:rsidR="00B42C96" w:rsidRDefault="00B42C96">
      <w:pPr>
        <w:ind w:right="210" w:firstLine="420"/>
      </w:pPr>
      <w:r>
        <w:separator/>
      </w:r>
    </w:p>
  </w:endnote>
  <w:endnote w:type="continuationSeparator" w:id="0">
    <w:p w14:paraId="4E4D9C55" w14:textId="77777777" w:rsidR="00B42C96" w:rsidRDefault="00B42C9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5B735BF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C4280">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5B735BF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BC4280">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64583" w14:textId="77777777" w:rsidR="00B42C96" w:rsidRDefault="00B42C96">
      <w:pPr>
        <w:ind w:right="210" w:firstLine="420"/>
      </w:pPr>
      <w:r>
        <w:separator/>
      </w:r>
    </w:p>
  </w:footnote>
  <w:footnote w:type="continuationSeparator" w:id="0">
    <w:p w14:paraId="6E4EB99C" w14:textId="77777777" w:rsidR="00B42C96" w:rsidRDefault="00B42C9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2C96"/>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4280"/>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6CB8"/>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1C60"/>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BC152-9517-41A5-BB8F-BA3D581C9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615</Words>
  <Characters>3509</Characters>
  <Application>Microsoft Office Word</Application>
  <DocSecurity>0</DocSecurity>
  <Lines>29</Lines>
  <Paragraphs>8</Paragraphs>
  <ScaleCrop>false</ScaleCrop>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2025-09-02T01:03:00Z</dcterms:created>
  <dcterms:modified xsi:type="dcterms:W3CDTF">2025-09-02T01:03:00Z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