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C10509">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177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50E10992" w:rsidR="00CA7296" w:rsidRDefault="00CA7296" w:rsidP="00CA7296">
      <w:pPr>
        <w:spacing w:line="312" w:lineRule="auto"/>
        <w:ind w:firstLine="420"/>
        <w:rPr>
          <w:rFonts w:ascii="宋体" w:hAnsi="宋体" w:cs="宋体"/>
        </w:rPr>
      </w:pPr>
      <w:r>
        <w:t>周</w:t>
      </w:r>
      <w:r w:rsidR="00E1301A">
        <w:rPr>
          <w:rFonts w:hint="eastAsia"/>
        </w:rPr>
        <w:t>五</w:t>
      </w:r>
      <w:r>
        <w:rPr>
          <w:rFonts w:hint="eastAsia"/>
        </w:rPr>
        <w:t>（</w:t>
      </w:r>
      <w:r w:rsidR="008663E7">
        <w:t>9</w:t>
      </w:r>
      <w:r>
        <w:rPr>
          <w:rFonts w:hint="eastAsia"/>
        </w:rPr>
        <w:t>月</w:t>
      </w:r>
      <w:r w:rsidR="00C10509">
        <w:rPr>
          <w:rFonts w:hint="eastAsia"/>
        </w:rPr>
        <w:t>5</w:t>
      </w:r>
      <w:r>
        <w:rPr>
          <w:rFonts w:hint="eastAsia"/>
        </w:rPr>
        <w:t>日）</w:t>
      </w:r>
      <w:r>
        <w:t>美元兑人民币中间价</w:t>
      </w:r>
      <w:r>
        <w:rPr>
          <w:rFonts w:ascii="宋体" w:hAnsi="宋体" w:cs="宋体"/>
        </w:rPr>
        <w:t>报</w:t>
      </w:r>
      <w:r w:rsidRPr="00076C89">
        <w:rPr>
          <w:rFonts w:ascii="宋体" w:hAnsi="宋体" w:cs="宋体"/>
        </w:rPr>
        <w:t>7.</w:t>
      </w:r>
      <w:r w:rsidR="00994228">
        <w:rPr>
          <w:rFonts w:ascii="宋体" w:hAnsi="宋体" w:cs="宋体"/>
        </w:rPr>
        <w:t>1</w:t>
      </w:r>
      <w:r w:rsidR="00C10509">
        <w:rPr>
          <w:rFonts w:ascii="宋体" w:hAnsi="宋体" w:cs="宋体"/>
        </w:rPr>
        <w:t>064</w:t>
      </w:r>
      <w:r>
        <w:rPr>
          <w:rFonts w:ascii="宋体" w:hAnsi="宋体" w:cs="宋体"/>
        </w:rPr>
        <w:t>，</w:t>
      </w:r>
      <w:r w:rsidR="00A70BD1">
        <w:rPr>
          <w:rFonts w:ascii="宋体" w:hAnsi="宋体" w:cs="宋体" w:hint="eastAsia"/>
        </w:rPr>
        <w:t>调</w:t>
      </w:r>
      <w:r w:rsidR="00C10509">
        <w:rPr>
          <w:rFonts w:ascii="宋体" w:hAnsi="宋体" w:cs="宋体" w:hint="eastAsia"/>
        </w:rPr>
        <w:t>升1</w:t>
      </w:r>
      <w:r w:rsidR="00C10509">
        <w:rPr>
          <w:rFonts w:ascii="宋体" w:hAnsi="宋体" w:cs="宋体"/>
        </w:rPr>
        <w:t>2</w:t>
      </w:r>
      <w:r>
        <w:rPr>
          <w:rFonts w:ascii="宋体" w:hAnsi="宋体" w:cs="宋体" w:hint="eastAsia"/>
        </w:rPr>
        <w:t>基点，上周累计调</w:t>
      </w:r>
      <w:r w:rsidR="00C10509">
        <w:rPr>
          <w:rFonts w:ascii="宋体" w:hAnsi="宋体" w:cs="宋体" w:hint="eastAsia"/>
        </w:rPr>
        <w:t>升3</w:t>
      </w:r>
      <w:r w:rsidR="00C10509">
        <w:rPr>
          <w:rFonts w:ascii="宋体" w:hAnsi="宋体" w:cs="宋体"/>
        </w:rPr>
        <w:t>4</w:t>
      </w:r>
      <w:r>
        <w:rPr>
          <w:rFonts w:ascii="宋体" w:hAnsi="宋体" w:cs="宋体" w:hint="eastAsia"/>
        </w:rPr>
        <w:t>个基点。港交所美元兑人民币期货主力合约C</w:t>
      </w:r>
      <w:r>
        <w:rPr>
          <w:rFonts w:ascii="宋体" w:hAnsi="宋体" w:cs="宋体"/>
        </w:rPr>
        <w:t>USF2</w:t>
      </w:r>
      <w:r>
        <w:rPr>
          <w:rFonts w:ascii="宋体" w:hAnsi="宋体" w:cs="宋体" w:hint="eastAsia"/>
        </w:rPr>
        <w:t>50</w:t>
      </w:r>
      <w:r w:rsidR="00A10A17">
        <w:rPr>
          <w:rFonts w:ascii="宋体" w:hAnsi="宋体" w:cs="宋体"/>
        </w:rPr>
        <w:t>9</w:t>
      </w:r>
      <w:r>
        <w:rPr>
          <w:rFonts w:ascii="宋体" w:hAnsi="宋体" w:cs="宋体" w:hint="eastAsia"/>
        </w:rPr>
        <w:t>收</w:t>
      </w:r>
      <w:r w:rsidR="00C10509">
        <w:rPr>
          <w:rFonts w:ascii="宋体" w:hAnsi="宋体" w:cs="宋体" w:hint="eastAsia"/>
        </w:rPr>
        <w:t>涨0</w:t>
      </w:r>
      <w:r w:rsidR="00C10509">
        <w:rPr>
          <w:rFonts w:ascii="宋体" w:hAnsi="宋体" w:cs="宋体"/>
        </w:rPr>
        <w:t>.13</w:t>
      </w:r>
      <w:r>
        <w:rPr>
          <w:rFonts w:ascii="宋体" w:hAnsi="宋体" w:cs="宋体" w:hint="eastAsia"/>
        </w:rPr>
        <w:t>%。新交所美元兑离岸人民币期货主力合约</w:t>
      </w:r>
      <w:r>
        <w:rPr>
          <w:rFonts w:ascii="宋体" w:hAnsi="宋体" w:cs="宋体"/>
        </w:rPr>
        <w:t>UC</w:t>
      </w:r>
      <w:r w:rsidR="00A37796">
        <w:rPr>
          <w:rFonts w:ascii="宋体" w:hAnsi="宋体" w:cs="宋体"/>
        </w:rPr>
        <w:t>U</w:t>
      </w:r>
      <w:r>
        <w:rPr>
          <w:rFonts w:ascii="宋体" w:hAnsi="宋体" w:cs="宋体"/>
        </w:rPr>
        <w:t>2</w:t>
      </w:r>
      <w:r>
        <w:rPr>
          <w:rFonts w:ascii="宋体" w:hAnsi="宋体" w:cs="宋体" w:hint="eastAsia"/>
        </w:rPr>
        <w:t>5收</w:t>
      </w:r>
      <w:r w:rsidR="00C10509">
        <w:rPr>
          <w:rFonts w:ascii="宋体" w:hAnsi="宋体" w:cs="宋体" w:hint="eastAsia"/>
        </w:rPr>
        <w:t>涨0</w:t>
      </w:r>
      <w:r w:rsidR="00C10509">
        <w:rPr>
          <w:rFonts w:ascii="宋体" w:hAnsi="宋体" w:cs="宋体"/>
        </w:rPr>
        <w:t>.13</w:t>
      </w:r>
      <w:r w:rsidR="007844B4">
        <w:rPr>
          <w:rFonts w:ascii="宋体" w:hAnsi="宋体" w:cs="宋体"/>
        </w:rPr>
        <w:t>%</w:t>
      </w:r>
      <w:r>
        <w:rPr>
          <w:rFonts w:ascii="宋体" w:hAnsi="宋体" w:cs="宋体" w:hint="eastAsia"/>
        </w:rPr>
        <w:t>。</w:t>
      </w:r>
    </w:p>
    <w:p w14:paraId="2A8620FC" w14:textId="1F050372" w:rsidR="00CA7296" w:rsidRDefault="00CA7296" w:rsidP="00CA7296">
      <w:pPr>
        <w:spacing w:line="312" w:lineRule="auto"/>
        <w:ind w:firstLine="420"/>
      </w:pPr>
      <w:r>
        <w:rPr>
          <w:rFonts w:ascii="宋体" w:hAnsi="宋体" w:cs="宋体" w:hint="eastAsia"/>
        </w:rPr>
        <w:t>美元兑在岸人民币</w:t>
      </w:r>
      <w:r>
        <w:t>收报</w:t>
      </w:r>
      <w:r w:rsidR="00AD25D1">
        <w:t>7.</w:t>
      </w:r>
      <w:r w:rsidR="008B325C" w:rsidRPr="008B325C">
        <w:t xml:space="preserve"> </w:t>
      </w:r>
      <w:r w:rsidR="00787BFA">
        <w:t>1</w:t>
      </w:r>
      <w:r w:rsidR="003265E6">
        <w:t>3</w:t>
      </w:r>
      <w:r w:rsidR="003A4CF3">
        <w:t>78</w:t>
      </w:r>
      <w:r>
        <w:t>，</w:t>
      </w:r>
      <w:r>
        <w:rPr>
          <w:rFonts w:hint="eastAsia"/>
        </w:rPr>
        <w:t>美元兑离岸人民币收报</w:t>
      </w:r>
      <w:r>
        <w:rPr>
          <w:rFonts w:hint="eastAsia"/>
        </w:rPr>
        <w:t>7</w:t>
      </w:r>
      <w:r>
        <w:t>.</w:t>
      </w:r>
      <w:r w:rsidR="001938CF">
        <w:t>1</w:t>
      </w:r>
      <w:r w:rsidR="003265E6">
        <w:t>2</w:t>
      </w:r>
      <w:r w:rsidR="003A4CF3">
        <w:t>63</w:t>
      </w:r>
      <w:r>
        <w:rPr>
          <w:rFonts w:hint="eastAsia"/>
        </w:rPr>
        <w:t>，在当周</w:t>
      </w:r>
      <w:r>
        <w:t>分别</w:t>
      </w:r>
      <w:r w:rsidR="003A4CF3">
        <w:rPr>
          <w:rFonts w:hint="eastAsia"/>
        </w:rPr>
        <w:t>上</w:t>
      </w:r>
      <w:r w:rsidR="00F76960">
        <w:rPr>
          <w:rFonts w:hint="eastAsia"/>
        </w:rPr>
        <w:t>调</w:t>
      </w:r>
      <w:r w:rsidR="003265E6">
        <w:rPr>
          <w:rFonts w:hint="eastAsia"/>
        </w:rPr>
        <w:t>4</w:t>
      </w:r>
      <w:r w:rsidR="003A4CF3">
        <w:t>8</w:t>
      </w:r>
      <w:r>
        <w:t>和</w:t>
      </w:r>
      <w:r w:rsidR="003A4CF3">
        <w:rPr>
          <w:rFonts w:hint="eastAsia"/>
        </w:rPr>
        <w:t>上</w:t>
      </w:r>
      <w:r w:rsidR="003576ED">
        <w:rPr>
          <w:rFonts w:hint="eastAsia"/>
        </w:rPr>
        <w:t>调</w:t>
      </w:r>
      <w:r w:rsidR="003265E6">
        <w:t>4</w:t>
      </w:r>
      <w:r w:rsidR="003A4CF3">
        <w:t>2</w:t>
      </w:r>
      <w:r>
        <w:rPr>
          <w:rFonts w:hint="eastAsia"/>
        </w:rPr>
        <w:t>个基点</w:t>
      </w:r>
      <w:r>
        <w:t>。欧元兑人民币报</w:t>
      </w:r>
      <w:r w:rsidR="00F64EF4">
        <w:t>8</w:t>
      </w:r>
      <w:r w:rsidR="003576ED">
        <w:t>.</w:t>
      </w:r>
      <w:r w:rsidR="003265E6">
        <w:t>3</w:t>
      </w:r>
      <w:r w:rsidR="003A4CF3">
        <w:t>609</w:t>
      </w:r>
      <w:r>
        <w:t>、英镑兑人民币报</w:t>
      </w:r>
      <w:r w:rsidR="00C66DB1">
        <w:t>9</w:t>
      </w:r>
      <w:r w:rsidR="001F0839">
        <w:t>.</w:t>
      </w:r>
      <w:r w:rsidR="003265E6">
        <w:t>61</w:t>
      </w:r>
      <w:r w:rsidR="003A4CF3">
        <w:t>98</w:t>
      </w:r>
      <w:r w:rsidR="00787BFA">
        <w:rPr>
          <w:rFonts w:hint="eastAsia"/>
        </w:rPr>
        <w:t>、</w:t>
      </w:r>
      <w:r w:rsidR="000959E1">
        <w:rPr>
          <w:rFonts w:hint="eastAsia"/>
        </w:rPr>
        <w:t>日元</w:t>
      </w:r>
      <w:r>
        <w:t>兑</w:t>
      </w:r>
      <w:r w:rsidR="000959E1">
        <w:rPr>
          <w:rFonts w:hint="eastAsia"/>
        </w:rPr>
        <w:t>人民币</w:t>
      </w:r>
      <w:r>
        <w:t>报</w:t>
      </w:r>
      <w:r w:rsidR="001938CF">
        <w:t>4</w:t>
      </w:r>
      <w:r w:rsidR="00787BFA">
        <w:t>.8</w:t>
      </w:r>
      <w:r w:rsidR="003A4CF3">
        <w:t>244</w:t>
      </w:r>
      <w:r w:rsidR="000959E1">
        <w:rPr>
          <w:rFonts w:hint="eastAsia"/>
        </w:rPr>
        <w:t>、</w:t>
      </w:r>
      <w:r>
        <w:t>澳元兑人民币报</w:t>
      </w:r>
      <w:r>
        <w:t>4</w:t>
      </w:r>
      <w:r w:rsidR="006B50D4">
        <w:t>.</w:t>
      </w:r>
      <w:r w:rsidR="00CD65B1">
        <w:t>6</w:t>
      </w:r>
      <w:r w:rsidR="003A4CF3">
        <w:t>577</w:t>
      </w:r>
      <w:r>
        <w:rPr>
          <w:rFonts w:hint="eastAsia"/>
        </w:rPr>
        <w:t>，在当</w:t>
      </w:r>
      <w:r>
        <w:t>周分别</w:t>
      </w:r>
      <w:r w:rsidR="003A4CF3">
        <w:rPr>
          <w:rFonts w:hint="eastAsia"/>
        </w:rPr>
        <w:t>升</w:t>
      </w:r>
      <w:r w:rsidR="003A4CF3">
        <w:rPr>
          <w:rFonts w:hint="eastAsia"/>
        </w:rPr>
        <w:t>4</w:t>
      </w:r>
      <w:r w:rsidR="003A4CF3">
        <w:t>12</w:t>
      </w:r>
      <w:r>
        <w:t>、</w:t>
      </w:r>
      <w:r w:rsidR="003A4CF3">
        <w:rPr>
          <w:rFonts w:hint="eastAsia"/>
        </w:rPr>
        <w:t>升</w:t>
      </w:r>
      <w:r w:rsidR="003A4CF3">
        <w:rPr>
          <w:rFonts w:hint="eastAsia"/>
        </w:rPr>
        <w:t>2</w:t>
      </w:r>
      <w:r w:rsidR="003A4CF3">
        <w:t>5</w:t>
      </w:r>
      <w:r>
        <w:rPr>
          <w:rFonts w:hint="eastAsia"/>
        </w:rPr>
        <w:t>、</w:t>
      </w:r>
      <w:r w:rsidR="00A4147F">
        <w:rPr>
          <w:rFonts w:hint="eastAsia"/>
        </w:rPr>
        <w:t>降</w:t>
      </w:r>
      <w:r w:rsidR="003A4CF3">
        <w:t>278</w:t>
      </w:r>
      <w:r>
        <w:t>和</w:t>
      </w:r>
      <w:r w:rsidR="003A4CF3">
        <w:rPr>
          <w:rFonts w:hint="eastAsia"/>
        </w:rPr>
        <w:t>降</w:t>
      </w:r>
      <w:r w:rsidR="003A4CF3">
        <w:rPr>
          <w:rFonts w:hint="eastAsia"/>
        </w:rPr>
        <w:t>3</w:t>
      </w:r>
      <w:r w:rsidR="003A4CF3">
        <w:t>7</w:t>
      </w:r>
      <w:r>
        <w:rPr>
          <w:rFonts w:hint="eastAsia"/>
        </w:rPr>
        <w:t>个基点</w:t>
      </w:r>
      <w:r>
        <w:t>。</w:t>
      </w:r>
    </w:p>
    <w:p w14:paraId="76AC2601" w14:textId="5F2E8B37" w:rsidR="00CA7296" w:rsidRDefault="00046EC5" w:rsidP="00CA7296">
      <w:pPr>
        <w:spacing w:line="312" w:lineRule="auto"/>
        <w:ind w:firstLine="420"/>
      </w:pPr>
      <w:r>
        <w:rPr>
          <w:rFonts w:hint="eastAsia"/>
        </w:rPr>
        <w:t>上周</w:t>
      </w:r>
      <w:r w:rsidR="00763B4A" w:rsidRPr="00763B4A">
        <w:rPr>
          <w:rFonts w:hint="eastAsia"/>
        </w:rPr>
        <w:t>央行公开市场累计进行了</w:t>
      </w:r>
      <w:r w:rsidR="00C454EA" w:rsidRPr="00C454EA">
        <w:rPr>
          <w:rFonts w:hint="eastAsia"/>
        </w:rPr>
        <w:t>10684</w:t>
      </w:r>
      <w:r w:rsidR="00C454EA" w:rsidRPr="00C454EA">
        <w:rPr>
          <w:rFonts w:hint="eastAsia"/>
        </w:rPr>
        <w:t>亿元逆回购操作，</w:t>
      </w:r>
      <w:r w:rsidR="00C454EA">
        <w:rPr>
          <w:rFonts w:hint="eastAsia"/>
        </w:rPr>
        <w:t>当</w:t>
      </w:r>
      <w:r w:rsidR="00C454EA" w:rsidRPr="00C454EA">
        <w:rPr>
          <w:rFonts w:hint="eastAsia"/>
        </w:rPr>
        <w:t>周央行公开市场有</w:t>
      </w:r>
      <w:r w:rsidR="00C454EA" w:rsidRPr="00C454EA">
        <w:rPr>
          <w:rFonts w:hint="eastAsia"/>
        </w:rPr>
        <w:t>22731</w:t>
      </w:r>
      <w:r w:rsidR="00C454EA" w:rsidRPr="00C454EA">
        <w:rPr>
          <w:rFonts w:hint="eastAsia"/>
        </w:rPr>
        <w:t>亿元逆回购到期，因此净回笼</w:t>
      </w:r>
      <w:r w:rsidR="00C454EA" w:rsidRPr="00C454EA">
        <w:rPr>
          <w:rFonts w:hint="eastAsia"/>
        </w:rPr>
        <w:t>12047</w:t>
      </w:r>
      <w:r w:rsidR="00C454EA" w:rsidRPr="00C454EA">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465727EE" w:rsidR="003265E6"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3A4CF3" w:rsidRPr="001A246C">
        <w:rPr>
          <w:rFonts w:ascii="宋体" w:hAnsi="宋体" w:hint="eastAsia"/>
        </w:rPr>
        <w:t>美国总统特朗普要求欧洲对中国施加经济压力，外交部回应称，中方不是乌克兰危机当事方，坚决反对对中方施加所谓“经济压力”。特朗普称将对未把生产转移到美国的半导体公司征收关税，外交部表示，中方在关税问题上的立场是一贯的、明确的。</w:t>
      </w:r>
    </w:p>
    <w:p w14:paraId="3316BE34" w14:textId="235B84BB" w:rsidR="00785749" w:rsidRPr="0011314B" w:rsidRDefault="00CA7296" w:rsidP="0011314B">
      <w:pPr>
        <w:spacing w:line="312" w:lineRule="auto"/>
        <w:ind w:firstLine="420"/>
        <w:rPr>
          <w:rFonts w:ascii="宋体" w:hAnsi="宋体"/>
        </w:rPr>
      </w:pPr>
      <w:r w:rsidRPr="0086476E">
        <w:rPr>
          <w:rFonts w:ascii="宋体" w:hAnsi="宋体" w:hint="eastAsia"/>
        </w:rPr>
        <w:t>2、</w:t>
      </w:r>
      <w:r w:rsidR="003A4CF3" w:rsidRPr="0051753D">
        <w:rPr>
          <w:rFonts w:ascii="宋体" w:hAnsi="宋体" w:hint="eastAsia"/>
        </w:rPr>
        <w:t>商务部公布中国首起反规避调查裁决，认定美国出口商通过对华出口相关截止波长位移单模光纤，规避了中国对美非色散位移单模光纤产品的反倾销措施。商务部决定自</w:t>
      </w:r>
      <w:r w:rsidR="003A4CF3" w:rsidRPr="0051753D">
        <w:rPr>
          <w:rFonts w:ascii="宋体" w:hAnsi="宋体"/>
        </w:rPr>
        <w:t>9月4日起实施反规避措施。商务部表示，该案是中国首起反规避调查，对丰富中国贸易救济调查工具具有开创性意义。</w:t>
      </w:r>
    </w:p>
    <w:p w14:paraId="63094CBE" w14:textId="28E25804" w:rsidR="00BC01B8" w:rsidRPr="00AC09FC" w:rsidRDefault="00BC01B8" w:rsidP="0086476E">
      <w:pPr>
        <w:spacing w:line="312" w:lineRule="auto"/>
        <w:ind w:firstLine="420"/>
        <w:rPr>
          <w:rFonts w:ascii="宋体" w:hAnsi="宋体"/>
        </w:rPr>
      </w:pPr>
      <w:r w:rsidRPr="00CA1C69">
        <w:rPr>
          <w:rFonts w:ascii="宋体" w:hAnsi="宋体"/>
        </w:rPr>
        <w:t>3</w:t>
      </w:r>
      <w:r w:rsidRPr="00CA1C69">
        <w:rPr>
          <w:rFonts w:ascii="宋体" w:hAnsi="宋体" w:hint="eastAsia"/>
        </w:rPr>
        <w:t>、</w:t>
      </w:r>
      <w:r w:rsidR="005F7439" w:rsidRPr="001A246C">
        <w:rPr>
          <w:rFonts w:ascii="宋体" w:hAnsi="宋体" w:hint="eastAsia"/>
        </w:rPr>
        <w:t>美国总统特朗普宣布，从全球国别关税中豁免金条及石墨、钨、铀等金属产品，同时将硅酮产品纳入征税范围。根据美国政府星</w:t>
      </w:r>
      <w:r w:rsidR="005F7439" w:rsidRPr="001A246C">
        <w:rPr>
          <w:rFonts w:ascii="宋体" w:hAnsi="宋体"/>
        </w:rPr>
        <w:t>9月5日发布的行政令，这项关税调整将于9月8日生效。特朗普政府的对等关税正对一系列矿产品予以取消或者豁免，其中重点包括用于航空航天、消费电子、医疗器械及其他技术领域的关键材料。</w:t>
      </w:r>
    </w:p>
    <w:p w14:paraId="630B9579" w14:textId="1EDBC42E" w:rsidR="00BC01B8" w:rsidRPr="00A867D6" w:rsidRDefault="00BC01B8" w:rsidP="001F0839">
      <w:pPr>
        <w:spacing w:line="312" w:lineRule="auto"/>
        <w:ind w:firstLine="420"/>
        <w:rPr>
          <w:rFonts w:ascii="宋体" w:hAnsi="宋体"/>
        </w:rPr>
      </w:pPr>
      <w:r w:rsidRPr="0086476E">
        <w:rPr>
          <w:rFonts w:ascii="宋体" w:hAnsi="宋体" w:hint="eastAsia"/>
        </w:rPr>
        <w:t>4、</w:t>
      </w:r>
      <w:r w:rsidR="003A4CF3" w:rsidRPr="00C56238">
        <w:rPr>
          <w:rFonts w:ascii="宋体" w:hAnsi="宋体" w:hint="eastAsia"/>
        </w:rPr>
        <w:t>美联储在其最新公布的褐皮书调查中表示，近几周全美大部分地区的经济活动几乎没有变化。报告指出，美联储各辖区反馈显示，由于许多家庭的工资未能跟上物价上涨，消</w:t>
      </w:r>
      <w:r w:rsidR="003A4CF3" w:rsidRPr="00C56238">
        <w:rPr>
          <w:rFonts w:ascii="宋体" w:hAnsi="宋体" w:hint="eastAsia"/>
        </w:rPr>
        <w:lastRenderedPageBreak/>
        <w:t>费者支出持平或下降。据褐皮书，各地区均出现价格上涨，其中</w:t>
      </w:r>
      <w:r w:rsidR="003A4CF3" w:rsidRPr="00C56238">
        <w:rPr>
          <w:rFonts w:ascii="宋体" w:hAnsi="宋体"/>
        </w:rPr>
        <w:t>10个辖区报告为“温和或轻微”的通胀，另外两个则出现“强劲的投入价格增长”。随着关税在经济中逐步传导，企业为了弥补成本上升，至少部分地提高了商品和服务价格。</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7024C0A3" w:rsidR="00CA7296" w:rsidRDefault="00C10509"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4CFF124B" wp14:editId="29CCF052">
            <wp:extent cx="3295650" cy="1934998"/>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12360" cy="1944809"/>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0EE7EB45" w:rsidR="00CA7296" w:rsidRDefault="00C10509" w:rsidP="00CA7296">
      <w:pPr>
        <w:spacing w:line="360" w:lineRule="auto"/>
        <w:jc w:val="center"/>
        <w:rPr>
          <w:rFonts w:ascii="宋体" w:hAnsi="宋体"/>
          <w:sz w:val="18"/>
          <w:szCs w:val="18"/>
        </w:rPr>
      </w:pPr>
      <w:r>
        <w:rPr>
          <w:noProof/>
        </w:rPr>
        <w:drawing>
          <wp:inline distT="0" distB="0" distL="0" distR="0" wp14:anchorId="723964BE" wp14:editId="6E4CE6B1">
            <wp:extent cx="4791075" cy="2716250"/>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5997" cy="2719040"/>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ECC8ED6" w:rsidR="00CA7296" w:rsidRDefault="00C10509" w:rsidP="00CA7296">
      <w:pPr>
        <w:spacing w:line="360" w:lineRule="auto"/>
        <w:jc w:val="center"/>
        <w:rPr>
          <w:rFonts w:ascii="宋体" w:hAnsi="宋体"/>
          <w:sz w:val="18"/>
          <w:szCs w:val="18"/>
        </w:rPr>
      </w:pPr>
      <w:r>
        <w:rPr>
          <w:noProof/>
        </w:rPr>
        <w:drawing>
          <wp:inline distT="0" distB="0" distL="0" distR="0" wp14:anchorId="6890973C" wp14:editId="0D5333BD">
            <wp:extent cx="4019550" cy="227335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5043" cy="2282114"/>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10DCE3D7" w:rsidR="00CA7296" w:rsidRDefault="00C10509" w:rsidP="00CA7296">
      <w:pPr>
        <w:jc w:val="center"/>
      </w:pPr>
      <w:bookmarkStart w:id="0" w:name="_GoBack"/>
      <w:r>
        <w:rPr>
          <w:noProof/>
        </w:rPr>
        <w:drawing>
          <wp:inline distT="0" distB="0" distL="0" distR="0" wp14:anchorId="051D594B" wp14:editId="421E79F3">
            <wp:extent cx="4543425" cy="2575847"/>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8640" cy="2578803"/>
                    </a:xfrm>
                    <a:prstGeom prst="rect">
                      <a:avLst/>
                    </a:prstGeom>
                  </pic:spPr>
                </pic:pic>
              </a:graphicData>
            </a:graphic>
          </wp:inline>
        </w:drawing>
      </w:r>
      <w:bookmarkEnd w:id="0"/>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74D6F2CE" w:rsidR="00CA7296" w:rsidRDefault="00C10509" w:rsidP="00CA7296">
      <w:pPr>
        <w:jc w:val="center"/>
      </w:pPr>
      <w:r>
        <w:rPr>
          <w:noProof/>
        </w:rPr>
        <w:drawing>
          <wp:inline distT="0" distB="0" distL="0" distR="0" wp14:anchorId="752DBD92" wp14:editId="22831D2F">
            <wp:extent cx="3714750" cy="217410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28586" cy="2182204"/>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6A496179" w:rsidR="00CA7296" w:rsidRDefault="00BF1550"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C2D60E3" wp14:editId="1B035CE8">
            <wp:extent cx="4051005" cy="2360295"/>
            <wp:effectExtent l="0" t="0" r="6985" b="1905"/>
            <wp:docPr id="7" name="图表 7">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78B3AA48" w14:textId="7E5A41F5" w:rsidR="00351614" w:rsidRPr="00194A13" w:rsidRDefault="0048255E" w:rsidP="00351614">
      <w:pPr>
        <w:spacing w:line="312" w:lineRule="auto"/>
        <w:ind w:firstLine="420"/>
        <w:rPr>
          <w:rFonts w:ascii="宋体" w:hAnsi="宋体"/>
        </w:rPr>
      </w:pPr>
      <w:r w:rsidRPr="000E60E7">
        <w:rPr>
          <w:rFonts w:ascii="宋体" w:hAnsi="宋体" w:cs="宋体"/>
        </w:rPr>
        <w:t>最新数据显示，</w:t>
      </w:r>
      <w:r w:rsidR="005E4D72" w:rsidRPr="005E4D72">
        <w:rPr>
          <w:rFonts w:ascii="宋体" w:hAnsi="宋体" w:cs="宋体" w:hint="eastAsia"/>
        </w:rPr>
        <w:t>美国8月非农就业增长录得22,000个就业岗位，远低于75,000的预测，失业率攀升至4.3%，为2021年末以来的最高水平。工资增长维持于0.3%的环比和3.7%的同比增速。本次延续偏弱的就业报告再度确认劳动力市场的降温态势，与此前公布的ADP就业人数放缓、JOLTS职位空缺下降、初请失业金人数上升相呼应</w:t>
      </w:r>
      <w:r w:rsidR="005E4D72">
        <w:rPr>
          <w:rFonts w:ascii="宋体" w:hAnsi="宋体" w:cs="宋体" w:hint="eastAsia"/>
        </w:rPr>
        <w:t>，再度抬升降息预期</w:t>
      </w:r>
      <w:r w:rsidR="005E4D72" w:rsidRPr="005E4D72">
        <w:rPr>
          <w:rFonts w:ascii="宋体" w:hAnsi="宋体" w:cs="宋体" w:hint="eastAsia"/>
        </w:rPr>
        <w:t>。</w:t>
      </w:r>
      <w:r w:rsidR="00C10509">
        <w:rPr>
          <w:rFonts w:ascii="宋体" w:hAnsi="宋体" w:cs="宋体" w:hint="eastAsia"/>
        </w:rPr>
        <w:t>据Fed</w:t>
      </w:r>
      <w:r w:rsidR="00C10509">
        <w:rPr>
          <w:rFonts w:ascii="宋体" w:hAnsi="宋体" w:cs="宋体"/>
        </w:rPr>
        <w:t>W</w:t>
      </w:r>
      <w:r w:rsidR="00C10509">
        <w:rPr>
          <w:rFonts w:ascii="宋体" w:hAnsi="宋体" w:cs="宋体" w:hint="eastAsia"/>
        </w:rPr>
        <w:t>atch工具显示，</w:t>
      </w:r>
      <w:r w:rsidR="00C10509" w:rsidRPr="00874BD2">
        <w:rPr>
          <w:rFonts w:ascii="宋体" w:hAnsi="宋体" w:cs="宋体"/>
        </w:rPr>
        <w:t>目前</w:t>
      </w:r>
      <w:r w:rsidR="00C10509" w:rsidRPr="00874BD2">
        <w:rPr>
          <w:rFonts w:ascii="宋体" w:hAnsi="宋体" w:cs="宋体" w:hint="eastAsia"/>
        </w:rPr>
        <w:t>市场</w:t>
      </w:r>
      <w:r w:rsidR="005E4D72">
        <w:rPr>
          <w:rFonts w:ascii="宋体" w:hAnsi="宋体" w:cs="宋体"/>
        </w:rPr>
        <w:t>预计美联储本月降息的概率</w:t>
      </w:r>
      <w:r w:rsidR="005E4D72">
        <w:rPr>
          <w:rFonts w:ascii="宋体" w:hAnsi="宋体" w:cs="宋体" w:hint="eastAsia"/>
        </w:rPr>
        <w:t>达到</w:t>
      </w:r>
      <w:r w:rsidR="00C10509" w:rsidRPr="00874BD2">
        <w:rPr>
          <w:rFonts w:ascii="宋体" w:hAnsi="宋体" w:cs="宋体"/>
        </w:rPr>
        <w:t>100%</w:t>
      </w:r>
      <w:r w:rsidR="005E4D72">
        <w:rPr>
          <w:rFonts w:ascii="宋体" w:hAnsi="宋体" w:cs="宋体" w:hint="eastAsia"/>
        </w:rPr>
        <w:t>，仅是降息幅度有所分歧，其中降息2</w:t>
      </w:r>
      <w:r w:rsidR="005E4D72">
        <w:rPr>
          <w:rFonts w:ascii="宋体" w:hAnsi="宋体" w:cs="宋体"/>
        </w:rPr>
        <w:t>5</w:t>
      </w:r>
      <w:r w:rsidR="005E4D72">
        <w:rPr>
          <w:rFonts w:ascii="宋体" w:hAnsi="宋体" w:cs="宋体" w:hint="eastAsia"/>
        </w:rPr>
        <w:t>bps概率为8</w:t>
      </w:r>
      <w:r w:rsidR="005E4D72">
        <w:rPr>
          <w:rFonts w:ascii="宋体" w:hAnsi="宋体" w:cs="宋体"/>
        </w:rPr>
        <w:t>8%</w:t>
      </w:r>
      <w:r w:rsidR="005E4D72">
        <w:rPr>
          <w:rFonts w:ascii="宋体" w:hAnsi="宋体" w:cs="宋体" w:hint="eastAsia"/>
        </w:rPr>
        <w:t>，降息5</w:t>
      </w:r>
      <w:r w:rsidR="005E4D72">
        <w:rPr>
          <w:rFonts w:ascii="宋体" w:hAnsi="宋体" w:cs="宋体"/>
        </w:rPr>
        <w:t>0</w:t>
      </w:r>
      <w:r w:rsidR="005E4D72">
        <w:rPr>
          <w:rFonts w:ascii="宋体" w:hAnsi="宋体" w:cs="宋体" w:hint="eastAsia"/>
        </w:rPr>
        <w:t>bps概率为1</w:t>
      </w:r>
      <w:r w:rsidR="005E4D72">
        <w:rPr>
          <w:rFonts w:ascii="宋体" w:hAnsi="宋体" w:cs="宋体"/>
        </w:rPr>
        <w:t>2%</w:t>
      </w:r>
      <w:r w:rsidR="005E4D72">
        <w:rPr>
          <w:rFonts w:ascii="宋体" w:hAnsi="宋体" w:cs="宋体" w:hint="eastAsia"/>
        </w:rPr>
        <w:t>。</w:t>
      </w:r>
    </w:p>
    <w:p w14:paraId="455C826C" w14:textId="601EC1C6" w:rsidR="00BF7D0E" w:rsidRDefault="00A867D6" w:rsidP="00194A13">
      <w:pPr>
        <w:spacing w:line="312" w:lineRule="auto"/>
        <w:ind w:firstLine="420"/>
        <w:rPr>
          <w:rFonts w:ascii="宋体" w:hAnsi="宋体"/>
        </w:rPr>
      </w:pPr>
      <w:r w:rsidRPr="00194A13">
        <w:rPr>
          <w:rFonts w:ascii="宋体" w:hAnsi="宋体"/>
        </w:rPr>
        <w:t>国内端，</w:t>
      </w:r>
      <w:r w:rsidR="005E4D72">
        <w:rPr>
          <w:rFonts w:ascii="宋体" w:hAnsi="宋体" w:hint="eastAsia"/>
        </w:rPr>
        <w:t>8</w:t>
      </w:r>
      <w:r w:rsidR="003265E6" w:rsidRPr="003265E6">
        <w:rPr>
          <w:rFonts w:ascii="宋体" w:hAnsi="宋体" w:hint="eastAsia"/>
        </w:rPr>
        <w:t>月我国官方制造业PMI、非制造业PMI和综合PMI分别为49.4%、50.3%和50.5%，环比升0.1、0.2和0.3个百分点，经济景气水平总体继续保持扩张。其中新订单及新出口订单降幅均较上月收窄0.1个百分点，内外需</w:t>
      </w:r>
      <w:r w:rsidR="005E4D72">
        <w:rPr>
          <w:rFonts w:ascii="宋体" w:hAnsi="宋体" w:hint="eastAsia"/>
        </w:rPr>
        <w:t>小幅</w:t>
      </w:r>
      <w:r w:rsidR="003265E6" w:rsidRPr="003265E6">
        <w:rPr>
          <w:rFonts w:ascii="宋体" w:hAnsi="宋体" w:hint="eastAsia"/>
        </w:rPr>
        <w:t>改善</w:t>
      </w:r>
      <w:r w:rsidR="005E4D72">
        <w:rPr>
          <w:rFonts w:ascii="宋体" w:hAnsi="宋体" w:hint="eastAsia"/>
        </w:rPr>
        <w:t>但仍处于收缩区间</w:t>
      </w:r>
      <w:r w:rsidR="003265E6" w:rsidRPr="003265E6">
        <w:rPr>
          <w:rFonts w:ascii="宋体" w:hAnsi="宋体" w:hint="eastAsia"/>
        </w:rPr>
        <w:t>。</w:t>
      </w:r>
      <w:r w:rsidR="005E4D72">
        <w:rPr>
          <w:rFonts w:ascii="宋体" w:hAnsi="宋体" w:hint="eastAsia"/>
        </w:rPr>
        <w:t>此外，8月我国出口同比4</w:t>
      </w:r>
      <w:r w:rsidR="005E4D72">
        <w:rPr>
          <w:rFonts w:ascii="宋体" w:hAnsi="宋体"/>
        </w:rPr>
        <w:t>.4%</w:t>
      </w:r>
      <w:r w:rsidR="005E4D72">
        <w:rPr>
          <w:rFonts w:ascii="宋体" w:hAnsi="宋体" w:hint="eastAsia"/>
        </w:rPr>
        <w:t>，进口同比1</w:t>
      </w:r>
      <w:r w:rsidR="005E4D72">
        <w:rPr>
          <w:rFonts w:ascii="宋体" w:hAnsi="宋体"/>
        </w:rPr>
        <w:t>.3%</w:t>
      </w:r>
      <w:r w:rsidR="005E4D72">
        <w:rPr>
          <w:rFonts w:ascii="宋体" w:hAnsi="宋体" w:hint="eastAsia"/>
        </w:rPr>
        <w:t>，均较上月下行且弱于市场预期值。此前</w:t>
      </w:r>
      <w:r w:rsidR="005E4D72" w:rsidRPr="005E4D72">
        <w:rPr>
          <w:rFonts w:ascii="宋体" w:hAnsi="宋体" w:hint="eastAsia"/>
        </w:rPr>
        <w:t>中美贸易关系改善带来的政策效用边际减弱</w:t>
      </w:r>
      <w:r w:rsidR="005E4D72">
        <w:rPr>
          <w:rFonts w:ascii="宋体" w:hAnsi="宋体" w:hint="eastAsia"/>
        </w:rPr>
        <w:t>，</w:t>
      </w:r>
      <w:r w:rsidR="005E4D72" w:rsidRPr="005E4D72">
        <w:rPr>
          <w:rFonts w:ascii="宋体" w:hAnsi="宋体" w:hint="eastAsia"/>
        </w:rPr>
        <w:t>叠加内外需水平仍有待回升，外贸水平</w:t>
      </w:r>
      <w:r w:rsidR="005E4D72">
        <w:rPr>
          <w:rFonts w:ascii="宋体" w:hAnsi="宋体" w:hint="eastAsia"/>
        </w:rPr>
        <w:t>持续承压。</w:t>
      </w:r>
      <w:r w:rsidR="003265E6" w:rsidRPr="003265E6">
        <w:rPr>
          <w:rFonts w:ascii="宋体" w:hAnsi="宋体" w:hint="eastAsia"/>
        </w:rPr>
        <w:t>在此背景下，我国经济复苏</w:t>
      </w:r>
      <w:r w:rsidR="005E4D72">
        <w:rPr>
          <w:rFonts w:ascii="宋体" w:hAnsi="宋体" w:hint="eastAsia"/>
        </w:rPr>
        <w:t>趋势依旧稳固</w:t>
      </w:r>
      <w:r w:rsidR="003265E6" w:rsidRPr="003265E6">
        <w:rPr>
          <w:rFonts w:ascii="宋体" w:hAnsi="宋体" w:hint="eastAsia"/>
        </w:rPr>
        <w:t>，人民币汇率</w:t>
      </w:r>
      <w:r w:rsidR="005E4D72">
        <w:rPr>
          <w:rFonts w:ascii="宋体" w:hAnsi="宋体" w:hint="eastAsia"/>
        </w:rPr>
        <w:t>在美联储降息的背景下料</w:t>
      </w:r>
      <w:r w:rsidR="003265E6" w:rsidRPr="003265E6">
        <w:rPr>
          <w:rFonts w:ascii="宋体" w:hAnsi="宋体" w:hint="eastAsia"/>
        </w:rPr>
        <w:t>稳</w:t>
      </w:r>
      <w:r w:rsidR="005E4D72">
        <w:rPr>
          <w:rFonts w:ascii="宋体" w:hAnsi="宋体" w:hint="eastAsia"/>
        </w:rPr>
        <w:t>中向上</w:t>
      </w:r>
      <w:r w:rsidR="003265E6" w:rsidRPr="003265E6">
        <w:rPr>
          <w:rFonts w:ascii="宋体" w:hAnsi="宋体" w:hint="eastAsia"/>
        </w:rPr>
        <w:t>。</w:t>
      </w:r>
    </w:p>
    <w:p w14:paraId="16FCB4C1" w14:textId="77AF1232" w:rsidR="00F954EA" w:rsidRDefault="00F954EA" w:rsidP="00194A13">
      <w:pPr>
        <w:spacing w:line="312" w:lineRule="auto"/>
        <w:ind w:firstLine="420"/>
        <w:rPr>
          <w:rFonts w:ascii="宋体" w:hAnsi="宋体"/>
        </w:rPr>
      </w:pPr>
    </w:p>
    <w:p w14:paraId="125A1050" w14:textId="77777777" w:rsidR="00F954EA" w:rsidRDefault="00F954EA" w:rsidP="00194A13">
      <w:pPr>
        <w:spacing w:line="312" w:lineRule="auto"/>
        <w:ind w:firstLine="420"/>
        <w:rPr>
          <w:rFonts w:ascii="宋体" w:hAnsi="宋体" w:cs="宋体" w:hint="eastAsia"/>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E36E" w14:textId="77777777" w:rsidR="00EC5EE6" w:rsidRDefault="00EC5EE6" w:rsidP="00127060">
      <w:r>
        <w:separator/>
      </w:r>
    </w:p>
  </w:endnote>
  <w:endnote w:type="continuationSeparator" w:id="0">
    <w:p w14:paraId="14E19166" w14:textId="77777777" w:rsidR="00EC5EE6" w:rsidRDefault="00EC5EE6"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34555" w14:textId="77777777" w:rsidR="00EC5EE6" w:rsidRDefault="00EC5EE6" w:rsidP="00127060">
      <w:r>
        <w:separator/>
      </w:r>
    </w:p>
  </w:footnote>
  <w:footnote w:type="continuationSeparator" w:id="0">
    <w:p w14:paraId="5DEE6485" w14:textId="77777777" w:rsidR="00EC5EE6" w:rsidRDefault="00EC5EE6"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7BCC"/>
    <w:rsid w:val="0001127E"/>
    <w:rsid w:val="00011E90"/>
    <w:rsid w:val="00015ABA"/>
    <w:rsid w:val="00015CEB"/>
    <w:rsid w:val="00016329"/>
    <w:rsid w:val="00017E90"/>
    <w:rsid w:val="000218EC"/>
    <w:rsid w:val="00023083"/>
    <w:rsid w:val="0002357D"/>
    <w:rsid w:val="00027E72"/>
    <w:rsid w:val="000301E2"/>
    <w:rsid w:val="000328C5"/>
    <w:rsid w:val="00032F98"/>
    <w:rsid w:val="000447DD"/>
    <w:rsid w:val="00046EC5"/>
    <w:rsid w:val="0005052B"/>
    <w:rsid w:val="00052952"/>
    <w:rsid w:val="000540B3"/>
    <w:rsid w:val="00054D2E"/>
    <w:rsid w:val="00055C18"/>
    <w:rsid w:val="0005615C"/>
    <w:rsid w:val="00056C00"/>
    <w:rsid w:val="00061E07"/>
    <w:rsid w:val="000649D8"/>
    <w:rsid w:val="000658CB"/>
    <w:rsid w:val="00066060"/>
    <w:rsid w:val="00072AF7"/>
    <w:rsid w:val="0007552B"/>
    <w:rsid w:val="000902C1"/>
    <w:rsid w:val="00094A69"/>
    <w:rsid w:val="000959E1"/>
    <w:rsid w:val="00096C6B"/>
    <w:rsid w:val="000A0A52"/>
    <w:rsid w:val="000A1B52"/>
    <w:rsid w:val="000A1C34"/>
    <w:rsid w:val="000A1E80"/>
    <w:rsid w:val="000A5DB1"/>
    <w:rsid w:val="000A6E63"/>
    <w:rsid w:val="000B3BF6"/>
    <w:rsid w:val="000B4160"/>
    <w:rsid w:val="000B45D7"/>
    <w:rsid w:val="000B4D30"/>
    <w:rsid w:val="000B6102"/>
    <w:rsid w:val="000B7B1E"/>
    <w:rsid w:val="000C405D"/>
    <w:rsid w:val="000D138F"/>
    <w:rsid w:val="000D41B5"/>
    <w:rsid w:val="000D41E0"/>
    <w:rsid w:val="000D4E7F"/>
    <w:rsid w:val="000D5473"/>
    <w:rsid w:val="000D59E5"/>
    <w:rsid w:val="000E6617"/>
    <w:rsid w:val="000F6A0B"/>
    <w:rsid w:val="00100296"/>
    <w:rsid w:val="0011314B"/>
    <w:rsid w:val="00113D9E"/>
    <w:rsid w:val="00115730"/>
    <w:rsid w:val="0012070F"/>
    <w:rsid w:val="00125BEA"/>
    <w:rsid w:val="00127060"/>
    <w:rsid w:val="001470E8"/>
    <w:rsid w:val="00150521"/>
    <w:rsid w:val="00153427"/>
    <w:rsid w:val="001564E1"/>
    <w:rsid w:val="0015671A"/>
    <w:rsid w:val="001573DE"/>
    <w:rsid w:val="00182FB2"/>
    <w:rsid w:val="001847B0"/>
    <w:rsid w:val="001869F4"/>
    <w:rsid w:val="001938CF"/>
    <w:rsid w:val="00194A13"/>
    <w:rsid w:val="00195C4D"/>
    <w:rsid w:val="00197E1F"/>
    <w:rsid w:val="00197E3E"/>
    <w:rsid w:val="001A59DE"/>
    <w:rsid w:val="001B6505"/>
    <w:rsid w:val="001C598E"/>
    <w:rsid w:val="001C7A4C"/>
    <w:rsid w:val="001C7CB7"/>
    <w:rsid w:val="001D5BF6"/>
    <w:rsid w:val="001F0839"/>
    <w:rsid w:val="001F0B8B"/>
    <w:rsid w:val="001F4E90"/>
    <w:rsid w:val="001F6D4B"/>
    <w:rsid w:val="0020319F"/>
    <w:rsid w:val="002041D1"/>
    <w:rsid w:val="0020501F"/>
    <w:rsid w:val="0020541A"/>
    <w:rsid w:val="00215D99"/>
    <w:rsid w:val="0021694A"/>
    <w:rsid w:val="00216CC4"/>
    <w:rsid w:val="00220075"/>
    <w:rsid w:val="00220B10"/>
    <w:rsid w:val="00220C9B"/>
    <w:rsid w:val="002221A8"/>
    <w:rsid w:val="00223E72"/>
    <w:rsid w:val="00227DE4"/>
    <w:rsid w:val="002348D9"/>
    <w:rsid w:val="002348FA"/>
    <w:rsid w:val="00242AD4"/>
    <w:rsid w:val="00244509"/>
    <w:rsid w:val="00247EFC"/>
    <w:rsid w:val="00257436"/>
    <w:rsid w:val="0026035D"/>
    <w:rsid w:val="002617AF"/>
    <w:rsid w:val="00263BE6"/>
    <w:rsid w:val="00266134"/>
    <w:rsid w:val="0027103D"/>
    <w:rsid w:val="00273827"/>
    <w:rsid w:val="00276F3C"/>
    <w:rsid w:val="002779DB"/>
    <w:rsid w:val="0028510B"/>
    <w:rsid w:val="0028572C"/>
    <w:rsid w:val="00290F42"/>
    <w:rsid w:val="002A359F"/>
    <w:rsid w:val="002A79EF"/>
    <w:rsid w:val="002C346F"/>
    <w:rsid w:val="002C4410"/>
    <w:rsid w:val="002C6293"/>
    <w:rsid w:val="002C7B4F"/>
    <w:rsid w:val="002D1AA3"/>
    <w:rsid w:val="002D2D54"/>
    <w:rsid w:val="002D49D0"/>
    <w:rsid w:val="002D62A9"/>
    <w:rsid w:val="002E0B93"/>
    <w:rsid w:val="002E39E8"/>
    <w:rsid w:val="002E48D7"/>
    <w:rsid w:val="002F6580"/>
    <w:rsid w:val="00300223"/>
    <w:rsid w:val="00301549"/>
    <w:rsid w:val="003041AA"/>
    <w:rsid w:val="00304D86"/>
    <w:rsid w:val="00304DF8"/>
    <w:rsid w:val="003066A3"/>
    <w:rsid w:val="003070DC"/>
    <w:rsid w:val="00310347"/>
    <w:rsid w:val="00312B57"/>
    <w:rsid w:val="00324293"/>
    <w:rsid w:val="003265E6"/>
    <w:rsid w:val="00326BE8"/>
    <w:rsid w:val="00336209"/>
    <w:rsid w:val="00341353"/>
    <w:rsid w:val="00343540"/>
    <w:rsid w:val="00350819"/>
    <w:rsid w:val="00351614"/>
    <w:rsid w:val="0035301A"/>
    <w:rsid w:val="003576ED"/>
    <w:rsid w:val="00357828"/>
    <w:rsid w:val="00363129"/>
    <w:rsid w:val="0036506F"/>
    <w:rsid w:val="003665FF"/>
    <w:rsid w:val="0036685A"/>
    <w:rsid w:val="00371BC0"/>
    <w:rsid w:val="00377B85"/>
    <w:rsid w:val="00392306"/>
    <w:rsid w:val="003A2616"/>
    <w:rsid w:val="003A4CF3"/>
    <w:rsid w:val="003A7F2C"/>
    <w:rsid w:val="003B49D5"/>
    <w:rsid w:val="003C55CB"/>
    <w:rsid w:val="003D2210"/>
    <w:rsid w:val="003D3AF3"/>
    <w:rsid w:val="003D3DB8"/>
    <w:rsid w:val="003D7A03"/>
    <w:rsid w:val="003E0E92"/>
    <w:rsid w:val="003E1D2F"/>
    <w:rsid w:val="003E2D6E"/>
    <w:rsid w:val="003E5930"/>
    <w:rsid w:val="003F2BF1"/>
    <w:rsid w:val="003F3205"/>
    <w:rsid w:val="004012E4"/>
    <w:rsid w:val="004023AC"/>
    <w:rsid w:val="0040735B"/>
    <w:rsid w:val="00407F4C"/>
    <w:rsid w:val="00413A6A"/>
    <w:rsid w:val="00414D5B"/>
    <w:rsid w:val="00416F99"/>
    <w:rsid w:val="00420D11"/>
    <w:rsid w:val="00431962"/>
    <w:rsid w:val="00431FCF"/>
    <w:rsid w:val="00433DAC"/>
    <w:rsid w:val="00434A8A"/>
    <w:rsid w:val="004445D6"/>
    <w:rsid w:val="00447802"/>
    <w:rsid w:val="0045019A"/>
    <w:rsid w:val="004521D8"/>
    <w:rsid w:val="00456C36"/>
    <w:rsid w:val="00456F4B"/>
    <w:rsid w:val="00462568"/>
    <w:rsid w:val="00464902"/>
    <w:rsid w:val="00472C1A"/>
    <w:rsid w:val="0048255E"/>
    <w:rsid w:val="00482C6C"/>
    <w:rsid w:val="004855D9"/>
    <w:rsid w:val="004A483B"/>
    <w:rsid w:val="004A5DEA"/>
    <w:rsid w:val="004A618A"/>
    <w:rsid w:val="004B1822"/>
    <w:rsid w:val="004B3117"/>
    <w:rsid w:val="004B4636"/>
    <w:rsid w:val="004B569D"/>
    <w:rsid w:val="004B6B0F"/>
    <w:rsid w:val="004C131F"/>
    <w:rsid w:val="004C243D"/>
    <w:rsid w:val="004D283C"/>
    <w:rsid w:val="004D75A9"/>
    <w:rsid w:val="004E10AA"/>
    <w:rsid w:val="004E22E6"/>
    <w:rsid w:val="004F0C55"/>
    <w:rsid w:val="004F16E7"/>
    <w:rsid w:val="00505DD6"/>
    <w:rsid w:val="00511152"/>
    <w:rsid w:val="0051618C"/>
    <w:rsid w:val="00537CF9"/>
    <w:rsid w:val="0055205C"/>
    <w:rsid w:val="00571EBF"/>
    <w:rsid w:val="00574E1F"/>
    <w:rsid w:val="00583AD9"/>
    <w:rsid w:val="00585144"/>
    <w:rsid w:val="005B0999"/>
    <w:rsid w:val="005D4042"/>
    <w:rsid w:val="005D591B"/>
    <w:rsid w:val="005D6040"/>
    <w:rsid w:val="005E4D72"/>
    <w:rsid w:val="005E791A"/>
    <w:rsid w:val="005F55A3"/>
    <w:rsid w:val="005F7439"/>
    <w:rsid w:val="00600382"/>
    <w:rsid w:val="006206E8"/>
    <w:rsid w:val="00621D14"/>
    <w:rsid w:val="00624E74"/>
    <w:rsid w:val="00626AF8"/>
    <w:rsid w:val="00626F9A"/>
    <w:rsid w:val="00637EE4"/>
    <w:rsid w:val="00646D9C"/>
    <w:rsid w:val="00647B32"/>
    <w:rsid w:val="0065442E"/>
    <w:rsid w:val="00655606"/>
    <w:rsid w:val="00655FE4"/>
    <w:rsid w:val="006603DF"/>
    <w:rsid w:val="0066318A"/>
    <w:rsid w:val="00671429"/>
    <w:rsid w:val="006938C5"/>
    <w:rsid w:val="006A2C2A"/>
    <w:rsid w:val="006A35D1"/>
    <w:rsid w:val="006A3F5D"/>
    <w:rsid w:val="006A584F"/>
    <w:rsid w:val="006B50D4"/>
    <w:rsid w:val="006B685C"/>
    <w:rsid w:val="006C158F"/>
    <w:rsid w:val="006C1898"/>
    <w:rsid w:val="006E2C2D"/>
    <w:rsid w:val="006E5C84"/>
    <w:rsid w:val="006E7ABA"/>
    <w:rsid w:val="00710E4C"/>
    <w:rsid w:val="0071470E"/>
    <w:rsid w:val="00715E21"/>
    <w:rsid w:val="00716E5A"/>
    <w:rsid w:val="0072465D"/>
    <w:rsid w:val="00724724"/>
    <w:rsid w:val="00730110"/>
    <w:rsid w:val="007348A2"/>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648F"/>
    <w:rsid w:val="007C7C58"/>
    <w:rsid w:val="007D3E5A"/>
    <w:rsid w:val="007D4B15"/>
    <w:rsid w:val="007D60FF"/>
    <w:rsid w:val="007E4414"/>
    <w:rsid w:val="007F0835"/>
    <w:rsid w:val="007F6420"/>
    <w:rsid w:val="00804540"/>
    <w:rsid w:val="00813A5E"/>
    <w:rsid w:val="0083623C"/>
    <w:rsid w:val="00844DA7"/>
    <w:rsid w:val="00847CAE"/>
    <w:rsid w:val="00852D32"/>
    <w:rsid w:val="00853402"/>
    <w:rsid w:val="00854449"/>
    <w:rsid w:val="008575F1"/>
    <w:rsid w:val="0086476E"/>
    <w:rsid w:val="008663E7"/>
    <w:rsid w:val="0087172E"/>
    <w:rsid w:val="00881976"/>
    <w:rsid w:val="00882F85"/>
    <w:rsid w:val="00886C14"/>
    <w:rsid w:val="00887911"/>
    <w:rsid w:val="008A1FB2"/>
    <w:rsid w:val="008A2B9D"/>
    <w:rsid w:val="008A4C3C"/>
    <w:rsid w:val="008B0DD1"/>
    <w:rsid w:val="008B325C"/>
    <w:rsid w:val="008B5B8F"/>
    <w:rsid w:val="008B5D1D"/>
    <w:rsid w:val="008B7950"/>
    <w:rsid w:val="008C13E8"/>
    <w:rsid w:val="008C1403"/>
    <w:rsid w:val="008C1856"/>
    <w:rsid w:val="008C2303"/>
    <w:rsid w:val="008C495E"/>
    <w:rsid w:val="008C55B1"/>
    <w:rsid w:val="008E52D9"/>
    <w:rsid w:val="0090054A"/>
    <w:rsid w:val="009078F0"/>
    <w:rsid w:val="00912158"/>
    <w:rsid w:val="00915D99"/>
    <w:rsid w:val="00916155"/>
    <w:rsid w:val="00916F88"/>
    <w:rsid w:val="00921AD3"/>
    <w:rsid w:val="00922740"/>
    <w:rsid w:val="0093171E"/>
    <w:rsid w:val="00941B7A"/>
    <w:rsid w:val="009425B7"/>
    <w:rsid w:val="00950AA4"/>
    <w:rsid w:val="0095193C"/>
    <w:rsid w:val="009528D9"/>
    <w:rsid w:val="009615A9"/>
    <w:rsid w:val="009624AE"/>
    <w:rsid w:val="00965238"/>
    <w:rsid w:val="0097610B"/>
    <w:rsid w:val="0097639B"/>
    <w:rsid w:val="009821C1"/>
    <w:rsid w:val="00982EB3"/>
    <w:rsid w:val="00984FF0"/>
    <w:rsid w:val="009866FF"/>
    <w:rsid w:val="009927F3"/>
    <w:rsid w:val="0099372E"/>
    <w:rsid w:val="00994228"/>
    <w:rsid w:val="009A27BC"/>
    <w:rsid w:val="009A75FC"/>
    <w:rsid w:val="009B25EF"/>
    <w:rsid w:val="009C0381"/>
    <w:rsid w:val="009C0504"/>
    <w:rsid w:val="009C3D02"/>
    <w:rsid w:val="009C7D4B"/>
    <w:rsid w:val="009D18C0"/>
    <w:rsid w:val="009D1C60"/>
    <w:rsid w:val="009D2952"/>
    <w:rsid w:val="009D30D7"/>
    <w:rsid w:val="009D3BE6"/>
    <w:rsid w:val="009D594C"/>
    <w:rsid w:val="009E58E4"/>
    <w:rsid w:val="009F2447"/>
    <w:rsid w:val="009F3358"/>
    <w:rsid w:val="009F417E"/>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4ED5"/>
    <w:rsid w:val="00A867D6"/>
    <w:rsid w:val="00A87B55"/>
    <w:rsid w:val="00A959A4"/>
    <w:rsid w:val="00AA73C1"/>
    <w:rsid w:val="00AA7E59"/>
    <w:rsid w:val="00AB2BF2"/>
    <w:rsid w:val="00AB77E4"/>
    <w:rsid w:val="00AB7FCB"/>
    <w:rsid w:val="00AC09FC"/>
    <w:rsid w:val="00AC23F7"/>
    <w:rsid w:val="00AD25D1"/>
    <w:rsid w:val="00AD468C"/>
    <w:rsid w:val="00AE352D"/>
    <w:rsid w:val="00AE4401"/>
    <w:rsid w:val="00AE5D02"/>
    <w:rsid w:val="00AF4AA5"/>
    <w:rsid w:val="00B158F9"/>
    <w:rsid w:val="00B17CED"/>
    <w:rsid w:val="00B20497"/>
    <w:rsid w:val="00B21983"/>
    <w:rsid w:val="00B25A83"/>
    <w:rsid w:val="00B45667"/>
    <w:rsid w:val="00B6015F"/>
    <w:rsid w:val="00B61147"/>
    <w:rsid w:val="00B62125"/>
    <w:rsid w:val="00B62126"/>
    <w:rsid w:val="00B62713"/>
    <w:rsid w:val="00B64891"/>
    <w:rsid w:val="00B67586"/>
    <w:rsid w:val="00B71877"/>
    <w:rsid w:val="00B73B17"/>
    <w:rsid w:val="00B73C28"/>
    <w:rsid w:val="00B74234"/>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65EE"/>
    <w:rsid w:val="00BD7EBC"/>
    <w:rsid w:val="00BE2780"/>
    <w:rsid w:val="00BE728D"/>
    <w:rsid w:val="00BE7495"/>
    <w:rsid w:val="00BF0672"/>
    <w:rsid w:val="00BF1550"/>
    <w:rsid w:val="00BF21E2"/>
    <w:rsid w:val="00BF4F9A"/>
    <w:rsid w:val="00BF7D0E"/>
    <w:rsid w:val="00C10509"/>
    <w:rsid w:val="00C11B0E"/>
    <w:rsid w:val="00C12E3E"/>
    <w:rsid w:val="00C21A4B"/>
    <w:rsid w:val="00C25AC5"/>
    <w:rsid w:val="00C3478E"/>
    <w:rsid w:val="00C34E83"/>
    <w:rsid w:val="00C37583"/>
    <w:rsid w:val="00C454EA"/>
    <w:rsid w:val="00C46066"/>
    <w:rsid w:val="00C46144"/>
    <w:rsid w:val="00C47469"/>
    <w:rsid w:val="00C505AE"/>
    <w:rsid w:val="00C624E3"/>
    <w:rsid w:val="00C62AC4"/>
    <w:rsid w:val="00C66DB1"/>
    <w:rsid w:val="00C670BC"/>
    <w:rsid w:val="00C70EDE"/>
    <w:rsid w:val="00C7140E"/>
    <w:rsid w:val="00C71E51"/>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5574"/>
    <w:rsid w:val="00CF65DD"/>
    <w:rsid w:val="00D0319E"/>
    <w:rsid w:val="00D03363"/>
    <w:rsid w:val="00D06CB0"/>
    <w:rsid w:val="00D104E8"/>
    <w:rsid w:val="00D12EAC"/>
    <w:rsid w:val="00D13805"/>
    <w:rsid w:val="00D143D7"/>
    <w:rsid w:val="00D22BF7"/>
    <w:rsid w:val="00D276C0"/>
    <w:rsid w:val="00D276C9"/>
    <w:rsid w:val="00D27DFE"/>
    <w:rsid w:val="00D3039F"/>
    <w:rsid w:val="00D32B08"/>
    <w:rsid w:val="00D37130"/>
    <w:rsid w:val="00D435DB"/>
    <w:rsid w:val="00D43B13"/>
    <w:rsid w:val="00D447B2"/>
    <w:rsid w:val="00D46F69"/>
    <w:rsid w:val="00D5198D"/>
    <w:rsid w:val="00D521AE"/>
    <w:rsid w:val="00D63942"/>
    <w:rsid w:val="00D63AF2"/>
    <w:rsid w:val="00D66AEE"/>
    <w:rsid w:val="00D710D7"/>
    <w:rsid w:val="00D72D1D"/>
    <w:rsid w:val="00D7687B"/>
    <w:rsid w:val="00D80111"/>
    <w:rsid w:val="00D87535"/>
    <w:rsid w:val="00D906DE"/>
    <w:rsid w:val="00D96A08"/>
    <w:rsid w:val="00DA3C42"/>
    <w:rsid w:val="00DA6F42"/>
    <w:rsid w:val="00DB06A2"/>
    <w:rsid w:val="00DB11FD"/>
    <w:rsid w:val="00DB2849"/>
    <w:rsid w:val="00DB58B5"/>
    <w:rsid w:val="00DB70AE"/>
    <w:rsid w:val="00DD3375"/>
    <w:rsid w:val="00DE5BCE"/>
    <w:rsid w:val="00DF74BC"/>
    <w:rsid w:val="00E07DDD"/>
    <w:rsid w:val="00E1301A"/>
    <w:rsid w:val="00E136F7"/>
    <w:rsid w:val="00E151DA"/>
    <w:rsid w:val="00E23901"/>
    <w:rsid w:val="00E2570F"/>
    <w:rsid w:val="00E31C1C"/>
    <w:rsid w:val="00E342E5"/>
    <w:rsid w:val="00E37F6F"/>
    <w:rsid w:val="00E41E86"/>
    <w:rsid w:val="00E4628F"/>
    <w:rsid w:val="00E53E08"/>
    <w:rsid w:val="00E55191"/>
    <w:rsid w:val="00E600C5"/>
    <w:rsid w:val="00E615E8"/>
    <w:rsid w:val="00E62C39"/>
    <w:rsid w:val="00E70ABA"/>
    <w:rsid w:val="00E7114D"/>
    <w:rsid w:val="00E72351"/>
    <w:rsid w:val="00E72BE2"/>
    <w:rsid w:val="00E75382"/>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78EE"/>
    <w:rsid w:val="00EE0ABC"/>
    <w:rsid w:val="00EE0BF0"/>
    <w:rsid w:val="00EE3CE0"/>
    <w:rsid w:val="00EE4951"/>
    <w:rsid w:val="00EE517B"/>
    <w:rsid w:val="00EF044D"/>
    <w:rsid w:val="00EF470E"/>
    <w:rsid w:val="00EF4EA3"/>
    <w:rsid w:val="00EF6715"/>
    <w:rsid w:val="00F0560A"/>
    <w:rsid w:val="00F13C7E"/>
    <w:rsid w:val="00F15BF4"/>
    <w:rsid w:val="00F16626"/>
    <w:rsid w:val="00F2284B"/>
    <w:rsid w:val="00F33261"/>
    <w:rsid w:val="00F33658"/>
    <w:rsid w:val="00F35CCE"/>
    <w:rsid w:val="00F36CBD"/>
    <w:rsid w:val="00F40887"/>
    <w:rsid w:val="00F42487"/>
    <w:rsid w:val="00F443E3"/>
    <w:rsid w:val="00F5017A"/>
    <w:rsid w:val="00F56F48"/>
    <w:rsid w:val="00F64EF4"/>
    <w:rsid w:val="00F65DDC"/>
    <w:rsid w:val="00F7091A"/>
    <w:rsid w:val="00F73349"/>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7024"/>
    <w:rsid w:val="00FB72A5"/>
    <w:rsid w:val="00FC30F3"/>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26032;&#26700;&#38754;&#23601;&#26159;&#23427;&#20102;\&#20154;&#27665;&#24065;&#21608;&#25253;\&#27599;&#21608;&#26356;&#2603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'图表6 在岸、离岸人民币及价差'!$G$1</c:f>
              <c:strCache>
                <c:ptCount val="1"/>
                <c:pt idx="0">
                  <c:v>价差(右轴)</c:v>
                </c:pt>
              </c:strCache>
            </c:strRef>
          </c:tx>
          <c:spPr>
            <a:solidFill>
              <a:schemeClr val="bg1">
                <a:lumMod val="65000"/>
              </a:schemeClr>
            </a:solidFill>
            <a:ln>
              <a:noFill/>
            </a:ln>
            <a:effectLst/>
          </c:spPr>
          <c:invertIfNegative val="0"/>
          <c:cat>
            <c:numRef>
              <c:f>'图表6 在岸、离岸人民币及价差'!$A$5:$A$10</c:f>
              <c:numCache>
                <c:formatCode>yyyy\-mm\-dd</c:formatCode>
                <c:ptCount val="6"/>
                <c:pt idx="0">
                  <c:v>45901</c:v>
                </c:pt>
                <c:pt idx="1">
                  <c:v>45902</c:v>
                </c:pt>
                <c:pt idx="2">
                  <c:v>45903</c:v>
                </c:pt>
                <c:pt idx="3">
                  <c:v>45904</c:v>
                </c:pt>
                <c:pt idx="4">
                  <c:v>45905</c:v>
                </c:pt>
                <c:pt idx="5">
                  <c:v>45908</c:v>
                </c:pt>
              </c:numCache>
            </c:numRef>
          </c:cat>
          <c:val>
            <c:numRef>
              <c:f>'图表6 在岸、离岸人民币及价差'!$G$5:$G$10</c:f>
              <c:numCache>
                <c:formatCode>0.0000_ </c:formatCode>
                <c:ptCount val="6"/>
                <c:pt idx="0">
                  <c:v>1.9000000000000128E-3</c:v>
                </c:pt>
                <c:pt idx="1">
                  <c:v>-9.100000000000108E-3</c:v>
                </c:pt>
                <c:pt idx="2">
                  <c:v>-7.0999999999994401E-3</c:v>
                </c:pt>
                <c:pt idx="3">
                  <c:v>-3.0000000000001137E-3</c:v>
                </c:pt>
                <c:pt idx="4">
                  <c:v>-1.1500000000000732E-2</c:v>
                </c:pt>
                <c:pt idx="5">
                  <c:v>-9.5000000000000639E-3</c:v>
                </c:pt>
              </c:numCache>
            </c:numRef>
          </c:val>
          <c:extLst>
            <c:ext xmlns:c16="http://schemas.microsoft.com/office/drawing/2014/chart" uri="{C3380CC4-5D6E-409C-BE32-E72D297353CC}">
              <c16:uniqueId val="{00000000-CC67-4336-8B53-72C674E8EDED}"/>
            </c:ext>
          </c:extLst>
        </c:ser>
        <c:dLbls>
          <c:showLegendKey val="0"/>
          <c:showVal val="0"/>
          <c:showCatName val="0"/>
          <c:showSerName val="0"/>
          <c:showPercent val="0"/>
          <c:showBubbleSize val="0"/>
        </c:dLbls>
        <c:gapWidth val="219"/>
        <c:overlap val="-27"/>
        <c:axId val="1620896639"/>
        <c:axId val="1620883743"/>
      </c:barChart>
      <c:lineChart>
        <c:grouping val="standard"/>
        <c:varyColors val="0"/>
        <c:ser>
          <c:idx val="1"/>
          <c:order val="1"/>
          <c:tx>
            <c:strRef>
              <c:f>'图表6 在岸、离岸人民币及价差'!$B$1</c:f>
              <c:strCache>
                <c:ptCount val="1"/>
                <c:pt idx="0">
                  <c:v>美元兑人民币(CFETS)</c:v>
                </c:pt>
              </c:strCache>
            </c:strRef>
          </c:tx>
          <c:spPr>
            <a:ln w="28575" cap="rnd">
              <a:solidFill>
                <a:schemeClr val="accent5"/>
              </a:solidFill>
              <a:round/>
            </a:ln>
            <a:effectLst/>
          </c:spPr>
          <c:marker>
            <c:symbol val="none"/>
          </c:marker>
          <c:cat>
            <c:numRef>
              <c:f>'图表6 在岸、离岸人民币及价差'!$A$5:$A$10</c:f>
              <c:numCache>
                <c:formatCode>yyyy\-mm\-dd</c:formatCode>
                <c:ptCount val="6"/>
                <c:pt idx="0">
                  <c:v>45901</c:v>
                </c:pt>
                <c:pt idx="1">
                  <c:v>45902</c:v>
                </c:pt>
                <c:pt idx="2">
                  <c:v>45903</c:v>
                </c:pt>
                <c:pt idx="3">
                  <c:v>45904</c:v>
                </c:pt>
                <c:pt idx="4">
                  <c:v>45905</c:v>
                </c:pt>
                <c:pt idx="5">
                  <c:v>45908</c:v>
                </c:pt>
              </c:numCache>
            </c:numRef>
          </c:cat>
          <c:val>
            <c:numRef>
              <c:f>'图表6 在岸、离岸人民币及价差'!$B$5:$B$10</c:f>
              <c:numCache>
                <c:formatCode>0.0000</c:formatCode>
                <c:ptCount val="6"/>
                <c:pt idx="0">
                  <c:v>7.1332000000000004</c:v>
                </c:pt>
                <c:pt idx="1">
                  <c:v>7.1475999999999997</c:v>
                </c:pt>
                <c:pt idx="2">
                  <c:v>7.1467999999999998</c:v>
                </c:pt>
                <c:pt idx="3">
                  <c:v>7.1402000000000001</c:v>
                </c:pt>
                <c:pt idx="4">
                  <c:v>7.1378000000000004</c:v>
                </c:pt>
                <c:pt idx="5">
                  <c:v>7.1321000000000003</c:v>
                </c:pt>
              </c:numCache>
            </c:numRef>
          </c:val>
          <c:smooth val="0"/>
          <c:extLst>
            <c:ext xmlns:c16="http://schemas.microsoft.com/office/drawing/2014/chart" uri="{C3380CC4-5D6E-409C-BE32-E72D297353CC}">
              <c16:uniqueId val="{00000001-CC67-4336-8B53-72C674E8EDED}"/>
            </c:ext>
          </c:extLst>
        </c:ser>
        <c:ser>
          <c:idx val="2"/>
          <c:order val="2"/>
          <c:tx>
            <c:strRef>
              <c:f>'图表6 在岸、离岸人民币及价差'!$E$1</c:f>
              <c:strCache>
                <c:ptCount val="1"/>
                <c:pt idx="0">
                  <c:v>美元兑离岸人民币</c:v>
                </c:pt>
              </c:strCache>
            </c:strRef>
          </c:tx>
          <c:spPr>
            <a:ln w="28575" cap="rnd">
              <a:solidFill>
                <a:srgbClr val="C00000"/>
              </a:solidFill>
              <a:round/>
            </a:ln>
            <a:effectLst/>
          </c:spPr>
          <c:marker>
            <c:symbol val="none"/>
          </c:marker>
          <c:cat>
            <c:numRef>
              <c:f>'图表6 在岸、离岸人民币及价差'!$A$5:$A$10</c:f>
              <c:numCache>
                <c:formatCode>yyyy\-mm\-dd</c:formatCode>
                <c:ptCount val="6"/>
                <c:pt idx="0">
                  <c:v>45901</c:v>
                </c:pt>
                <c:pt idx="1">
                  <c:v>45902</c:v>
                </c:pt>
                <c:pt idx="2">
                  <c:v>45903</c:v>
                </c:pt>
                <c:pt idx="3">
                  <c:v>45904</c:v>
                </c:pt>
                <c:pt idx="4">
                  <c:v>45905</c:v>
                </c:pt>
                <c:pt idx="5">
                  <c:v>45908</c:v>
                </c:pt>
              </c:numCache>
            </c:numRef>
          </c:cat>
          <c:val>
            <c:numRef>
              <c:f>'图表6 在岸、离岸人民币及价差'!$E$5:$E$10</c:f>
              <c:numCache>
                <c:formatCode>0.0000</c:formatCode>
                <c:ptCount val="6"/>
                <c:pt idx="0">
                  <c:v>7.1351000000000004</c:v>
                </c:pt>
                <c:pt idx="1">
                  <c:v>7.1384999999999996</c:v>
                </c:pt>
                <c:pt idx="2">
                  <c:v>7.1397000000000004</c:v>
                </c:pt>
                <c:pt idx="3">
                  <c:v>7.1372</c:v>
                </c:pt>
                <c:pt idx="4">
                  <c:v>7.1262999999999996</c:v>
                </c:pt>
                <c:pt idx="5">
                  <c:v>7.1226000000000003</c:v>
                </c:pt>
              </c:numCache>
            </c:numRef>
          </c:val>
          <c:smooth val="0"/>
          <c:extLst>
            <c:ext xmlns:c16="http://schemas.microsoft.com/office/drawing/2014/chart" uri="{C3380CC4-5D6E-409C-BE32-E72D297353CC}">
              <c16:uniqueId val="{00000002-CC67-4336-8B53-72C674E8EDED}"/>
            </c:ext>
          </c:extLst>
        </c:ser>
        <c:dLbls>
          <c:showLegendKey val="0"/>
          <c:showVal val="0"/>
          <c:showCatName val="0"/>
          <c:showSerName val="0"/>
          <c:showPercent val="0"/>
          <c:showBubbleSize val="0"/>
        </c:dLbls>
        <c:marker val="1"/>
        <c:smooth val="0"/>
        <c:axId val="614802079"/>
        <c:axId val="614798335"/>
      </c:lineChart>
      <c:catAx>
        <c:axId val="614802079"/>
        <c:scaling>
          <c:orientation val="minMax"/>
        </c:scaling>
        <c:delete val="0"/>
        <c:axPos val="b"/>
        <c:numFmt formatCode="yyyy\-mm\-dd"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zh-CN"/>
          </a:p>
        </c:txPr>
        <c:crossAx val="614798335"/>
        <c:crosses val="autoZero"/>
        <c:auto val="0"/>
        <c:lblAlgn val="ctr"/>
        <c:lblOffset val="100"/>
        <c:noMultiLvlLbl val="0"/>
      </c:catAx>
      <c:valAx>
        <c:axId val="614798335"/>
        <c:scaling>
          <c:orientation val="minMax"/>
        </c:scaling>
        <c:delete val="0"/>
        <c:axPos val="l"/>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614802079"/>
        <c:crosses val="autoZero"/>
        <c:crossBetween val="between"/>
      </c:valAx>
      <c:valAx>
        <c:axId val="1620883743"/>
        <c:scaling>
          <c:orientation val="minMax"/>
        </c:scaling>
        <c:delete val="0"/>
        <c:axPos val="r"/>
        <c:numFmt formatCode="0.0000_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620896639"/>
        <c:crosses val="max"/>
        <c:crossBetween val="between"/>
      </c:valAx>
      <c:catAx>
        <c:axId val="1620896639"/>
        <c:scaling>
          <c:orientation val="minMax"/>
        </c:scaling>
        <c:delete val="1"/>
        <c:axPos val="b"/>
        <c:numFmt formatCode="yyyy\-mm\-dd" sourceLinked="1"/>
        <c:majorTickMark val="out"/>
        <c:minorTickMark val="none"/>
        <c:tickLblPos val="nextTo"/>
        <c:crossAx val="1620883743"/>
        <c:crosses val="autoZero"/>
        <c:auto val="0"/>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75FCB-1C12-4EDC-B047-37B6FAE06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MSI</cp:lastModifiedBy>
  <cp:revision>8</cp:revision>
  <cp:lastPrinted>2024-12-24T02:37:00Z</cp:lastPrinted>
  <dcterms:created xsi:type="dcterms:W3CDTF">2025-09-02T01:24:00Z</dcterms:created>
  <dcterms:modified xsi:type="dcterms:W3CDTF">2025-09-09T01:30:00Z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