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D6473B">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77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0A2CCEA4"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8663E7">
        <w:t>9</w:t>
      </w:r>
      <w:r>
        <w:rPr>
          <w:rFonts w:hint="eastAsia"/>
        </w:rPr>
        <w:t>月</w:t>
      </w:r>
      <w:r w:rsidR="001F3157">
        <w:t>12</w:t>
      </w:r>
      <w:r>
        <w:rPr>
          <w:rFonts w:hint="eastAsia"/>
        </w:rPr>
        <w:t>日）</w:t>
      </w:r>
      <w:r>
        <w:t>美元兑人民币中间价</w:t>
      </w:r>
      <w:r>
        <w:rPr>
          <w:rFonts w:ascii="宋体" w:hAnsi="宋体" w:cs="宋体"/>
        </w:rPr>
        <w:t>报</w:t>
      </w:r>
      <w:r w:rsidRPr="00076C89">
        <w:rPr>
          <w:rFonts w:ascii="宋体" w:hAnsi="宋体" w:cs="宋体"/>
        </w:rPr>
        <w:t>7.</w:t>
      </w:r>
      <w:r w:rsidR="00994228">
        <w:rPr>
          <w:rFonts w:ascii="宋体" w:hAnsi="宋体" w:cs="宋体"/>
        </w:rPr>
        <w:t>1</w:t>
      </w:r>
      <w:r w:rsidR="00C10509">
        <w:rPr>
          <w:rFonts w:ascii="宋体" w:hAnsi="宋体" w:cs="宋体"/>
        </w:rPr>
        <w:t>064</w:t>
      </w:r>
      <w:r>
        <w:rPr>
          <w:rFonts w:ascii="宋体" w:hAnsi="宋体" w:cs="宋体"/>
        </w:rPr>
        <w:t>，</w:t>
      </w:r>
      <w:r w:rsidR="00A70BD1">
        <w:rPr>
          <w:rFonts w:ascii="宋体" w:hAnsi="宋体" w:cs="宋体" w:hint="eastAsia"/>
        </w:rPr>
        <w:t>调</w:t>
      </w:r>
      <w:r w:rsidR="00D6473B">
        <w:rPr>
          <w:rFonts w:ascii="宋体" w:hAnsi="宋体" w:cs="宋体" w:hint="eastAsia"/>
        </w:rPr>
        <w:t>降</w:t>
      </w:r>
      <w:r w:rsidR="00C10509">
        <w:rPr>
          <w:rFonts w:ascii="宋体" w:hAnsi="宋体" w:cs="宋体" w:hint="eastAsia"/>
        </w:rPr>
        <w:t>1</w:t>
      </w:r>
      <w:r w:rsidR="00D6473B">
        <w:rPr>
          <w:rFonts w:ascii="宋体" w:hAnsi="宋体" w:cs="宋体"/>
        </w:rPr>
        <w:t>5</w:t>
      </w:r>
      <w:r>
        <w:rPr>
          <w:rFonts w:ascii="宋体" w:hAnsi="宋体" w:cs="宋体" w:hint="eastAsia"/>
        </w:rPr>
        <w:t>基点，上周累计调</w:t>
      </w:r>
      <w:r w:rsidR="00D6473B">
        <w:rPr>
          <w:rFonts w:ascii="宋体" w:hAnsi="宋体" w:cs="宋体" w:hint="eastAsia"/>
        </w:rPr>
        <w:t>降</w:t>
      </w:r>
      <w:r w:rsidR="00D6473B">
        <w:rPr>
          <w:rFonts w:ascii="宋体" w:hAnsi="宋体" w:cs="宋体"/>
        </w:rPr>
        <w:t>45</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w:t>
      </w:r>
      <w:r w:rsidR="00B7440D">
        <w:rPr>
          <w:rFonts w:ascii="宋体" w:hAnsi="宋体" w:cs="宋体"/>
        </w:rPr>
        <w:t>12</w:t>
      </w:r>
      <w:r>
        <w:rPr>
          <w:rFonts w:ascii="宋体" w:hAnsi="宋体" w:cs="宋体" w:hint="eastAsia"/>
        </w:rPr>
        <w:t>收</w:t>
      </w:r>
      <w:r w:rsidR="00B7440D">
        <w:rPr>
          <w:rFonts w:ascii="宋体" w:hAnsi="宋体" w:cs="宋体" w:hint="eastAsia"/>
        </w:rPr>
        <w:t>跌</w:t>
      </w:r>
      <w:r w:rsidR="00C10509">
        <w:rPr>
          <w:rFonts w:ascii="宋体" w:hAnsi="宋体" w:cs="宋体" w:hint="eastAsia"/>
        </w:rPr>
        <w:t>0</w:t>
      </w:r>
      <w:r w:rsidR="00C10509">
        <w:rPr>
          <w:rFonts w:ascii="宋体" w:hAnsi="宋体" w:cs="宋体"/>
        </w:rPr>
        <w:t>.1</w:t>
      </w:r>
      <w:r w:rsidR="00B7440D">
        <w:rPr>
          <w:rFonts w:ascii="宋体" w:hAnsi="宋体" w:cs="宋体"/>
        </w:rPr>
        <w:t>2</w:t>
      </w:r>
      <w:r>
        <w:rPr>
          <w:rFonts w:ascii="宋体" w:hAnsi="宋体" w:cs="宋体" w:hint="eastAsia"/>
        </w:rPr>
        <w:t>%。新交所美元兑离岸人民币期货主力合约</w:t>
      </w:r>
      <w:r>
        <w:rPr>
          <w:rFonts w:ascii="宋体" w:hAnsi="宋体" w:cs="宋体"/>
        </w:rPr>
        <w:t>UC</w:t>
      </w:r>
      <w:r w:rsidR="00B7440D">
        <w:rPr>
          <w:rFonts w:ascii="宋体" w:hAnsi="宋体" w:cs="宋体"/>
        </w:rPr>
        <w:t>Z</w:t>
      </w:r>
      <w:r>
        <w:rPr>
          <w:rFonts w:ascii="宋体" w:hAnsi="宋体" w:cs="宋体"/>
        </w:rPr>
        <w:t>2</w:t>
      </w:r>
      <w:r>
        <w:rPr>
          <w:rFonts w:ascii="宋体" w:hAnsi="宋体" w:cs="宋体" w:hint="eastAsia"/>
        </w:rPr>
        <w:t>5收</w:t>
      </w:r>
      <w:r w:rsidR="00B7440D">
        <w:rPr>
          <w:rFonts w:ascii="宋体" w:hAnsi="宋体" w:cs="宋体" w:hint="eastAsia"/>
        </w:rPr>
        <w:t>跌0</w:t>
      </w:r>
      <w:r w:rsidR="00B7440D">
        <w:rPr>
          <w:rFonts w:ascii="宋体" w:hAnsi="宋体" w:cs="宋体"/>
        </w:rPr>
        <w:t>.1</w:t>
      </w:r>
      <w:r w:rsidR="007844B4">
        <w:rPr>
          <w:rFonts w:ascii="宋体" w:hAnsi="宋体" w:cs="宋体"/>
        </w:rPr>
        <w:t>%</w:t>
      </w:r>
      <w:r>
        <w:rPr>
          <w:rFonts w:ascii="宋体" w:hAnsi="宋体" w:cs="宋体" w:hint="eastAsia"/>
        </w:rPr>
        <w:t>。</w:t>
      </w:r>
    </w:p>
    <w:p w14:paraId="2A8620FC" w14:textId="22366642"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B7440D">
        <w:t>224</w:t>
      </w:r>
      <w:r>
        <w:t>，</w:t>
      </w:r>
      <w:r>
        <w:rPr>
          <w:rFonts w:hint="eastAsia"/>
        </w:rPr>
        <w:t>美元兑离岸人民币收报</w:t>
      </w:r>
      <w:r>
        <w:rPr>
          <w:rFonts w:hint="eastAsia"/>
        </w:rPr>
        <w:t>7</w:t>
      </w:r>
      <w:r>
        <w:t>.</w:t>
      </w:r>
      <w:r w:rsidR="001938CF">
        <w:t>1</w:t>
      </w:r>
      <w:r w:rsidR="003265E6">
        <w:t>2</w:t>
      </w:r>
      <w:r w:rsidR="00B7440D">
        <w:t>37</w:t>
      </w:r>
      <w:r>
        <w:rPr>
          <w:rFonts w:hint="eastAsia"/>
        </w:rPr>
        <w:t>，在当周</w:t>
      </w:r>
      <w:r>
        <w:t>分别</w:t>
      </w:r>
      <w:r w:rsidR="00B7440D">
        <w:rPr>
          <w:rFonts w:hint="eastAsia"/>
        </w:rPr>
        <w:t>下</w:t>
      </w:r>
      <w:r w:rsidR="00F76960">
        <w:rPr>
          <w:rFonts w:hint="eastAsia"/>
        </w:rPr>
        <w:t>调</w:t>
      </w:r>
      <w:r w:rsidR="00B7440D">
        <w:rPr>
          <w:rFonts w:hint="eastAsia"/>
        </w:rPr>
        <w:t>1</w:t>
      </w:r>
      <w:r w:rsidR="00B7440D">
        <w:t>54</w:t>
      </w:r>
      <w:r>
        <w:t>和</w:t>
      </w:r>
      <w:r w:rsidR="00B7440D">
        <w:rPr>
          <w:rFonts w:hint="eastAsia"/>
        </w:rPr>
        <w:t>下</w:t>
      </w:r>
      <w:r w:rsidR="003576ED">
        <w:rPr>
          <w:rFonts w:hint="eastAsia"/>
        </w:rPr>
        <w:t>调</w:t>
      </w:r>
      <w:r w:rsidR="003A4CF3">
        <w:t>2</w:t>
      </w:r>
      <w:r w:rsidR="00B7440D">
        <w:t>6</w:t>
      </w:r>
      <w:r>
        <w:rPr>
          <w:rFonts w:hint="eastAsia"/>
        </w:rPr>
        <w:t>个基点</w:t>
      </w:r>
      <w:r>
        <w:t>。欧元兑人民币报</w:t>
      </w:r>
      <w:r w:rsidR="00F64EF4">
        <w:t>8</w:t>
      </w:r>
      <w:r w:rsidR="003576ED">
        <w:t>.</w:t>
      </w:r>
      <w:r w:rsidR="003265E6">
        <w:t>3</w:t>
      </w:r>
      <w:r w:rsidR="00B7440D">
        <w:t>511</w:t>
      </w:r>
      <w:r>
        <w:t>、英镑兑人民币报</w:t>
      </w:r>
      <w:r w:rsidR="00C66DB1">
        <w:t>9</w:t>
      </w:r>
      <w:r w:rsidR="001F0839">
        <w:t>.</w:t>
      </w:r>
      <w:r w:rsidR="003265E6">
        <w:t>6</w:t>
      </w:r>
      <w:r w:rsidR="00B7440D">
        <w:t>436</w:t>
      </w:r>
      <w:r w:rsidR="00787BFA">
        <w:rPr>
          <w:rFonts w:hint="eastAsia"/>
        </w:rPr>
        <w:t>、</w:t>
      </w:r>
      <w:r w:rsidR="000959E1">
        <w:rPr>
          <w:rFonts w:hint="eastAsia"/>
        </w:rPr>
        <w:t>日元</w:t>
      </w:r>
      <w:r>
        <w:t>兑</w:t>
      </w:r>
      <w:r w:rsidR="000959E1">
        <w:rPr>
          <w:rFonts w:hint="eastAsia"/>
        </w:rPr>
        <w:t>人民币</w:t>
      </w:r>
      <w:r>
        <w:t>报</w:t>
      </w:r>
      <w:r w:rsidR="001938CF">
        <w:t>4</w:t>
      </w:r>
      <w:r w:rsidR="00787BFA">
        <w:t>.8</w:t>
      </w:r>
      <w:r w:rsidR="00B7440D">
        <w:t>195</w:t>
      </w:r>
      <w:r w:rsidR="000959E1">
        <w:rPr>
          <w:rFonts w:hint="eastAsia"/>
        </w:rPr>
        <w:t>、</w:t>
      </w:r>
      <w:r>
        <w:t>澳元兑人民币报</w:t>
      </w:r>
      <w:r>
        <w:t>4</w:t>
      </w:r>
      <w:r w:rsidR="006B50D4">
        <w:t>.</w:t>
      </w:r>
      <w:r w:rsidR="00B7440D">
        <w:t>7348</w:t>
      </w:r>
      <w:r>
        <w:rPr>
          <w:rFonts w:hint="eastAsia"/>
        </w:rPr>
        <w:t>，在当</w:t>
      </w:r>
      <w:r>
        <w:t>周分别</w:t>
      </w:r>
      <w:r w:rsidR="00B7440D">
        <w:rPr>
          <w:rFonts w:hint="eastAsia"/>
        </w:rPr>
        <w:t>降</w:t>
      </w:r>
      <w:r w:rsidR="00B7440D">
        <w:rPr>
          <w:rFonts w:hint="eastAsia"/>
        </w:rPr>
        <w:t>9</w:t>
      </w:r>
      <w:r w:rsidR="00B7440D">
        <w:t>8</w:t>
      </w:r>
      <w:r>
        <w:t>、</w:t>
      </w:r>
      <w:r w:rsidR="003A4CF3">
        <w:rPr>
          <w:rFonts w:hint="eastAsia"/>
        </w:rPr>
        <w:t>升</w:t>
      </w:r>
      <w:r w:rsidR="00B7440D">
        <w:t>238</w:t>
      </w:r>
      <w:r>
        <w:rPr>
          <w:rFonts w:hint="eastAsia"/>
        </w:rPr>
        <w:t>、</w:t>
      </w:r>
      <w:r w:rsidR="00A4147F">
        <w:rPr>
          <w:rFonts w:hint="eastAsia"/>
        </w:rPr>
        <w:t>降</w:t>
      </w:r>
      <w:r w:rsidR="00B7440D">
        <w:t>49</w:t>
      </w:r>
      <w:r>
        <w:t>和</w:t>
      </w:r>
      <w:r w:rsidR="00B7440D">
        <w:rPr>
          <w:rFonts w:hint="eastAsia"/>
        </w:rPr>
        <w:t>升</w:t>
      </w:r>
      <w:r w:rsidR="00B7440D">
        <w:rPr>
          <w:rFonts w:hint="eastAsia"/>
        </w:rPr>
        <w:t>7</w:t>
      </w:r>
      <w:r w:rsidR="00B7440D">
        <w:t>71</w:t>
      </w:r>
      <w:r>
        <w:rPr>
          <w:rFonts w:hint="eastAsia"/>
        </w:rPr>
        <w:t>个基点</w:t>
      </w:r>
      <w:r>
        <w:t>。</w:t>
      </w:r>
    </w:p>
    <w:p w14:paraId="76AC2601" w14:textId="24CE7023" w:rsidR="00CA7296" w:rsidRDefault="00046EC5" w:rsidP="00CA7296">
      <w:pPr>
        <w:spacing w:line="312" w:lineRule="auto"/>
        <w:ind w:firstLine="420"/>
      </w:pPr>
      <w:r>
        <w:rPr>
          <w:rFonts w:hint="eastAsia"/>
        </w:rPr>
        <w:t>上周</w:t>
      </w:r>
      <w:r w:rsidR="00763B4A" w:rsidRPr="00763B4A">
        <w:rPr>
          <w:rFonts w:hint="eastAsia"/>
        </w:rPr>
        <w:t>央行公开市场累计进行了</w:t>
      </w:r>
      <w:r w:rsidR="0050173E" w:rsidRPr="0050173E">
        <w:rPr>
          <w:rFonts w:hint="eastAsia"/>
        </w:rPr>
        <w:t>12654</w:t>
      </w:r>
      <w:r w:rsidR="0050173E" w:rsidRPr="0050173E">
        <w:rPr>
          <w:rFonts w:hint="eastAsia"/>
        </w:rPr>
        <w:t>亿元逆回购操作，</w:t>
      </w:r>
      <w:r w:rsidR="0050173E">
        <w:rPr>
          <w:rFonts w:hint="eastAsia"/>
        </w:rPr>
        <w:t>当</w:t>
      </w:r>
      <w:r w:rsidR="0050173E" w:rsidRPr="0050173E">
        <w:rPr>
          <w:rFonts w:hint="eastAsia"/>
        </w:rPr>
        <w:t>周央行公开市场有</w:t>
      </w:r>
      <w:r w:rsidR="0050173E" w:rsidRPr="0050173E">
        <w:rPr>
          <w:rFonts w:hint="eastAsia"/>
        </w:rPr>
        <w:t>10684</w:t>
      </w:r>
      <w:r w:rsidR="0050173E" w:rsidRPr="0050173E">
        <w:rPr>
          <w:rFonts w:hint="eastAsia"/>
        </w:rPr>
        <w:t>亿元逆回购到期，因此净投放</w:t>
      </w:r>
      <w:r w:rsidR="0050173E" w:rsidRPr="0050173E">
        <w:rPr>
          <w:rFonts w:hint="eastAsia"/>
        </w:rPr>
        <w:t>1961</w:t>
      </w:r>
      <w:r w:rsidR="0050173E" w:rsidRPr="0050173E">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422D95DD" w:rsidR="003265E6"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F44D25" w:rsidRPr="00483D77">
        <w:rPr>
          <w:rFonts w:ascii="宋体" w:hAnsi="宋体" w:hint="eastAsia"/>
        </w:rPr>
        <w:t>中国商务部国际贸易谈判代表兼副部长李成钢</w:t>
      </w:r>
      <w:r w:rsidR="00F44D25" w:rsidRPr="00483D77">
        <w:rPr>
          <w:rFonts w:ascii="宋体" w:hAnsi="宋体"/>
        </w:rPr>
        <w:t>15日说，关于TikTok问题，中国一贯反对将科技和经贸问题政治化、工具化、武器化，绝不会以牺牲原则立场、企业利益和国际公平正义为代价，寻求达成任何协议。中方将坚决维护国家利益和中资企业合法权益，依法依规开展技术出口审批。同时，中国政府充分尊重企业意愿，支持企业在符合市场原则基础上，开展平等商业谈判。</w:t>
      </w:r>
    </w:p>
    <w:p w14:paraId="3316BE34" w14:textId="74D0F42C" w:rsidR="00785749" w:rsidRPr="0011314B" w:rsidRDefault="00CA7296" w:rsidP="0011314B">
      <w:pPr>
        <w:spacing w:line="312" w:lineRule="auto"/>
        <w:ind w:firstLine="420"/>
        <w:rPr>
          <w:rFonts w:ascii="宋体" w:hAnsi="宋体"/>
        </w:rPr>
      </w:pPr>
      <w:r w:rsidRPr="0086476E">
        <w:rPr>
          <w:rFonts w:ascii="宋体" w:hAnsi="宋体" w:hint="eastAsia"/>
        </w:rPr>
        <w:t>2、</w:t>
      </w:r>
      <w:r w:rsidR="00F44D25" w:rsidRPr="009B165B">
        <w:rPr>
          <w:rFonts w:ascii="宋体" w:hAnsi="宋体" w:hint="eastAsia"/>
        </w:rPr>
        <w:t>财政部部长蓝佛安在全国人大常委会作报告指出，下一步用好用足更加积极的财政政策，全力支持稳就业稳外贸，加快培育壮大发展新动能，进一步保障和改善民生，持续用力防范化解重点领域风险，不断提升财政治理效能和水平，严格落实过紧日子要求。</w:t>
      </w:r>
    </w:p>
    <w:p w14:paraId="63094CBE" w14:textId="4CDE02FD" w:rsidR="00BC01B8" w:rsidRPr="00AC09FC" w:rsidRDefault="00BC01B8" w:rsidP="0086476E">
      <w:pPr>
        <w:spacing w:line="312" w:lineRule="auto"/>
        <w:ind w:firstLine="420"/>
        <w:rPr>
          <w:rFonts w:ascii="宋体" w:hAnsi="宋体"/>
        </w:rPr>
      </w:pPr>
      <w:r w:rsidRPr="00CA1C69">
        <w:rPr>
          <w:rFonts w:ascii="宋体" w:hAnsi="宋体"/>
        </w:rPr>
        <w:t>3</w:t>
      </w:r>
      <w:r w:rsidRPr="00CA1C69">
        <w:rPr>
          <w:rFonts w:ascii="宋体" w:hAnsi="宋体" w:hint="eastAsia"/>
        </w:rPr>
        <w:t>、</w:t>
      </w:r>
      <w:bookmarkStart w:id="0" w:name="_GoBack"/>
      <w:r w:rsidR="00F44D25" w:rsidRPr="00A67726">
        <w:rPr>
          <w:rFonts w:ascii="宋体" w:hAnsi="宋体" w:hint="eastAsia"/>
        </w:rPr>
        <w:t>摩根士丹利最新预测显示，受通胀和就业数据拖累，美联储有望从今年</w:t>
      </w:r>
      <w:r w:rsidR="00F44D25" w:rsidRPr="00A67726">
        <w:rPr>
          <w:rFonts w:ascii="宋体" w:hAnsi="宋体"/>
        </w:rPr>
        <w:t>9月起实施连续四次25个基点的降息，累计100个基点，以接近中性利率。随着劳动力市场恶化，美联储仍可于2026年4月和7月继续降息。</w:t>
      </w:r>
      <w:bookmarkEnd w:id="0"/>
    </w:p>
    <w:p w14:paraId="630B9579" w14:textId="66DD3F81" w:rsidR="00BC01B8" w:rsidRPr="00F44D25" w:rsidRDefault="00BC01B8" w:rsidP="001F0839">
      <w:pPr>
        <w:spacing w:line="312" w:lineRule="auto"/>
        <w:ind w:firstLine="420"/>
        <w:rPr>
          <w:rFonts w:ascii="宋体" w:hAnsi="宋体"/>
        </w:rPr>
      </w:pPr>
      <w:r w:rsidRPr="0086476E">
        <w:rPr>
          <w:rFonts w:ascii="宋体" w:hAnsi="宋体" w:hint="eastAsia"/>
        </w:rPr>
        <w:t>4、</w:t>
      </w:r>
      <w:r w:rsidR="00F44D25" w:rsidRPr="00037254">
        <w:rPr>
          <w:rFonts w:ascii="宋体" w:hAnsi="宋体" w:hint="eastAsia"/>
        </w:rPr>
        <w:t>欧洲央行连续第二次会议按兵不动，认为通胀压力已得到有效遏制，且欧元区经济保持稳健态势。欧洲央行行长拉加德称，欧元区降通胀过程现已结束，贸易不确定性已明显</w:t>
      </w:r>
      <w:r w:rsidR="00F44D25" w:rsidRPr="00037254">
        <w:rPr>
          <w:rFonts w:ascii="宋体" w:hAnsi="宋体" w:hint="eastAsia"/>
        </w:rPr>
        <w:lastRenderedPageBreak/>
        <w:t>减弱。交易员削减对该行宽松政策的押注，暗示降息周期已经结束。</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317172AF" w:rsidR="00CA7296" w:rsidRDefault="00D6473B"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849619D" wp14:editId="23754DBD">
            <wp:extent cx="3076575" cy="177370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3785" cy="1789394"/>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61232908" w:rsidR="00CA7296" w:rsidRDefault="00B7440D" w:rsidP="00CA7296">
      <w:pPr>
        <w:spacing w:line="360" w:lineRule="auto"/>
        <w:jc w:val="center"/>
        <w:rPr>
          <w:rFonts w:ascii="宋体" w:hAnsi="宋体"/>
          <w:sz w:val="18"/>
          <w:szCs w:val="18"/>
        </w:rPr>
      </w:pPr>
      <w:r>
        <w:rPr>
          <w:noProof/>
        </w:rPr>
        <w:drawing>
          <wp:inline distT="0" distB="0" distL="0" distR="0" wp14:anchorId="1CEA121E" wp14:editId="5558A590">
            <wp:extent cx="5048250" cy="2871169"/>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50239" cy="2872300"/>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4D1C65CD" w:rsidR="00CA7296" w:rsidRDefault="00D6473B" w:rsidP="00CA7296">
      <w:pPr>
        <w:spacing w:line="360" w:lineRule="auto"/>
        <w:jc w:val="center"/>
        <w:rPr>
          <w:rFonts w:ascii="宋体" w:hAnsi="宋体"/>
          <w:sz w:val="18"/>
          <w:szCs w:val="18"/>
        </w:rPr>
      </w:pPr>
      <w:r>
        <w:rPr>
          <w:noProof/>
        </w:rPr>
        <w:drawing>
          <wp:inline distT="0" distB="0" distL="0" distR="0" wp14:anchorId="557A5106" wp14:editId="1F2E44AF">
            <wp:extent cx="3819525" cy="215920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47028" cy="2174748"/>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10498FE2" w:rsidR="00CA7296" w:rsidRDefault="00B7440D" w:rsidP="00CA7296">
      <w:pPr>
        <w:jc w:val="center"/>
      </w:pPr>
      <w:r>
        <w:rPr>
          <w:noProof/>
        </w:rPr>
        <w:drawing>
          <wp:inline distT="0" distB="0" distL="0" distR="0" wp14:anchorId="71219A9B" wp14:editId="04834CCF">
            <wp:extent cx="5000625" cy="2829032"/>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1868" cy="2829735"/>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0A8EE07" w:rsidR="00CA7296" w:rsidRDefault="00D6473B" w:rsidP="00CA7296">
      <w:pPr>
        <w:jc w:val="center"/>
      </w:pPr>
      <w:r>
        <w:rPr>
          <w:noProof/>
        </w:rPr>
        <w:drawing>
          <wp:inline distT="0" distB="0" distL="0" distR="0" wp14:anchorId="2BC054BE" wp14:editId="4CF892D6">
            <wp:extent cx="3552825" cy="212266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4313" cy="2129526"/>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6A496179" w:rsidR="00CA7296" w:rsidRDefault="00BF15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C2D60E3" wp14:editId="5EAAF37B">
            <wp:extent cx="4051005" cy="2360295"/>
            <wp:effectExtent l="0" t="0" r="6985" b="1905"/>
            <wp:docPr id="7" name="图表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78B3AA48" w14:textId="35DCA105" w:rsidR="00351614" w:rsidRPr="00194A13" w:rsidRDefault="0048255E" w:rsidP="00351614">
      <w:pPr>
        <w:spacing w:line="312" w:lineRule="auto"/>
        <w:ind w:firstLine="420"/>
        <w:rPr>
          <w:rFonts w:ascii="宋体" w:hAnsi="宋体"/>
        </w:rPr>
      </w:pPr>
      <w:r w:rsidRPr="000E60E7">
        <w:rPr>
          <w:rFonts w:ascii="宋体" w:hAnsi="宋体" w:cs="宋体"/>
        </w:rPr>
        <w:t>最新数据显示，</w:t>
      </w:r>
      <w:r w:rsidR="00D6473B">
        <w:rPr>
          <w:rFonts w:ascii="宋体" w:hAnsi="宋体" w:cs="宋体" w:hint="eastAsia"/>
          <w:kern w:val="0"/>
        </w:rPr>
        <w:t>美国8月非农就业仅增长2.2万人，远不及市场预期的7.5万人。6月非农就业数据由此前的增加2.7万人大幅下修至减少1.3万人，为自2020年以来</w:t>
      </w:r>
      <w:r w:rsidR="00D6473B">
        <w:rPr>
          <w:rFonts w:ascii="宋体" w:hAnsi="宋体" w:cs="宋体" w:hint="eastAsia"/>
          <w:kern w:val="0"/>
        </w:rPr>
        <w:t>首次出现月度就业人数萎缩，数据进一步证明劳动力市场状况正在走软</w:t>
      </w:r>
      <w:r w:rsidR="005E4D72" w:rsidRPr="005E4D72">
        <w:rPr>
          <w:rFonts w:ascii="宋体" w:hAnsi="宋体" w:cs="宋体" w:hint="eastAsia"/>
        </w:rPr>
        <w:t>。</w:t>
      </w:r>
      <w:r w:rsidR="00D6473B">
        <w:rPr>
          <w:rFonts w:ascii="宋体" w:hAnsi="宋体" w:cs="宋体" w:hint="eastAsia"/>
          <w:kern w:val="0"/>
        </w:rPr>
        <w:t>多位美联储官员近期表示，就业市场疲软仍是他们支持未来降息的主要理由，这进一步提升市场对本月降息的预期。据FedWatch工具显示，目前市场完全消化美联储本月降息。</w:t>
      </w:r>
    </w:p>
    <w:p w14:paraId="455C826C" w14:textId="4D0B006B" w:rsidR="00BF7D0E" w:rsidRDefault="00A867D6" w:rsidP="009807E3">
      <w:pPr>
        <w:spacing w:line="312" w:lineRule="auto"/>
        <w:ind w:firstLine="420"/>
        <w:rPr>
          <w:rFonts w:ascii="宋体" w:hAnsi="宋体"/>
        </w:rPr>
      </w:pPr>
      <w:r w:rsidRPr="00194A13">
        <w:rPr>
          <w:rFonts w:ascii="宋体" w:hAnsi="宋体"/>
        </w:rPr>
        <w:t>国内端，</w:t>
      </w:r>
      <w:r w:rsidR="005E4D72">
        <w:rPr>
          <w:rFonts w:ascii="宋体" w:hAnsi="宋体" w:hint="eastAsia"/>
        </w:rPr>
        <w:t>8</w:t>
      </w:r>
      <w:r w:rsidR="003265E6" w:rsidRPr="003265E6">
        <w:rPr>
          <w:rFonts w:ascii="宋体" w:hAnsi="宋体" w:hint="eastAsia"/>
        </w:rPr>
        <w:t>月我国官方制造业PMI、非制造业PMI和综合PMI分别为49.4%、50.3%和50.5%，环比升0.1、0.2和0.3个百分点，经济景气水平总体继续保持扩张。其中新订单及新出口订单降幅均较上月收窄0.1个百分点，内外需</w:t>
      </w:r>
      <w:r w:rsidR="005E4D72">
        <w:rPr>
          <w:rFonts w:ascii="宋体" w:hAnsi="宋体" w:hint="eastAsia"/>
        </w:rPr>
        <w:t>小幅</w:t>
      </w:r>
      <w:r w:rsidR="003265E6" w:rsidRPr="003265E6">
        <w:rPr>
          <w:rFonts w:ascii="宋体" w:hAnsi="宋体" w:hint="eastAsia"/>
        </w:rPr>
        <w:t>改善</w:t>
      </w:r>
      <w:r w:rsidR="005E4D72">
        <w:rPr>
          <w:rFonts w:ascii="宋体" w:hAnsi="宋体" w:hint="eastAsia"/>
        </w:rPr>
        <w:t>但仍处于收缩区间</w:t>
      </w:r>
      <w:r w:rsidR="003265E6" w:rsidRPr="003265E6">
        <w:rPr>
          <w:rFonts w:ascii="宋体" w:hAnsi="宋体" w:hint="eastAsia"/>
        </w:rPr>
        <w:t>。</w:t>
      </w:r>
      <w:r w:rsidR="005E4D72">
        <w:rPr>
          <w:rFonts w:ascii="宋体" w:hAnsi="宋体" w:hint="eastAsia"/>
        </w:rPr>
        <w:t>此外，8月我国</w:t>
      </w:r>
      <w:r w:rsidR="009807E3">
        <w:rPr>
          <w:rFonts w:ascii="宋体" w:hAnsi="宋体" w:hint="eastAsia"/>
        </w:rPr>
        <w:t>工业生产</w:t>
      </w:r>
      <w:r w:rsidR="009807E3">
        <w:rPr>
          <w:rFonts w:asciiTheme="minorEastAsia" w:hAnsiTheme="minorEastAsia" w:cs="宋体" w:hint="eastAsia"/>
          <w:color w:val="000000" w:themeColor="text1"/>
        </w:rPr>
        <w:t>维持稳中向上趋势</w:t>
      </w:r>
      <w:r w:rsidR="009807E3">
        <w:rPr>
          <w:rFonts w:asciiTheme="minorEastAsia" w:hAnsiTheme="minorEastAsia" w:cs="宋体" w:hint="eastAsia"/>
          <w:color w:val="000000" w:themeColor="text1"/>
        </w:rPr>
        <w:t>，</w:t>
      </w:r>
      <w:r w:rsidR="009807E3" w:rsidRPr="00D43646">
        <w:rPr>
          <w:rFonts w:asciiTheme="minorEastAsia" w:hAnsiTheme="minorEastAsia" w:cs="宋体" w:hint="eastAsia"/>
          <w:color w:val="000000" w:themeColor="text1"/>
        </w:rPr>
        <w:t>新质生产力行业持续高于整体增加值</w:t>
      </w:r>
      <w:r w:rsidR="009807E3">
        <w:rPr>
          <w:rFonts w:asciiTheme="minorEastAsia" w:hAnsiTheme="minorEastAsia" w:cs="宋体" w:hint="eastAsia"/>
          <w:color w:val="000000" w:themeColor="text1"/>
        </w:rPr>
        <w:t>，</w:t>
      </w:r>
      <w:r w:rsidR="009807E3" w:rsidRPr="00A809BE">
        <w:rPr>
          <w:rFonts w:asciiTheme="minorEastAsia" w:hAnsiTheme="minorEastAsia" w:cs="Helvetica" w:hint="eastAsia"/>
          <w:color w:val="000000" w:themeColor="text1"/>
          <w:shd w:val="clear" w:color="auto" w:fill="FFFFFF"/>
        </w:rPr>
        <w:t>服务零售</w:t>
      </w:r>
      <w:r w:rsidR="009807E3">
        <w:rPr>
          <w:rFonts w:asciiTheme="minorEastAsia" w:hAnsiTheme="minorEastAsia" w:cs="Helvetica" w:hint="eastAsia"/>
          <w:color w:val="000000" w:themeColor="text1"/>
          <w:shd w:val="clear" w:color="auto" w:fill="FFFFFF"/>
        </w:rPr>
        <w:t>亦</w:t>
      </w:r>
      <w:r w:rsidR="009807E3" w:rsidRPr="00A809BE">
        <w:rPr>
          <w:rFonts w:asciiTheme="minorEastAsia" w:hAnsiTheme="minorEastAsia" w:cs="Helvetica" w:hint="eastAsia"/>
          <w:color w:val="000000" w:themeColor="text1"/>
          <w:shd w:val="clear" w:color="auto" w:fill="FFFFFF"/>
        </w:rPr>
        <w:t>持续带动整体消费</w:t>
      </w:r>
      <w:r w:rsidR="009807E3">
        <w:rPr>
          <w:rFonts w:asciiTheme="minorEastAsia" w:hAnsiTheme="minorEastAsia" w:cs="Helvetica" w:hint="eastAsia"/>
          <w:color w:val="000000" w:themeColor="text1"/>
          <w:shd w:val="clear" w:color="auto" w:fill="FFFFFF"/>
        </w:rPr>
        <w:t>，市场活力逐步市场，反映</w:t>
      </w:r>
      <w:r w:rsidR="003265E6" w:rsidRPr="003265E6">
        <w:rPr>
          <w:rFonts w:ascii="宋体" w:hAnsi="宋体" w:hint="eastAsia"/>
        </w:rPr>
        <w:t>经济复苏</w:t>
      </w:r>
      <w:r w:rsidR="005E4D72">
        <w:rPr>
          <w:rFonts w:ascii="宋体" w:hAnsi="宋体" w:hint="eastAsia"/>
        </w:rPr>
        <w:t>趋势依旧稳固</w:t>
      </w:r>
      <w:r w:rsidR="003265E6" w:rsidRPr="003265E6">
        <w:rPr>
          <w:rFonts w:ascii="宋体" w:hAnsi="宋体" w:hint="eastAsia"/>
        </w:rPr>
        <w:t>，人民币汇率</w:t>
      </w:r>
      <w:r w:rsidR="005E4D72">
        <w:rPr>
          <w:rFonts w:ascii="宋体" w:hAnsi="宋体" w:hint="eastAsia"/>
        </w:rPr>
        <w:t>在美联储降息的背景下料</w:t>
      </w:r>
      <w:r w:rsidR="003265E6" w:rsidRPr="003265E6">
        <w:rPr>
          <w:rFonts w:ascii="宋体" w:hAnsi="宋体" w:hint="eastAsia"/>
        </w:rPr>
        <w:t>稳</w:t>
      </w:r>
      <w:r w:rsidR="005E4D72">
        <w:rPr>
          <w:rFonts w:ascii="宋体" w:hAnsi="宋体" w:hint="eastAsia"/>
        </w:rPr>
        <w:t>中向上</w:t>
      </w:r>
      <w:r w:rsidR="003265E6" w:rsidRPr="003265E6">
        <w:rPr>
          <w:rFonts w:ascii="宋体" w:hAnsi="宋体" w:hint="eastAsia"/>
        </w:rPr>
        <w:t>。</w:t>
      </w:r>
    </w:p>
    <w:p w14:paraId="16FCB4C1" w14:textId="77AF1232" w:rsidR="00F954EA"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CC713" w14:textId="77777777" w:rsidR="00021789" w:rsidRDefault="00021789" w:rsidP="00127060">
      <w:r>
        <w:separator/>
      </w:r>
    </w:p>
  </w:endnote>
  <w:endnote w:type="continuationSeparator" w:id="0">
    <w:p w14:paraId="2DAC3E19" w14:textId="77777777" w:rsidR="00021789" w:rsidRDefault="00021789"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B99E" w14:textId="77777777" w:rsidR="00021789" w:rsidRDefault="00021789" w:rsidP="00127060">
      <w:r>
        <w:separator/>
      </w:r>
    </w:p>
  </w:footnote>
  <w:footnote w:type="continuationSeparator" w:id="0">
    <w:p w14:paraId="3458B6CD" w14:textId="77777777" w:rsidR="00021789" w:rsidRDefault="00021789"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447DD"/>
    <w:rsid w:val="00046EC5"/>
    <w:rsid w:val="0005052B"/>
    <w:rsid w:val="00052952"/>
    <w:rsid w:val="000540B3"/>
    <w:rsid w:val="00054D2E"/>
    <w:rsid w:val="00055C18"/>
    <w:rsid w:val="0005615C"/>
    <w:rsid w:val="00056C00"/>
    <w:rsid w:val="00061E07"/>
    <w:rsid w:val="000649D8"/>
    <w:rsid w:val="000658CB"/>
    <w:rsid w:val="00066060"/>
    <w:rsid w:val="00072AF7"/>
    <w:rsid w:val="0007552B"/>
    <w:rsid w:val="000902C1"/>
    <w:rsid w:val="00094A69"/>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A0B"/>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69F4"/>
    <w:rsid w:val="001938CF"/>
    <w:rsid w:val="00194A13"/>
    <w:rsid w:val="00195C4D"/>
    <w:rsid w:val="00197E1F"/>
    <w:rsid w:val="00197E3E"/>
    <w:rsid w:val="001A59DE"/>
    <w:rsid w:val="001B6505"/>
    <w:rsid w:val="001C598E"/>
    <w:rsid w:val="001C7A4C"/>
    <w:rsid w:val="001C7CB7"/>
    <w:rsid w:val="001D5BF6"/>
    <w:rsid w:val="001F0839"/>
    <w:rsid w:val="001F0B8B"/>
    <w:rsid w:val="001F3157"/>
    <w:rsid w:val="001F4E90"/>
    <w:rsid w:val="001F6D4B"/>
    <w:rsid w:val="0020319F"/>
    <w:rsid w:val="002041D1"/>
    <w:rsid w:val="0020501F"/>
    <w:rsid w:val="0020541A"/>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7436"/>
    <w:rsid w:val="0026035D"/>
    <w:rsid w:val="002617AF"/>
    <w:rsid w:val="00263BE6"/>
    <w:rsid w:val="00266134"/>
    <w:rsid w:val="0027103D"/>
    <w:rsid w:val="00273827"/>
    <w:rsid w:val="00276F3C"/>
    <w:rsid w:val="002779DB"/>
    <w:rsid w:val="0028510B"/>
    <w:rsid w:val="0028572C"/>
    <w:rsid w:val="00290F42"/>
    <w:rsid w:val="002A359F"/>
    <w:rsid w:val="002A79EF"/>
    <w:rsid w:val="002C346F"/>
    <w:rsid w:val="002C4410"/>
    <w:rsid w:val="002C6293"/>
    <w:rsid w:val="002C7B4F"/>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2306"/>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131F"/>
    <w:rsid w:val="004C243D"/>
    <w:rsid w:val="004D283C"/>
    <w:rsid w:val="004D75A9"/>
    <w:rsid w:val="004E10AA"/>
    <w:rsid w:val="004E22E6"/>
    <w:rsid w:val="004F0C55"/>
    <w:rsid w:val="004F16E7"/>
    <w:rsid w:val="0050173E"/>
    <w:rsid w:val="00505DD6"/>
    <w:rsid w:val="00511152"/>
    <w:rsid w:val="0051618C"/>
    <w:rsid w:val="00537CF9"/>
    <w:rsid w:val="0055205C"/>
    <w:rsid w:val="00571EBF"/>
    <w:rsid w:val="00574E1F"/>
    <w:rsid w:val="00583AD9"/>
    <w:rsid w:val="00585144"/>
    <w:rsid w:val="005B0999"/>
    <w:rsid w:val="005D4042"/>
    <w:rsid w:val="005D591B"/>
    <w:rsid w:val="005D6040"/>
    <w:rsid w:val="005E4D72"/>
    <w:rsid w:val="005E791A"/>
    <w:rsid w:val="005F55A3"/>
    <w:rsid w:val="005F7439"/>
    <w:rsid w:val="00600382"/>
    <w:rsid w:val="006206E8"/>
    <w:rsid w:val="00621D14"/>
    <w:rsid w:val="00624E74"/>
    <w:rsid w:val="00626AF8"/>
    <w:rsid w:val="00626F9A"/>
    <w:rsid w:val="00637EE4"/>
    <w:rsid w:val="00646D9C"/>
    <w:rsid w:val="00647B32"/>
    <w:rsid w:val="0065442E"/>
    <w:rsid w:val="00655606"/>
    <w:rsid w:val="00655FE4"/>
    <w:rsid w:val="006603DF"/>
    <w:rsid w:val="0066318A"/>
    <w:rsid w:val="00671429"/>
    <w:rsid w:val="006938C5"/>
    <w:rsid w:val="006A2C2A"/>
    <w:rsid w:val="006A35D1"/>
    <w:rsid w:val="006A3F5D"/>
    <w:rsid w:val="006A584F"/>
    <w:rsid w:val="006B50D4"/>
    <w:rsid w:val="006B685C"/>
    <w:rsid w:val="006C158F"/>
    <w:rsid w:val="006C1898"/>
    <w:rsid w:val="006E2C2D"/>
    <w:rsid w:val="006E5C84"/>
    <w:rsid w:val="006E7ABA"/>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648F"/>
    <w:rsid w:val="007C7C58"/>
    <w:rsid w:val="007D3E5A"/>
    <w:rsid w:val="007D4B15"/>
    <w:rsid w:val="007D60FF"/>
    <w:rsid w:val="007E4414"/>
    <w:rsid w:val="007F0835"/>
    <w:rsid w:val="007F6420"/>
    <w:rsid w:val="00804540"/>
    <w:rsid w:val="00813A5E"/>
    <w:rsid w:val="0083623C"/>
    <w:rsid w:val="00844DA7"/>
    <w:rsid w:val="00847CAE"/>
    <w:rsid w:val="00852D32"/>
    <w:rsid w:val="00853402"/>
    <w:rsid w:val="00854449"/>
    <w:rsid w:val="008575F1"/>
    <w:rsid w:val="0086476E"/>
    <w:rsid w:val="008663E7"/>
    <w:rsid w:val="0087172E"/>
    <w:rsid w:val="00881976"/>
    <w:rsid w:val="00882F85"/>
    <w:rsid w:val="00886C14"/>
    <w:rsid w:val="00887911"/>
    <w:rsid w:val="008A1FB2"/>
    <w:rsid w:val="008A2B9D"/>
    <w:rsid w:val="008A4C3C"/>
    <w:rsid w:val="008B0DD1"/>
    <w:rsid w:val="008B325C"/>
    <w:rsid w:val="008B5B8F"/>
    <w:rsid w:val="008B5D1D"/>
    <w:rsid w:val="008B7950"/>
    <w:rsid w:val="008C13E8"/>
    <w:rsid w:val="008C1403"/>
    <w:rsid w:val="008C1856"/>
    <w:rsid w:val="008C2303"/>
    <w:rsid w:val="008C495E"/>
    <w:rsid w:val="008C55B1"/>
    <w:rsid w:val="008E52D9"/>
    <w:rsid w:val="0090054A"/>
    <w:rsid w:val="009078F0"/>
    <w:rsid w:val="00912158"/>
    <w:rsid w:val="00915D99"/>
    <w:rsid w:val="00916155"/>
    <w:rsid w:val="00916F88"/>
    <w:rsid w:val="00921AD3"/>
    <w:rsid w:val="00922740"/>
    <w:rsid w:val="0093171E"/>
    <w:rsid w:val="00941B7A"/>
    <w:rsid w:val="009425B7"/>
    <w:rsid w:val="00950AA4"/>
    <w:rsid w:val="0095193C"/>
    <w:rsid w:val="009528D9"/>
    <w:rsid w:val="009615A9"/>
    <w:rsid w:val="009624AE"/>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C0381"/>
    <w:rsid w:val="009C0504"/>
    <w:rsid w:val="009C3D02"/>
    <w:rsid w:val="009C7D4B"/>
    <w:rsid w:val="009D128B"/>
    <w:rsid w:val="009D18C0"/>
    <w:rsid w:val="009D1C60"/>
    <w:rsid w:val="009D2952"/>
    <w:rsid w:val="009D30D7"/>
    <w:rsid w:val="009D3BE6"/>
    <w:rsid w:val="009D594C"/>
    <w:rsid w:val="009E58E4"/>
    <w:rsid w:val="009F2447"/>
    <w:rsid w:val="009F3358"/>
    <w:rsid w:val="009F417E"/>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7D6"/>
    <w:rsid w:val="00A87B55"/>
    <w:rsid w:val="00A959A4"/>
    <w:rsid w:val="00AA73C1"/>
    <w:rsid w:val="00AA7E59"/>
    <w:rsid w:val="00AB2BF2"/>
    <w:rsid w:val="00AB77E4"/>
    <w:rsid w:val="00AB7FCB"/>
    <w:rsid w:val="00AC09FC"/>
    <w:rsid w:val="00AC23F7"/>
    <w:rsid w:val="00AD25D1"/>
    <w:rsid w:val="00AD468C"/>
    <w:rsid w:val="00AE352D"/>
    <w:rsid w:val="00AE4401"/>
    <w:rsid w:val="00AE5D02"/>
    <w:rsid w:val="00AF4AA5"/>
    <w:rsid w:val="00B158F9"/>
    <w:rsid w:val="00B17CED"/>
    <w:rsid w:val="00B20497"/>
    <w:rsid w:val="00B21983"/>
    <w:rsid w:val="00B25A83"/>
    <w:rsid w:val="00B45667"/>
    <w:rsid w:val="00B53C41"/>
    <w:rsid w:val="00B6015F"/>
    <w:rsid w:val="00B61147"/>
    <w:rsid w:val="00B62125"/>
    <w:rsid w:val="00B62126"/>
    <w:rsid w:val="00B62713"/>
    <w:rsid w:val="00B64891"/>
    <w:rsid w:val="00B67586"/>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21A4B"/>
    <w:rsid w:val="00C25AC5"/>
    <w:rsid w:val="00C3478E"/>
    <w:rsid w:val="00C34E83"/>
    <w:rsid w:val="00C37583"/>
    <w:rsid w:val="00C454EA"/>
    <w:rsid w:val="00C46066"/>
    <w:rsid w:val="00C46144"/>
    <w:rsid w:val="00C47469"/>
    <w:rsid w:val="00C505AE"/>
    <w:rsid w:val="00C624E3"/>
    <w:rsid w:val="00C62AC4"/>
    <w:rsid w:val="00C66DB1"/>
    <w:rsid w:val="00C670BC"/>
    <w:rsid w:val="00C70EDE"/>
    <w:rsid w:val="00C7140E"/>
    <w:rsid w:val="00C71E51"/>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5574"/>
    <w:rsid w:val="00CF65DD"/>
    <w:rsid w:val="00D0319E"/>
    <w:rsid w:val="00D03363"/>
    <w:rsid w:val="00D06CB0"/>
    <w:rsid w:val="00D104E8"/>
    <w:rsid w:val="00D12EAC"/>
    <w:rsid w:val="00D13805"/>
    <w:rsid w:val="00D143D7"/>
    <w:rsid w:val="00D22BF7"/>
    <w:rsid w:val="00D276C0"/>
    <w:rsid w:val="00D276C9"/>
    <w:rsid w:val="00D27DFE"/>
    <w:rsid w:val="00D3039F"/>
    <w:rsid w:val="00D32B08"/>
    <w:rsid w:val="00D37130"/>
    <w:rsid w:val="00D435DB"/>
    <w:rsid w:val="00D43B13"/>
    <w:rsid w:val="00D447B2"/>
    <w:rsid w:val="00D46F69"/>
    <w:rsid w:val="00D5198D"/>
    <w:rsid w:val="00D521AE"/>
    <w:rsid w:val="00D63942"/>
    <w:rsid w:val="00D63AF2"/>
    <w:rsid w:val="00D6473B"/>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5BCE"/>
    <w:rsid w:val="00DF74BC"/>
    <w:rsid w:val="00E07DDD"/>
    <w:rsid w:val="00E1301A"/>
    <w:rsid w:val="00E136F7"/>
    <w:rsid w:val="00E151DA"/>
    <w:rsid w:val="00E23901"/>
    <w:rsid w:val="00E2570F"/>
    <w:rsid w:val="00E31C1C"/>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951"/>
    <w:rsid w:val="00EE517B"/>
    <w:rsid w:val="00EF044D"/>
    <w:rsid w:val="00EF470E"/>
    <w:rsid w:val="00EF4EA3"/>
    <w:rsid w:val="00EF6715"/>
    <w:rsid w:val="00F0560A"/>
    <w:rsid w:val="00F13C7E"/>
    <w:rsid w:val="00F15BF4"/>
    <w:rsid w:val="00F16626"/>
    <w:rsid w:val="00F2284B"/>
    <w:rsid w:val="00F33261"/>
    <w:rsid w:val="00F33658"/>
    <w:rsid w:val="00F35CCE"/>
    <w:rsid w:val="00F36CBD"/>
    <w:rsid w:val="00F40887"/>
    <w:rsid w:val="00F42487"/>
    <w:rsid w:val="00F443E3"/>
    <w:rsid w:val="00F44D25"/>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032;&#26700;&#38754;&#23601;&#26159;&#23427;&#20102;\&#20154;&#27665;&#24065;&#21608;&#25253;\&#27599;&#21608;&#26356;&#26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'图表6 在岸、离岸人民币及价差'!$G$1</c:f>
              <c:strCache>
                <c:ptCount val="1"/>
                <c:pt idx="0">
                  <c:v>价差(右轴)</c:v>
                </c:pt>
              </c:strCache>
            </c:strRef>
          </c:tx>
          <c:spPr>
            <a:solidFill>
              <a:schemeClr val="bg1">
                <a:lumMod val="65000"/>
              </a:schemeClr>
            </a:solidFill>
            <a:ln>
              <a:noFill/>
            </a:ln>
            <a:effectLst/>
          </c:spPr>
          <c:invertIfNegative val="0"/>
          <c:cat>
            <c:numRef>
              <c:f>'图表6 在岸、离岸人民币及价差'!$A$5:$A$10</c:f>
              <c:numCache>
                <c:formatCode>yyyy\-mm\-dd</c:formatCode>
                <c:ptCount val="6"/>
                <c:pt idx="0">
                  <c:v>45908</c:v>
                </c:pt>
                <c:pt idx="1">
                  <c:v>45909</c:v>
                </c:pt>
                <c:pt idx="2">
                  <c:v>45910</c:v>
                </c:pt>
                <c:pt idx="3">
                  <c:v>45911</c:v>
                </c:pt>
                <c:pt idx="4">
                  <c:v>45912</c:v>
                </c:pt>
                <c:pt idx="5">
                  <c:v>45915</c:v>
                </c:pt>
              </c:numCache>
            </c:numRef>
          </c:cat>
          <c:val>
            <c:numRef>
              <c:f>'图表6 在岸、离岸人民币及价差'!$G$5:$G$10</c:f>
              <c:numCache>
                <c:formatCode>0.0000_ </c:formatCode>
                <c:ptCount val="6"/>
                <c:pt idx="0">
                  <c:v>-9.5000000000000639E-3</c:v>
                </c:pt>
                <c:pt idx="1">
                  <c:v>-1.5999999999998238E-3</c:v>
                </c:pt>
                <c:pt idx="2">
                  <c:v>-1.9000000000000128E-3</c:v>
                </c:pt>
                <c:pt idx="3">
                  <c:v>-1.0600000000000165E-2</c:v>
                </c:pt>
                <c:pt idx="4">
                  <c:v>1.300000000000523E-3</c:v>
                </c:pt>
                <c:pt idx="5">
                  <c:v>-3.6999999999993705E-3</c:v>
                </c:pt>
              </c:numCache>
            </c:numRef>
          </c:val>
          <c:extLst>
            <c:ext xmlns:c16="http://schemas.microsoft.com/office/drawing/2014/chart" uri="{C3380CC4-5D6E-409C-BE32-E72D297353CC}">
              <c16:uniqueId val="{00000000-CC67-4336-8B53-72C674E8EDED}"/>
            </c:ext>
          </c:extLst>
        </c:ser>
        <c:dLbls>
          <c:showLegendKey val="0"/>
          <c:showVal val="0"/>
          <c:showCatName val="0"/>
          <c:showSerName val="0"/>
          <c:showPercent val="0"/>
          <c:showBubbleSize val="0"/>
        </c:dLbls>
        <c:gapWidth val="219"/>
        <c:overlap val="-27"/>
        <c:axId val="1620896639"/>
        <c:axId val="1620883743"/>
      </c:barChart>
      <c:lineChart>
        <c:grouping val="standard"/>
        <c:varyColors val="0"/>
        <c:ser>
          <c:idx val="1"/>
          <c:order val="1"/>
          <c:tx>
            <c:strRef>
              <c:f>'图表6 在岸、离岸人民币及价差'!$B$1</c:f>
              <c:strCache>
                <c:ptCount val="1"/>
                <c:pt idx="0">
                  <c:v>美元兑人民币(CFETS)</c:v>
                </c:pt>
              </c:strCache>
            </c:strRef>
          </c:tx>
          <c:spPr>
            <a:ln w="28575" cap="rnd">
              <a:solidFill>
                <a:schemeClr val="accent5"/>
              </a:solidFill>
              <a:round/>
            </a:ln>
            <a:effectLst/>
          </c:spPr>
          <c:marker>
            <c:symbol val="none"/>
          </c:marker>
          <c:cat>
            <c:numRef>
              <c:f>'图表6 在岸、离岸人民币及价差'!$A$5:$A$10</c:f>
              <c:numCache>
                <c:formatCode>yyyy\-mm\-dd</c:formatCode>
                <c:ptCount val="6"/>
                <c:pt idx="0">
                  <c:v>45908</c:v>
                </c:pt>
                <c:pt idx="1">
                  <c:v>45909</c:v>
                </c:pt>
                <c:pt idx="2">
                  <c:v>45910</c:v>
                </c:pt>
                <c:pt idx="3">
                  <c:v>45911</c:v>
                </c:pt>
                <c:pt idx="4">
                  <c:v>45912</c:v>
                </c:pt>
                <c:pt idx="5">
                  <c:v>45915</c:v>
                </c:pt>
              </c:numCache>
            </c:numRef>
          </c:cat>
          <c:val>
            <c:numRef>
              <c:f>'图表6 在岸、离岸人民币及价差'!$B$5:$B$10</c:f>
              <c:numCache>
                <c:formatCode>0.0000</c:formatCode>
                <c:ptCount val="6"/>
                <c:pt idx="0">
                  <c:v>7.1321000000000003</c:v>
                </c:pt>
                <c:pt idx="1">
                  <c:v>7.1247999999999996</c:v>
                </c:pt>
                <c:pt idx="2">
                  <c:v>7.1220999999999997</c:v>
                </c:pt>
                <c:pt idx="3">
                  <c:v>7.1234999999999999</c:v>
                </c:pt>
                <c:pt idx="4">
                  <c:v>7.1223999999999998</c:v>
                </c:pt>
                <c:pt idx="5">
                  <c:v>7.1227999999999998</c:v>
                </c:pt>
              </c:numCache>
            </c:numRef>
          </c:val>
          <c:smooth val="0"/>
          <c:extLst>
            <c:ext xmlns:c16="http://schemas.microsoft.com/office/drawing/2014/chart" uri="{C3380CC4-5D6E-409C-BE32-E72D297353CC}">
              <c16:uniqueId val="{00000001-CC67-4336-8B53-72C674E8EDED}"/>
            </c:ext>
          </c:extLst>
        </c:ser>
        <c:ser>
          <c:idx val="2"/>
          <c:order val="2"/>
          <c:tx>
            <c:strRef>
              <c:f>'图表6 在岸、离岸人民币及价差'!$E$1</c:f>
              <c:strCache>
                <c:ptCount val="1"/>
                <c:pt idx="0">
                  <c:v>美元兑离岸人民币</c:v>
                </c:pt>
              </c:strCache>
            </c:strRef>
          </c:tx>
          <c:spPr>
            <a:ln w="28575" cap="rnd">
              <a:solidFill>
                <a:srgbClr val="C00000"/>
              </a:solidFill>
              <a:round/>
            </a:ln>
            <a:effectLst/>
          </c:spPr>
          <c:marker>
            <c:symbol val="none"/>
          </c:marker>
          <c:cat>
            <c:numRef>
              <c:f>'图表6 在岸、离岸人民币及价差'!$A$5:$A$10</c:f>
              <c:numCache>
                <c:formatCode>yyyy\-mm\-dd</c:formatCode>
                <c:ptCount val="6"/>
                <c:pt idx="0">
                  <c:v>45908</c:v>
                </c:pt>
                <c:pt idx="1">
                  <c:v>45909</c:v>
                </c:pt>
                <c:pt idx="2">
                  <c:v>45910</c:v>
                </c:pt>
                <c:pt idx="3">
                  <c:v>45911</c:v>
                </c:pt>
                <c:pt idx="4">
                  <c:v>45912</c:v>
                </c:pt>
                <c:pt idx="5">
                  <c:v>45915</c:v>
                </c:pt>
              </c:numCache>
            </c:numRef>
          </c:cat>
          <c:val>
            <c:numRef>
              <c:f>'图表6 在岸、离岸人民币及价差'!$E$5:$E$10</c:f>
              <c:numCache>
                <c:formatCode>0.0000</c:formatCode>
                <c:ptCount val="6"/>
                <c:pt idx="0">
                  <c:v>7.1226000000000003</c:v>
                </c:pt>
                <c:pt idx="1">
                  <c:v>7.1231999999999998</c:v>
                </c:pt>
                <c:pt idx="2">
                  <c:v>7.1201999999999996</c:v>
                </c:pt>
                <c:pt idx="3">
                  <c:v>7.1128999999999998</c:v>
                </c:pt>
                <c:pt idx="4">
                  <c:v>7.1237000000000004</c:v>
                </c:pt>
                <c:pt idx="5">
                  <c:v>7.1191000000000004</c:v>
                </c:pt>
              </c:numCache>
            </c:numRef>
          </c:val>
          <c:smooth val="0"/>
          <c:extLst>
            <c:ext xmlns:c16="http://schemas.microsoft.com/office/drawing/2014/chart" uri="{C3380CC4-5D6E-409C-BE32-E72D297353CC}">
              <c16:uniqueId val="{00000002-CC67-4336-8B53-72C674E8EDED}"/>
            </c:ext>
          </c:extLst>
        </c:ser>
        <c:dLbls>
          <c:showLegendKey val="0"/>
          <c:showVal val="0"/>
          <c:showCatName val="0"/>
          <c:showSerName val="0"/>
          <c:showPercent val="0"/>
          <c:showBubbleSize val="0"/>
        </c:dLbls>
        <c:marker val="1"/>
        <c:smooth val="0"/>
        <c:axId val="614802079"/>
        <c:axId val="614798335"/>
      </c:lineChart>
      <c:catAx>
        <c:axId val="614802079"/>
        <c:scaling>
          <c:orientation val="minMax"/>
        </c:scaling>
        <c:delete val="0"/>
        <c:axPos val="b"/>
        <c:numFmt formatCode="yyyy\-mm\-d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614798335"/>
        <c:crosses val="autoZero"/>
        <c:auto val="0"/>
        <c:lblAlgn val="ctr"/>
        <c:lblOffset val="100"/>
        <c:noMultiLvlLbl val="0"/>
      </c:catAx>
      <c:valAx>
        <c:axId val="614798335"/>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4802079"/>
        <c:crosses val="autoZero"/>
        <c:crossBetween val="between"/>
      </c:valAx>
      <c:valAx>
        <c:axId val="1620883743"/>
        <c:scaling>
          <c:orientation val="minMax"/>
        </c:scaling>
        <c:delete val="0"/>
        <c:axPos val="r"/>
        <c:numFmt formatCode="0.0000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0896639"/>
        <c:crosses val="max"/>
        <c:crossBetween val="between"/>
      </c:valAx>
      <c:catAx>
        <c:axId val="1620896639"/>
        <c:scaling>
          <c:orientation val="minMax"/>
        </c:scaling>
        <c:delete val="1"/>
        <c:axPos val="b"/>
        <c:numFmt formatCode="yyyy\-mm\-dd" sourceLinked="1"/>
        <c:majorTickMark val="out"/>
        <c:minorTickMark val="none"/>
        <c:tickLblPos val="nextTo"/>
        <c:crossAx val="1620883743"/>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E6464-BA3D-4BEB-899D-B21DDD80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MSI</cp:lastModifiedBy>
  <cp:revision>6</cp:revision>
  <cp:lastPrinted>2024-12-24T02:37:00Z</cp:lastPrinted>
  <dcterms:created xsi:type="dcterms:W3CDTF">2025-09-09T01:32:00Z</dcterms:created>
  <dcterms:modified xsi:type="dcterms:W3CDTF">2025-09-16T01:42:00Z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