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C74CBC">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6.6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23F9D81A" w:rsidR="00CA7296" w:rsidRDefault="00CA7296" w:rsidP="00CA7296">
      <w:pPr>
        <w:spacing w:line="312" w:lineRule="auto"/>
        <w:ind w:firstLine="420"/>
        <w:rPr>
          <w:rFonts w:ascii="宋体" w:hAnsi="宋体" w:cs="宋体"/>
        </w:rPr>
      </w:pPr>
      <w:r>
        <w:t>周</w:t>
      </w:r>
      <w:r w:rsidR="00E1301A">
        <w:rPr>
          <w:rFonts w:hint="eastAsia"/>
        </w:rPr>
        <w:t>五</w:t>
      </w:r>
      <w:r>
        <w:rPr>
          <w:rFonts w:hint="eastAsia"/>
        </w:rPr>
        <w:t>（</w:t>
      </w:r>
      <w:r w:rsidR="00C74CBC">
        <w:t>10</w:t>
      </w:r>
      <w:r>
        <w:rPr>
          <w:rFonts w:hint="eastAsia"/>
        </w:rPr>
        <w:t>月</w:t>
      </w:r>
      <w:r w:rsidR="00C74CBC">
        <w:rPr>
          <w:rFonts w:hint="eastAsia"/>
        </w:rPr>
        <w:t>1</w:t>
      </w:r>
      <w:r w:rsidR="00C74CBC">
        <w:t>0</w:t>
      </w:r>
      <w:r>
        <w:rPr>
          <w:rFonts w:hint="eastAsia"/>
        </w:rPr>
        <w:t>日）</w:t>
      </w:r>
      <w:r>
        <w:t>美元兑人民币中间价</w:t>
      </w:r>
      <w:r>
        <w:rPr>
          <w:rFonts w:ascii="宋体" w:hAnsi="宋体" w:cs="宋体"/>
        </w:rPr>
        <w:t>报</w:t>
      </w:r>
      <w:r w:rsidRPr="00076C89">
        <w:rPr>
          <w:rFonts w:ascii="宋体" w:hAnsi="宋体" w:cs="宋体"/>
        </w:rPr>
        <w:t>7.</w:t>
      </w:r>
      <w:r w:rsidR="00994228">
        <w:rPr>
          <w:rFonts w:ascii="宋体" w:hAnsi="宋体" w:cs="宋体"/>
        </w:rPr>
        <w:t>1</w:t>
      </w:r>
      <w:r w:rsidR="00C74CBC">
        <w:rPr>
          <w:rFonts w:ascii="宋体" w:hAnsi="宋体" w:cs="宋体"/>
        </w:rPr>
        <w:t>048</w:t>
      </w:r>
      <w:r>
        <w:rPr>
          <w:rFonts w:ascii="宋体" w:hAnsi="宋体" w:cs="宋体"/>
        </w:rPr>
        <w:t>，</w:t>
      </w:r>
      <w:r w:rsidR="00A70BD1">
        <w:rPr>
          <w:rFonts w:ascii="宋体" w:hAnsi="宋体" w:cs="宋体" w:hint="eastAsia"/>
        </w:rPr>
        <w:t>调</w:t>
      </w:r>
      <w:r w:rsidR="00C74CBC">
        <w:rPr>
          <w:rFonts w:ascii="宋体" w:hAnsi="宋体" w:cs="宋体" w:hint="eastAsia"/>
        </w:rPr>
        <w:t>降5</w:t>
      </w:r>
      <w:r w:rsidR="004E332D">
        <w:rPr>
          <w:rFonts w:ascii="宋体" w:hAnsi="宋体" w:cs="宋体"/>
        </w:rPr>
        <w:t>4</w:t>
      </w:r>
      <w:r>
        <w:rPr>
          <w:rFonts w:ascii="宋体" w:hAnsi="宋体" w:cs="宋体" w:hint="eastAsia"/>
        </w:rPr>
        <w:t>基点，上周累计调</w:t>
      </w:r>
      <w:r w:rsidR="00C74CBC">
        <w:rPr>
          <w:rFonts w:ascii="宋体" w:hAnsi="宋体" w:cs="宋体" w:hint="eastAsia"/>
        </w:rPr>
        <w:t>降7</w:t>
      </w:r>
      <w:r w:rsidR="00C74CBC">
        <w:rPr>
          <w:rFonts w:ascii="宋体" w:hAnsi="宋体" w:cs="宋体"/>
        </w:rPr>
        <w:t>0</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w:t>
      </w:r>
      <w:r w:rsidR="00B7440D">
        <w:rPr>
          <w:rFonts w:ascii="宋体" w:hAnsi="宋体" w:cs="宋体"/>
        </w:rPr>
        <w:t>12</w:t>
      </w:r>
      <w:r>
        <w:rPr>
          <w:rFonts w:ascii="宋体" w:hAnsi="宋体" w:cs="宋体" w:hint="eastAsia"/>
        </w:rPr>
        <w:t>收</w:t>
      </w:r>
      <w:r w:rsidR="00B7440D">
        <w:rPr>
          <w:rFonts w:ascii="宋体" w:hAnsi="宋体" w:cs="宋体" w:hint="eastAsia"/>
        </w:rPr>
        <w:t>跌</w:t>
      </w:r>
      <w:r w:rsidR="00C10509">
        <w:rPr>
          <w:rFonts w:ascii="宋体" w:hAnsi="宋体" w:cs="宋体" w:hint="eastAsia"/>
        </w:rPr>
        <w:t>0</w:t>
      </w:r>
      <w:r w:rsidR="00C10509">
        <w:rPr>
          <w:rFonts w:ascii="宋体" w:hAnsi="宋体" w:cs="宋体"/>
        </w:rPr>
        <w:t>.</w:t>
      </w:r>
      <w:r w:rsidR="00D07670">
        <w:rPr>
          <w:rFonts w:ascii="宋体" w:hAnsi="宋体" w:cs="宋体"/>
        </w:rPr>
        <w:t>08</w:t>
      </w:r>
      <w:r>
        <w:rPr>
          <w:rFonts w:ascii="宋体" w:hAnsi="宋体" w:cs="宋体" w:hint="eastAsia"/>
        </w:rPr>
        <w:t>%。新交所美元兑离岸人民币期货主力合约</w:t>
      </w:r>
      <w:r>
        <w:rPr>
          <w:rFonts w:ascii="宋体" w:hAnsi="宋体" w:cs="宋体"/>
        </w:rPr>
        <w:t>UC</w:t>
      </w:r>
      <w:r w:rsidR="00B7440D">
        <w:rPr>
          <w:rFonts w:ascii="宋体" w:hAnsi="宋体" w:cs="宋体"/>
        </w:rPr>
        <w:t>Z</w:t>
      </w:r>
      <w:r>
        <w:rPr>
          <w:rFonts w:ascii="宋体" w:hAnsi="宋体" w:cs="宋体"/>
        </w:rPr>
        <w:t>2</w:t>
      </w:r>
      <w:r>
        <w:rPr>
          <w:rFonts w:ascii="宋体" w:hAnsi="宋体" w:cs="宋体" w:hint="eastAsia"/>
        </w:rPr>
        <w:t>5收</w:t>
      </w:r>
      <w:r w:rsidR="00B7440D">
        <w:rPr>
          <w:rFonts w:ascii="宋体" w:hAnsi="宋体" w:cs="宋体" w:hint="eastAsia"/>
        </w:rPr>
        <w:t>跌0</w:t>
      </w:r>
      <w:r w:rsidR="00B7440D">
        <w:rPr>
          <w:rFonts w:ascii="宋体" w:hAnsi="宋体" w:cs="宋体"/>
        </w:rPr>
        <w:t>.</w:t>
      </w:r>
      <w:r w:rsidR="00D07670">
        <w:rPr>
          <w:rFonts w:ascii="宋体" w:hAnsi="宋体" w:cs="宋体"/>
        </w:rPr>
        <w:t>03</w:t>
      </w:r>
      <w:r w:rsidR="007844B4">
        <w:rPr>
          <w:rFonts w:ascii="宋体" w:hAnsi="宋体" w:cs="宋体"/>
        </w:rPr>
        <w:t>%</w:t>
      </w:r>
      <w:r>
        <w:rPr>
          <w:rFonts w:ascii="宋体" w:hAnsi="宋体" w:cs="宋体" w:hint="eastAsia"/>
        </w:rPr>
        <w:t>。</w:t>
      </w:r>
    </w:p>
    <w:p w14:paraId="2A8620FC" w14:textId="13424BDF"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787BFA">
        <w:t>1</w:t>
      </w:r>
      <w:r w:rsidR="00671C9F">
        <w:t>232</w:t>
      </w:r>
      <w:r>
        <w:t>，</w:t>
      </w:r>
      <w:r>
        <w:rPr>
          <w:rFonts w:hint="eastAsia"/>
        </w:rPr>
        <w:t>美元兑离岸人民币收报</w:t>
      </w:r>
      <w:r>
        <w:rPr>
          <w:rFonts w:hint="eastAsia"/>
        </w:rPr>
        <w:t>7</w:t>
      </w:r>
      <w:r>
        <w:t>.</w:t>
      </w:r>
      <w:r w:rsidR="001938CF">
        <w:t>1</w:t>
      </w:r>
      <w:r w:rsidR="00DE437F">
        <w:t>478</w:t>
      </w:r>
      <w:r>
        <w:rPr>
          <w:rFonts w:hint="eastAsia"/>
        </w:rPr>
        <w:t>，在当周</w:t>
      </w:r>
      <w:r>
        <w:t>分别</w:t>
      </w:r>
      <w:r w:rsidR="0009578B">
        <w:rPr>
          <w:rFonts w:hint="eastAsia"/>
        </w:rPr>
        <w:t>上</w:t>
      </w:r>
      <w:r w:rsidR="00F76960">
        <w:rPr>
          <w:rFonts w:hint="eastAsia"/>
        </w:rPr>
        <w:t>调</w:t>
      </w:r>
      <w:r w:rsidR="00671C9F">
        <w:t>46</w:t>
      </w:r>
      <w:r>
        <w:t>和</w:t>
      </w:r>
      <w:r w:rsidR="0009578B">
        <w:rPr>
          <w:rFonts w:hint="eastAsia"/>
        </w:rPr>
        <w:t>上</w:t>
      </w:r>
      <w:r w:rsidR="003576ED">
        <w:rPr>
          <w:rFonts w:hint="eastAsia"/>
        </w:rPr>
        <w:t>调</w:t>
      </w:r>
      <w:r w:rsidR="00671C9F">
        <w:t>118</w:t>
      </w:r>
      <w:r>
        <w:rPr>
          <w:rFonts w:hint="eastAsia"/>
        </w:rPr>
        <w:t>个基点</w:t>
      </w:r>
      <w:r>
        <w:t>。欧元兑人民币报</w:t>
      </w:r>
      <w:r w:rsidR="00F64EF4">
        <w:t>8</w:t>
      </w:r>
      <w:r w:rsidR="003576ED">
        <w:t>.</w:t>
      </w:r>
      <w:r w:rsidR="00671C9F">
        <w:t>2484</w:t>
      </w:r>
      <w:r>
        <w:t>、英镑兑人民币报</w:t>
      </w:r>
      <w:r w:rsidR="00C66DB1">
        <w:t>9</w:t>
      </w:r>
      <w:r w:rsidR="001F0839">
        <w:t>.</w:t>
      </w:r>
      <w:r w:rsidR="00671C9F">
        <w:t>4540</w:t>
      </w:r>
      <w:r w:rsidR="00787BFA">
        <w:rPr>
          <w:rFonts w:hint="eastAsia"/>
        </w:rPr>
        <w:t>、</w:t>
      </w:r>
      <w:r w:rsidR="000959E1">
        <w:rPr>
          <w:rFonts w:hint="eastAsia"/>
        </w:rPr>
        <w:t>日元</w:t>
      </w:r>
      <w:r>
        <w:t>兑</w:t>
      </w:r>
      <w:r w:rsidR="000959E1">
        <w:rPr>
          <w:rFonts w:hint="eastAsia"/>
        </w:rPr>
        <w:t>人民币</w:t>
      </w:r>
      <w:r>
        <w:t>报</w:t>
      </w:r>
      <w:r w:rsidR="001938CF">
        <w:t>4</w:t>
      </w:r>
      <w:r w:rsidR="0009578B">
        <w:t>.7</w:t>
      </w:r>
      <w:r w:rsidR="00671C9F">
        <w:t>000</w:t>
      </w:r>
      <w:r w:rsidR="000959E1">
        <w:rPr>
          <w:rFonts w:hint="eastAsia"/>
        </w:rPr>
        <w:t>、</w:t>
      </w:r>
      <w:r>
        <w:t>澳元兑人民币报</w:t>
      </w:r>
      <w:r>
        <w:t>4</w:t>
      </w:r>
      <w:r w:rsidR="006B50D4">
        <w:t>.</w:t>
      </w:r>
      <w:r w:rsidR="006466A9">
        <w:t>6</w:t>
      </w:r>
      <w:r w:rsidR="00671C9F">
        <w:t>674</w:t>
      </w:r>
      <w:bookmarkStart w:id="0" w:name="_GoBack"/>
      <w:bookmarkEnd w:id="0"/>
      <w:r>
        <w:rPr>
          <w:rFonts w:hint="eastAsia"/>
        </w:rPr>
        <w:t>，在当</w:t>
      </w:r>
      <w:r>
        <w:t>周分别</w:t>
      </w:r>
      <w:r w:rsidR="00B7440D">
        <w:rPr>
          <w:rFonts w:hint="eastAsia"/>
        </w:rPr>
        <w:t>降</w:t>
      </w:r>
      <w:r w:rsidR="00671C9F">
        <w:t>1166</w:t>
      </w:r>
      <w:r>
        <w:t>、</w:t>
      </w:r>
      <w:r w:rsidR="006466A9">
        <w:rPr>
          <w:rFonts w:hint="eastAsia"/>
        </w:rPr>
        <w:t>降</w:t>
      </w:r>
      <w:r w:rsidR="00671C9F">
        <w:t>1117</w:t>
      </w:r>
      <w:r>
        <w:rPr>
          <w:rFonts w:hint="eastAsia"/>
        </w:rPr>
        <w:t>、</w:t>
      </w:r>
      <w:r w:rsidR="00A4147F">
        <w:rPr>
          <w:rFonts w:hint="eastAsia"/>
        </w:rPr>
        <w:t>降</w:t>
      </w:r>
      <w:r w:rsidR="00671C9F">
        <w:rPr>
          <w:rFonts w:hint="eastAsia"/>
        </w:rPr>
        <w:t>1</w:t>
      </w:r>
      <w:r w:rsidR="00671C9F">
        <w:t>185</w:t>
      </w:r>
      <w:r>
        <w:t>和</w:t>
      </w:r>
      <w:r w:rsidR="006466A9">
        <w:rPr>
          <w:rFonts w:hint="eastAsia"/>
        </w:rPr>
        <w:t>降</w:t>
      </w:r>
      <w:r w:rsidR="00671C9F">
        <w:t>366</w:t>
      </w:r>
      <w:r>
        <w:rPr>
          <w:rFonts w:hint="eastAsia"/>
        </w:rPr>
        <w:t>个基点</w:t>
      </w:r>
      <w:r>
        <w:t>。</w:t>
      </w:r>
    </w:p>
    <w:p w14:paraId="76AC2601" w14:textId="441D5421" w:rsidR="00CA7296" w:rsidRDefault="007E1257" w:rsidP="00CA7296">
      <w:pPr>
        <w:spacing w:line="312" w:lineRule="auto"/>
        <w:ind w:firstLine="420"/>
      </w:pPr>
      <w:r>
        <w:rPr>
          <w:rFonts w:hint="eastAsia"/>
        </w:rPr>
        <w:t>上周</w:t>
      </w:r>
      <w:r w:rsidRPr="007E1257">
        <w:rPr>
          <w:rFonts w:hint="eastAsia"/>
        </w:rPr>
        <w:t>央行公开市场累计进行了</w:t>
      </w:r>
      <w:r w:rsidRPr="007E1257">
        <w:rPr>
          <w:rFonts w:hint="eastAsia"/>
        </w:rPr>
        <w:t>10210</w:t>
      </w:r>
      <w:r w:rsidRPr="007E1257">
        <w:rPr>
          <w:rFonts w:hint="eastAsia"/>
        </w:rPr>
        <w:t>亿元</w:t>
      </w:r>
      <w:r w:rsidRPr="007E1257">
        <w:rPr>
          <w:rFonts w:hint="eastAsia"/>
        </w:rPr>
        <w:t>7</w:t>
      </w:r>
      <w:r w:rsidRPr="007E1257">
        <w:rPr>
          <w:rFonts w:hint="eastAsia"/>
        </w:rPr>
        <w:t>天期逆回购操作，</w:t>
      </w:r>
      <w:r>
        <w:rPr>
          <w:rFonts w:hint="eastAsia"/>
        </w:rPr>
        <w:t>当</w:t>
      </w:r>
      <w:r w:rsidRPr="007E1257">
        <w:rPr>
          <w:rFonts w:hint="eastAsia"/>
        </w:rPr>
        <w:t>周央行公开市场有</w:t>
      </w:r>
      <w:r w:rsidRPr="007E1257">
        <w:rPr>
          <w:rFonts w:hint="eastAsia"/>
        </w:rPr>
        <w:t>26633</w:t>
      </w:r>
      <w:r w:rsidRPr="007E1257">
        <w:rPr>
          <w:rFonts w:hint="eastAsia"/>
        </w:rPr>
        <w:t>亿元逆回购到期，因此净回笼</w:t>
      </w:r>
      <w:r w:rsidRPr="007E1257">
        <w:rPr>
          <w:rFonts w:hint="eastAsia"/>
        </w:rPr>
        <w:t>16423</w:t>
      </w:r>
      <w:r w:rsidRPr="007E1257">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36A5755" w14:textId="3D6F2261" w:rsidR="003265E6" w:rsidRPr="00D07670" w:rsidRDefault="00CA7296" w:rsidP="0011314B">
      <w:pPr>
        <w:spacing w:line="312" w:lineRule="auto"/>
        <w:ind w:firstLine="420"/>
        <w:rPr>
          <w:rFonts w:ascii="宋体" w:hAnsi="宋体"/>
        </w:rPr>
      </w:pPr>
      <w:r w:rsidRPr="0086476E">
        <w:rPr>
          <w:rFonts w:ascii="宋体" w:hAnsi="宋体"/>
        </w:rPr>
        <w:t>1</w:t>
      </w:r>
      <w:r w:rsidR="00626AF8">
        <w:rPr>
          <w:rFonts w:ascii="宋体" w:hAnsi="宋体" w:hint="eastAsia"/>
        </w:rPr>
        <w:t>、</w:t>
      </w:r>
      <w:r w:rsidR="00D07670" w:rsidRPr="005F754C">
        <w:rPr>
          <w:rFonts w:ascii="宋体" w:hAnsi="宋体" w:hint="eastAsia"/>
        </w:rPr>
        <w:t>中方宣布针对美对华造船等行业</w:t>
      </w:r>
      <w:r w:rsidR="00D07670" w:rsidRPr="005F754C">
        <w:rPr>
          <w:rFonts w:ascii="宋体" w:hAnsi="宋体"/>
        </w:rPr>
        <w:t>301调查限制措施实施反制，决定将于10月14日起对涉美船舶收取船舶特别港务费。中方强调，相关反制措施旨在维护国际航运和造船市场的公平竞争环境，是“正当防卫”行为。敦促美方立即纠正错误做法，停止对中国海运业的无理打压。</w:t>
      </w:r>
    </w:p>
    <w:p w14:paraId="3316BE34" w14:textId="025F7E36" w:rsidR="00785749" w:rsidRPr="0011314B" w:rsidRDefault="00CA7296" w:rsidP="0011314B">
      <w:pPr>
        <w:spacing w:line="312" w:lineRule="auto"/>
        <w:ind w:firstLine="420"/>
        <w:rPr>
          <w:rFonts w:ascii="宋体" w:hAnsi="宋体"/>
        </w:rPr>
      </w:pPr>
      <w:r w:rsidRPr="0086476E">
        <w:rPr>
          <w:rFonts w:ascii="宋体" w:hAnsi="宋体" w:hint="eastAsia"/>
        </w:rPr>
        <w:t>2、</w:t>
      </w:r>
      <w:r w:rsidR="00D07670" w:rsidRPr="005C641B">
        <w:rPr>
          <w:rFonts w:ascii="宋体" w:hAnsi="宋体" w:hint="eastAsia"/>
        </w:rPr>
        <w:t>我国域外管辖迈出坚实一步。商务部发布公告，宣布对境外相关稀土物项和稀土相关技术实施出口管制，并将反无人机技术公司等</w:t>
      </w:r>
      <w:r w:rsidR="00D07670" w:rsidRPr="005C641B">
        <w:rPr>
          <w:rFonts w:ascii="宋体" w:hAnsi="宋体"/>
        </w:rPr>
        <w:t>14家外国实体列入不可靠实体清单。商务部还会同海关总署连发4则公告，宣布对超硬材料、部分稀土设备和原辅料、部分中重稀土、锂电池和人造石墨负极材料等相关物项实施出口管制。</w:t>
      </w:r>
    </w:p>
    <w:p w14:paraId="63094CBE" w14:textId="2110E5B5" w:rsidR="00BC01B8" w:rsidRPr="00AC09FC" w:rsidRDefault="00BC01B8" w:rsidP="0086476E">
      <w:pPr>
        <w:spacing w:line="312" w:lineRule="auto"/>
        <w:ind w:firstLine="420"/>
        <w:rPr>
          <w:rFonts w:ascii="宋体" w:hAnsi="宋体"/>
        </w:rPr>
      </w:pPr>
      <w:r w:rsidRPr="00CA1C69">
        <w:rPr>
          <w:rFonts w:ascii="宋体" w:hAnsi="宋体"/>
        </w:rPr>
        <w:t>3</w:t>
      </w:r>
      <w:r w:rsidRPr="00CA1C69">
        <w:rPr>
          <w:rFonts w:ascii="宋体" w:hAnsi="宋体" w:hint="eastAsia"/>
        </w:rPr>
        <w:t>、</w:t>
      </w:r>
      <w:r w:rsidR="00D07670" w:rsidRPr="00EB1972">
        <w:rPr>
          <w:rFonts w:ascii="宋体" w:hAnsi="宋体" w:hint="eastAsia"/>
        </w:rPr>
        <w:t>全美商业经济协会（</w:t>
      </w:r>
      <w:r w:rsidR="00D07670" w:rsidRPr="00EB1972">
        <w:rPr>
          <w:rFonts w:ascii="宋体" w:hAnsi="宋体"/>
        </w:rPr>
        <w:t>NABE）调查显示，经济学家上调了今明两年美国经济的增长预期，但预计就业增长将依旧疲弱。受访经济学家预计，经通胀调整后的美国GDP今年将增长1.8%，高于6月预测的1.3%。</w:t>
      </w:r>
    </w:p>
    <w:p w14:paraId="630B9579" w14:textId="7F30058C" w:rsidR="00BC01B8" w:rsidRPr="00F44D25" w:rsidRDefault="00BC01B8" w:rsidP="001F0839">
      <w:pPr>
        <w:spacing w:line="312" w:lineRule="auto"/>
        <w:ind w:firstLine="420"/>
        <w:rPr>
          <w:rFonts w:ascii="宋体" w:hAnsi="宋体" w:hint="eastAsia"/>
        </w:rPr>
      </w:pPr>
      <w:r w:rsidRPr="0086476E">
        <w:rPr>
          <w:rFonts w:ascii="宋体" w:hAnsi="宋体" w:hint="eastAsia"/>
        </w:rPr>
        <w:t>4、</w:t>
      </w:r>
      <w:r w:rsidR="00D07670" w:rsidRPr="005C641B">
        <w:rPr>
          <w:rFonts w:ascii="宋体" w:hAnsi="宋体" w:hint="eastAsia"/>
        </w:rPr>
        <w:t>当地时间</w:t>
      </w:r>
      <w:r w:rsidR="00D07670" w:rsidRPr="005C641B">
        <w:rPr>
          <w:rFonts w:ascii="宋体" w:hAnsi="宋体"/>
        </w:rPr>
        <w:t>10月9日，美国共和党提出的结束美国政府停摆的法案未能在参议院获得足够票数，法案未获通过。美国总统特朗普表示，鉴于美国国会在重启政府问题上似乎仍陷</w:t>
      </w:r>
      <w:r w:rsidR="00D07670" w:rsidRPr="005C641B">
        <w:rPr>
          <w:rFonts w:ascii="宋体" w:hAnsi="宋体"/>
        </w:rPr>
        <w:lastRenderedPageBreak/>
        <w:t>于僵局，他计划削减一些受民主党欢迎的联邦项目。特朗普称，他们“将进行永久性的削减，而且只会削减民主党的项目”。</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7F61499C" w:rsidR="00CA7296" w:rsidRDefault="00C74CBC"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5251DB3C" wp14:editId="358B0F7E">
            <wp:extent cx="3700130" cy="21364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8894" cy="2153085"/>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02A346D7" w:rsidR="00CA7296" w:rsidRDefault="00D07670" w:rsidP="00CA7296">
      <w:pPr>
        <w:spacing w:line="360" w:lineRule="auto"/>
        <w:jc w:val="center"/>
        <w:rPr>
          <w:rFonts w:ascii="宋体" w:hAnsi="宋体"/>
          <w:sz w:val="18"/>
          <w:szCs w:val="18"/>
        </w:rPr>
      </w:pPr>
      <w:r>
        <w:rPr>
          <w:noProof/>
        </w:rPr>
        <w:drawing>
          <wp:inline distT="0" distB="0" distL="0" distR="0" wp14:anchorId="4CE169FD" wp14:editId="5B790884">
            <wp:extent cx="5103628" cy="2886690"/>
            <wp:effectExtent l="0" t="0" r="190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6447" cy="2888284"/>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6AE96656" w:rsidR="00CA7296" w:rsidRDefault="00C74CBC" w:rsidP="00CA7296">
      <w:pPr>
        <w:spacing w:line="360" w:lineRule="auto"/>
        <w:jc w:val="center"/>
        <w:rPr>
          <w:rFonts w:ascii="宋体" w:hAnsi="宋体"/>
          <w:sz w:val="18"/>
          <w:szCs w:val="18"/>
        </w:rPr>
      </w:pPr>
      <w:r>
        <w:rPr>
          <w:noProof/>
        </w:rPr>
        <w:drawing>
          <wp:inline distT="0" distB="0" distL="0" distR="0" wp14:anchorId="1707F44C" wp14:editId="61C13D68">
            <wp:extent cx="3721395" cy="2170176"/>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7598" cy="2197120"/>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053E4FDF" w:rsidR="00CA7296" w:rsidRDefault="00D07670" w:rsidP="00CA7296">
      <w:pPr>
        <w:jc w:val="center"/>
      </w:pPr>
      <w:r>
        <w:rPr>
          <w:noProof/>
        </w:rPr>
        <w:drawing>
          <wp:inline distT="0" distB="0" distL="0" distR="0" wp14:anchorId="428AC75F" wp14:editId="71086776">
            <wp:extent cx="5103628" cy="2886690"/>
            <wp:effectExtent l="0" t="0" r="190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8166" cy="2889257"/>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1174B216" w:rsidR="00CA7296" w:rsidRDefault="00C74CBC" w:rsidP="00CA7296">
      <w:pPr>
        <w:jc w:val="center"/>
      </w:pPr>
      <w:r>
        <w:rPr>
          <w:noProof/>
        </w:rPr>
        <w:drawing>
          <wp:inline distT="0" distB="0" distL="0" distR="0" wp14:anchorId="44E0A160" wp14:editId="5FF6C475">
            <wp:extent cx="3625703" cy="2129137"/>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0323" cy="2149467"/>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7F8CE20A">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后市展望</w:t>
      </w:r>
    </w:p>
    <w:p w14:paraId="78B3AA48" w14:textId="14A66240" w:rsidR="00351614" w:rsidRPr="00253827" w:rsidRDefault="00D07670" w:rsidP="00351614">
      <w:pPr>
        <w:spacing w:line="312" w:lineRule="auto"/>
        <w:ind w:firstLine="420"/>
        <w:rPr>
          <w:rFonts w:ascii="宋体" w:hAnsi="宋体" w:cs="宋体"/>
        </w:rPr>
      </w:pPr>
      <w:r w:rsidRPr="00D07670">
        <w:rPr>
          <w:rFonts w:ascii="宋体" w:hAnsi="宋体" w:cs="宋体" w:hint="eastAsia"/>
        </w:rPr>
        <w:t>美国总统特朗普上周五表示，美国正在考虑大规模增加对亚洲大国进口商品的关税，贸易战升温叠加美国政府持续停摆，美元币值受挫。纽约联储周二公布的一份报告显示，9月美国人对就业市场的未来更加担忧，未来12个月内失业的可能性上升，而对整体失业率的预期也有所提高。担忧加剧导致市场对美联储降息的预期再度抬升，目前市场普遍预期美联储将在本月会议上降息25个基点，并在12月再降一次降息25个基点，预计12月再次降息的可能性为83%。</w:t>
      </w:r>
    </w:p>
    <w:p w14:paraId="455C826C" w14:textId="27B2558C" w:rsidR="00BF7D0E" w:rsidRPr="00253827" w:rsidRDefault="00A867D6" w:rsidP="009807E3">
      <w:pPr>
        <w:spacing w:line="312" w:lineRule="auto"/>
        <w:ind w:firstLine="420"/>
        <w:rPr>
          <w:rFonts w:ascii="宋体" w:hAnsi="宋体" w:cs="宋体"/>
        </w:rPr>
      </w:pPr>
      <w:r w:rsidRPr="00253827">
        <w:rPr>
          <w:rFonts w:ascii="宋体" w:hAnsi="宋体" w:cs="宋体"/>
        </w:rPr>
        <w:t>国内端，</w:t>
      </w:r>
      <w:r w:rsidR="00253827" w:rsidRPr="00253827">
        <w:rPr>
          <w:rFonts w:ascii="宋体" w:hAnsi="宋体" w:cs="宋体"/>
        </w:rPr>
        <w:t>9</w:t>
      </w:r>
      <w:r w:rsidR="003265E6" w:rsidRPr="00253827">
        <w:rPr>
          <w:rFonts w:ascii="宋体" w:hAnsi="宋体" w:cs="宋体" w:hint="eastAsia"/>
        </w:rPr>
        <w:t>月我国官方制造业PMI、非制造业PMI和综合PMI分别为</w:t>
      </w:r>
      <w:r w:rsidR="00253827" w:rsidRPr="00253827">
        <w:rPr>
          <w:rFonts w:ascii="宋体" w:hAnsi="宋体" w:cs="宋体"/>
        </w:rPr>
        <w:t>49.8</w:t>
      </w:r>
      <w:r w:rsidR="003265E6" w:rsidRPr="00253827">
        <w:rPr>
          <w:rFonts w:ascii="宋体" w:hAnsi="宋体" w:cs="宋体" w:hint="eastAsia"/>
        </w:rPr>
        <w:t>%、50%和50.</w:t>
      </w:r>
      <w:r w:rsidR="00253827" w:rsidRPr="00253827">
        <w:rPr>
          <w:rFonts w:ascii="宋体" w:hAnsi="宋体" w:cs="宋体"/>
        </w:rPr>
        <w:t>6</w:t>
      </w:r>
      <w:r w:rsidR="003265E6" w:rsidRPr="00253827">
        <w:rPr>
          <w:rFonts w:ascii="宋体" w:hAnsi="宋体" w:cs="宋体" w:hint="eastAsia"/>
        </w:rPr>
        <w:t>%，环比升0.</w:t>
      </w:r>
      <w:r w:rsidR="00253827" w:rsidRPr="00253827">
        <w:rPr>
          <w:rFonts w:ascii="宋体" w:hAnsi="宋体" w:cs="宋体"/>
        </w:rPr>
        <w:t>4</w:t>
      </w:r>
      <w:r w:rsidR="003265E6" w:rsidRPr="00253827">
        <w:rPr>
          <w:rFonts w:ascii="宋体" w:hAnsi="宋体" w:cs="宋体" w:hint="eastAsia"/>
        </w:rPr>
        <w:t>、</w:t>
      </w:r>
      <w:r w:rsidR="00253827" w:rsidRPr="00253827">
        <w:rPr>
          <w:rFonts w:ascii="宋体" w:hAnsi="宋体" w:cs="宋体" w:hint="eastAsia"/>
        </w:rPr>
        <w:t>降</w:t>
      </w:r>
      <w:r w:rsidR="003265E6" w:rsidRPr="00253827">
        <w:rPr>
          <w:rFonts w:ascii="宋体" w:hAnsi="宋体" w:cs="宋体" w:hint="eastAsia"/>
        </w:rPr>
        <w:t>0.</w:t>
      </w:r>
      <w:r w:rsidR="00253827" w:rsidRPr="00253827">
        <w:rPr>
          <w:rFonts w:ascii="宋体" w:hAnsi="宋体" w:cs="宋体"/>
        </w:rPr>
        <w:t>3</w:t>
      </w:r>
      <w:r w:rsidR="003265E6" w:rsidRPr="00253827">
        <w:rPr>
          <w:rFonts w:ascii="宋体" w:hAnsi="宋体" w:cs="宋体" w:hint="eastAsia"/>
        </w:rPr>
        <w:t>和</w:t>
      </w:r>
      <w:r w:rsidR="00253827" w:rsidRPr="00253827">
        <w:rPr>
          <w:rFonts w:ascii="宋体" w:hAnsi="宋体" w:cs="宋体" w:hint="eastAsia"/>
        </w:rPr>
        <w:t>升</w:t>
      </w:r>
      <w:r w:rsidR="003265E6" w:rsidRPr="00253827">
        <w:rPr>
          <w:rFonts w:ascii="宋体" w:hAnsi="宋体" w:cs="宋体" w:hint="eastAsia"/>
        </w:rPr>
        <w:t>0.</w:t>
      </w:r>
      <w:r w:rsidR="00253827" w:rsidRPr="00253827">
        <w:rPr>
          <w:rFonts w:ascii="宋体" w:hAnsi="宋体" w:cs="宋体"/>
        </w:rPr>
        <w:t>1</w:t>
      </w:r>
      <w:r w:rsidR="003265E6" w:rsidRPr="00253827">
        <w:rPr>
          <w:rFonts w:ascii="宋体" w:hAnsi="宋体" w:cs="宋体" w:hint="eastAsia"/>
        </w:rPr>
        <w:t>个百分点，经济景气水平总体</w:t>
      </w:r>
      <w:r w:rsidR="00253827" w:rsidRPr="00253827">
        <w:rPr>
          <w:rFonts w:ascii="宋体" w:hAnsi="宋体" w:cs="宋体" w:hint="eastAsia"/>
        </w:rPr>
        <w:t>趋稳</w:t>
      </w:r>
      <w:r w:rsidR="003265E6" w:rsidRPr="00253827">
        <w:rPr>
          <w:rFonts w:ascii="宋体" w:hAnsi="宋体" w:cs="宋体" w:hint="eastAsia"/>
        </w:rPr>
        <w:t>。其中新订单及新出口订单降幅较上月</w:t>
      </w:r>
      <w:r w:rsidR="00253827" w:rsidRPr="00253827">
        <w:rPr>
          <w:rFonts w:ascii="宋体" w:hAnsi="宋体" w:cs="宋体" w:hint="eastAsia"/>
        </w:rPr>
        <w:t>分别</w:t>
      </w:r>
      <w:r w:rsidR="003265E6" w:rsidRPr="00253827">
        <w:rPr>
          <w:rFonts w:ascii="宋体" w:hAnsi="宋体" w:cs="宋体" w:hint="eastAsia"/>
        </w:rPr>
        <w:t>收窄0.</w:t>
      </w:r>
      <w:r w:rsidR="00253827" w:rsidRPr="00253827">
        <w:rPr>
          <w:rFonts w:ascii="宋体" w:hAnsi="宋体" w:cs="宋体"/>
        </w:rPr>
        <w:t>2</w:t>
      </w:r>
      <w:r w:rsidR="00253827" w:rsidRPr="00253827">
        <w:rPr>
          <w:rFonts w:ascii="宋体" w:hAnsi="宋体" w:cs="宋体" w:hint="eastAsia"/>
        </w:rPr>
        <w:t>和0</w:t>
      </w:r>
      <w:r w:rsidR="00253827" w:rsidRPr="00253827">
        <w:rPr>
          <w:rFonts w:ascii="宋体" w:hAnsi="宋体" w:cs="宋体"/>
        </w:rPr>
        <w:t>.6</w:t>
      </w:r>
      <w:r w:rsidR="003265E6" w:rsidRPr="00253827">
        <w:rPr>
          <w:rFonts w:ascii="宋体" w:hAnsi="宋体" w:cs="宋体" w:hint="eastAsia"/>
        </w:rPr>
        <w:t>个百分点，内外需</w:t>
      </w:r>
      <w:r w:rsidR="005E4D72" w:rsidRPr="00253827">
        <w:rPr>
          <w:rFonts w:ascii="宋体" w:hAnsi="宋体" w:cs="宋体" w:hint="eastAsia"/>
        </w:rPr>
        <w:t>小幅</w:t>
      </w:r>
      <w:r w:rsidR="003265E6" w:rsidRPr="00253827">
        <w:rPr>
          <w:rFonts w:ascii="宋体" w:hAnsi="宋体" w:cs="宋体" w:hint="eastAsia"/>
        </w:rPr>
        <w:t>改善</w:t>
      </w:r>
      <w:r w:rsidR="005E4D72" w:rsidRPr="00253827">
        <w:rPr>
          <w:rFonts w:ascii="宋体" w:hAnsi="宋体" w:cs="宋体" w:hint="eastAsia"/>
        </w:rPr>
        <w:t>但仍处于收缩区间</w:t>
      </w:r>
      <w:r w:rsidR="003265E6" w:rsidRPr="00253827">
        <w:rPr>
          <w:rFonts w:ascii="宋体" w:hAnsi="宋体" w:cs="宋体" w:hint="eastAsia"/>
        </w:rPr>
        <w:t>。</w:t>
      </w:r>
      <w:r w:rsidR="005E4D72" w:rsidRPr="00253827">
        <w:rPr>
          <w:rFonts w:ascii="宋体" w:hAnsi="宋体" w:cs="宋体" w:hint="eastAsia"/>
        </w:rPr>
        <w:t>此外，</w:t>
      </w:r>
      <w:r w:rsidR="00253827" w:rsidRPr="00253827">
        <w:rPr>
          <w:rFonts w:ascii="宋体" w:hAnsi="宋体" w:cs="宋体"/>
        </w:rPr>
        <w:t>9</w:t>
      </w:r>
      <w:r w:rsidR="005E4D72" w:rsidRPr="00253827">
        <w:rPr>
          <w:rFonts w:ascii="宋体" w:hAnsi="宋体" w:cs="宋体" w:hint="eastAsia"/>
        </w:rPr>
        <w:t>月我国</w:t>
      </w:r>
      <w:r w:rsidR="00DE437F">
        <w:rPr>
          <w:rFonts w:ascii="宋体" w:hAnsi="宋体" w:cs="宋体" w:hint="eastAsia"/>
        </w:rPr>
        <w:t>出口同比8</w:t>
      </w:r>
      <w:r w:rsidR="00DE437F">
        <w:rPr>
          <w:rFonts w:ascii="宋体" w:hAnsi="宋体" w:cs="宋体"/>
        </w:rPr>
        <w:t>.3%</w:t>
      </w:r>
      <w:r w:rsidR="00DE437F">
        <w:rPr>
          <w:rFonts w:ascii="宋体" w:hAnsi="宋体" w:cs="宋体" w:hint="eastAsia"/>
        </w:rPr>
        <w:t>，进口同比7</w:t>
      </w:r>
      <w:r w:rsidR="00DE437F">
        <w:rPr>
          <w:rFonts w:ascii="宋体" w:hAnsi="宋体" w:cs="宋体"/>
        </w:rPr>
        <w:t>.4%</w:t>
      </w:r>
      <w:r w:rsidR="00DE437F">
        <w:rPr>
          <w:rFonts w:ascii="宋体" w:hAnsi="宋体" w:cs="宋体" w:hint="eastAsia"/>
        </w:rPr>
        <w:t>，远超预期</w:t>
      </w:r>
      <w:r w:rsidR="00DE437F">
        <w:rPr>
          <w:rFonts w:ascii="宋体" w:hAnsi="宋体" w:cs="宋体"/>
        </w:rPr>
        <w:t>7.1</w:t>
      </w:r>
      <w:r w:rsidR="00DE437F">
        <w:rPr>
          <w:rFonts w:ascii="宋体" w:hAnsi="宋体" w:cs="宋体" w:hint="eastAsia"/>
        </w:rPr>
        <w:t>和1</w:t>
      </w:r>
      <w:r w:rsidR="00DE437F">
        <w:rPr>
          <w:rFonts w:ascii="宋体" w:hAnsi="宋体" w:cs="宋体"/>
        </w:rPr>
        <w:t>.5%</w:t>
      </w:r>
      <w:r w:rsidR="00DE437F">
        <w:rPr>
          <w:rFonts w:ascii="宋体" w:hAnsi="宋体" w:cs="宋体" w:hint="eastAsia"/>
        </w:rPr>
        <w:t>，与P</w:t>
      </w:r>
      <w:r w:rsidR="00DE437F">
        <w:rPr>
          <w:rFonts w:ascii="宋体" w:hAnsi="宋体" w:cs="宋体"/>
        </w:rPr>
        <w:t>MI</w:t>
      </w:r>
      <w:r w:rsidR="00DE437F">
        <w:rPr>
          <w:rFonts w:ascii="宋体" w:hAnsi="宋体" w:cs="宋体" w:hint="eastAsia"/>
        </w:rPr>
        <w:t>恢复趋势相一致。</w:t>
      </w:r>
      <w:r w:rsidR="00DE437F" w:rsidRPr="00DE437F">
        <w:rPr>
          <w:rFonts w:ascii="宋体" w:hAnsi="宋体" w:cs="宋体" w:hint="eastAsia"/>
        </w:rPr>
        <w:t>但近日特朗普威胁对华加征100%关税，叠加外需复苏基础尚不牢固，料导致10月外贸进一步承压，考虑到特朗普将关税政策实施的时间设置为11月1日，仍有谈判空间</w:t>
      </w:r>
      <w:r w:rsidR="00DE437F">
        <w:rPr>
          <w:rFonts w:ascii="宋体" w:hAnsi="宋体" w:cs="宋体" w:hint="eastAsia"/>
        </w:rPr>
        <w:t>。综上，我国</w:t>
      </w:r>
      <w:r w:rsidR="003265E6" w:rsidRPr="00253827">
        <w:rPr>
          <w:rFonts w:ascii="宋体" w:hAnsi="宋体" w:cs="宋体" w:hint="eastAsia"/>
        </w:rPr>
        <w:t>经济复苏</w:t>
      </w:r>
      <w:r w:rsidR="005E4D72" w:rsidRPr="00253827">
        <w:rPr>
          <w:rFonts w:ascii="宋体" w:hAnsi="宋体" w:cs="宋体" w:hint="eastAsia"/>
        </w:rPr>
        <w:t>趋势依旧稳固</w:t>
      </w:r>
      <w:r w:rsidR="003265E6" w:rsidRPr="00253827">
        <w:rPr>
          <w:rFonts w:ascii="宋体" w:hAnsi="宋体" w:cs="宋体" w:hint="eastAsia"/>
        </w:rPr>
        <w:t>，人民币汇率</w:t>
      </w:r>
      <w:r w:rsidR="005E4D72" w:rsidRPr="00253827">
        <w:rPr>
          <w:rFonts w:ascii="宋体" w:hAnsi="宋体" w:cs="宋体" w:hint="eastAsia"/>
        </w:rPr>
        <w:t>在美联储降息的背景下料</w:t>
      </w:r>
      <w:r w:rsidR="003265E6" w:rsidRPr="00253827">
        <w:rPr>
          <w:rFonts w:ascii="宋体" w:hAnsi="宋体" w:cs="宋体" w:hint="eastAsia"/>
        </w:rPr>
        <w:t>稳</w:t>
      </w:r>
      <w:r w:rsidR="005E4D72" w:rsidRPr="00253827">
        <w:rPr>
          <w:rFonts w:ascii="宋体" w:hAnsi="宋体" w:cs="宋体" w:hint="eastAsia"/>
        </w:rPr>
        <w:t>中向上</w:t>
      </w:r>
      <w:r w:rsidR="003265E6" w:rsidRPr="00253827">
        <w:rPr>
          <w:rFonts w:ascii="宋体" w:hAnsi="宋体" w:cs="宋体" w:hint="eastAsia"/>
        </w:rPr>
        <w:t>。</w:t>
      </w:r>
    </w:p>
    <w:p w14:paraId="16FCB4C1" w14:textId="77AF1232" w:rsidR="00F954EA" w:rsidRDefault="00F954EA" w:rsidP="00194A13">
      <w:pPr>
        <w:spacing w:line="312" w:lineRule="auto"/>
        <w:ind w:firstLine="420"/>
        <w:rPr>
          <w:rFonts w:ascii="宋体" w:hAnsi="宋体"/>
        </w:rPr>
      </w:pPr>
    </w:p>
    <w:p w14:paraId="125A1050" w14:textId="77777777" w:rsidR="00F954EA" w:rsidRDefault="00F954EA" w:rsidP="00194A13">
      <w:pPr>
        <w:spacing w:line="312" w:lineRule="auto"/>
        <w:ind w:firstLine="420"/>
        <w:rPr>
          <w:rFonts w:ascii="宋体" w:hAnsi="宋体" w:cs="宋体"/>
        </w:rPr>
      </w:pP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w:t>
      </w:r>
      <w:r>
        <w:rPr>
          <w:rFonts w:ascii="微软雅黑" w:eastAsia="微软雅黑" w:hAnsi="微软雅黑" w:cs="微软雅黑"/>
          <w:color w:val="898989"/>
          <w:spacing w:val="2"/>
          <w:sz w:val="18"/>
          <w:szCs w:val="18"/>
        </w:rPr>
        <w:lastRenderedPageBreak/>
        <w:t>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CE7D" w14:textId="77777777" w:rsidR="00C42CD6" w:rsidRDefault="00C42CD6" w:rsidP="00127060">
      <w:r>
        <w:separator/>
      </w:r>
    </w:p>
  </w:endnote>
  <w:endnote w:type="continuationSeparator" w:id="0">
    <w:p w14:paraId="5A00D0B7" w14:textId="77777777" w:rsidR="00C42CD6" w:rsidRDefault="00C42CD6"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3A1B8" w14:textId="77777777" w:rsidR="00C42CD6" w:rsidRDefault="00C42CD6" w:rsidP="00127060">
      <w:r>
        <w:separator/>
      </w:r>
    </w:p>
  </w:footnote>
  <w:footnote w:type="continuationSeparator" w:id="0">
    <w:p w14:paraId="255DD264" w14:textId="77777777" w:rsidR="00C42CD6" w:rsidRDefault="00C42CD6"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27E"/>
    <w:rsid w:val="00011E90"/>
    <w:rsid w:val="00015ABA"/>
    <w:rsid w:val="00015CEB"/>
    <w:rsid w:val="00016329"/>
    <w:rsid w:val="00017E90"/>
    <w:rsid w:val="00021789"/>
    <w:rsid w:val="000218EC"/>
    <w:rsid w:val="00023083"/>
    <w:rsid w:val="0002357D"/>
    <w:rsid w:val="00027E72"/>
    <w:rsid w:val="000301E2"/>
    <w:rsid w:val="000328C5"/>
    <w:rsid w:val="00032F98"/>
    <w:rsid w:val="000447DD"/>
    <w:rsid w:val="00046EC5"/>
    <w:rsid w:val="0005052B"/>
    <w:rsid w:val="00052952"/>
    <w:rsid w:val="000540B3"/>
    <w:rsid w:val="00054D2E"/>
    <w:rsid w:val="00055C18"/>
    <w:rsid w:val="0005615C"/>
    <w:rsid w:val="00056C00"/>
    <w:rsid w:val="00057586"/>
    <w:rsid w:val="00061E07"/>
    <w:rsid w:val="000649D8"/>
    <w:rsid w:val="000658CB"/>
    <w:rsid w:val="00066060"/>
    <w:rsid w:val="00072AF7"/>
    <w:rsid w:val="0007552B"/>
    <w:rsid w:val="00083FCF"/>
    <w:rsid w:val="000902C1"/>
    <w:rsid w:val="00094A69"/>
    <w:rsid w:val="0009578B"/>
    <w:rsid w:val="000959E1"/>
    <w:rsid w:val="00096C6B"/>
    <w:rsid w:val="000A0A52"/>
    <w:rsid w:val="000A1B52"/>
    <w:rsid w:val="000A1C34"/>
    <w:rsid w:val="000A1E80"/>
    <w:rsid w:val="000A5DB1"/>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0F6721"/>
    <w:rsid w:val="000F6A0B"/>
    <w:rsid w:val="00100296"/>
    <w:rsid w:val="0011314B"/>
    <w:rsid w:val="00113D9E"/>
    <w:rsid w:val="00115730"/>
    <w:rsid w:val="0012070F"/>
    <w:rsid w:val="00125BEA"/>
    <w:rsid w:val="00127060"/>
    <w:rsid w:val="001470E8"/>
    <w:rsid w:val="00150521"/>
    <w:rsid w:val="00153427"/>
    <w:rsid w:val="001564E1"/>
    <w:rsid w:val="0015671A"/>
    <w:rsid w:val="001573DE"/>
    <w:rsid w:val="00182FB2"/>
    <w:rsid w:val="001847B0"/>
    <w:rsid w:val="001869F4"/>
    <w:rsid w:val="001938CF"/>
    <w:rsid w:val="00194A13"/>
    <w:rsid w:val="00195C4D"/>
    <w:rsid w:val="00197E1F"/>
    <w:rsid w:val="00197E3E"/>
    <w:rsid w:val="001A59DE"/>
    <w:rsid w:val="001B6505"/>
    <w:rsid w:val="001C598E"/>
    <w:rsid w:val="001C7A4C"/>
    <w:rsid w:val="001C7CB7"/>
    <w:rsid w:val="001D5BF6"/>
    <w:rsid w:val="001F0839"/>
    <w:rsid w:val="001F0B8B"/>
    <w:rsid w:val="001F3157"/>
    <w:rsid w:val="001F4E90"/>
    <w:rsid w:val="001F6D4B"/>
    <w:rsid w:val="0020319F"/>
    <w:rsid w:val="002041D1"/>
    <w:rsid w:val="0020501F"/>
    <w:rsid w:val="0020541A"/>
    <w:rsid w:val="00215D99"/>
    <w:rsid w:val="0021694A"/>
    <w:rsid w:val="00216CC4"/>
    <w:rsid w:val="00220075"/>
    <w:rsid w:val="00220B10"/>
    <w:rsid w:val="00220C9B"/>
    <w:rsid w:val="002221A8"/>
    <w:rsid w:val="00223E72"/>
    <w:rsid w:val="00227DE4"/>
    <w:rsid w:val="002348D9"/>
    <w:rsid w:val="002348FA"/>
    <w:rsid w:val="00242AD4"/>
    <w:rsid w:val="00244509"/>
    <w:rsid w:val="00247EFC"/>
    <w:rsid w:val="00253827"/>
    <w:rsid w:val="00257436"/>
    <w:rsid w:val="0026035D"/>
    <w:rsid w:val="002617AF"/>
    <w:rsid w:val="00263BE6"/>
    <w:rsid w:val="00266134"/>
    <w:rsid w:val="0027103D"/>
    <w:rsid w:val="00273827"/>
    <w:rsid w:val="00276F3C"/>
    <w:rsid w:val="002779DB"/>
    <w:rsid w:val="0028510B"/>
    <w:rsid w:val="0028572C"/>
    <w:rsid w:val="00290F42"/>
    <w:rsid w:val="002A359F"/>
    <w:rsid w:val="002A79EF"/>
    <w:rsid w:val="002C346F"/>
    <w:rsid w:val="002C4410"/>
    <w:rsid w:val="002C6293"/>
    <w:rsid w:val="002C7B4F"/>
    <w:rsid w:val="002D1AA3"/>
    <w:rsid w:val="002D2D54"/>
    <w:rsid w:val="002D49D0"/>
    <w:rsid w:val="002D62A9"/>
    <w:rsid w:val="002E0B93"/>
    <w:rsid w:val="002E39E8"/>
    <w:rsid w:val="002E48D7"/>
    <w:rsid w:val="002F6580"/>
    <w:rsid w:val="00300223"/>
    <w:rsid w:val="00301549"/>
    <w:rsid w:val="003041AA"/>
    <w:rsid w:val="00304D86"/>
    <w:rsid w:val="00304DF8"/>
    <w:rsid w:val="003066A3"/>
    <w:rsid w:val="003070DC"/>
    <w:rsid w:val="00310347"/>
    <w:rsid w:val="00312B57"/>
    <w:rsid w:val="00324293"/>
    <w:rsid w:val="003265E6"/>
    <w:rsid w:val="00326BE8"/>
    <w:rsid w:val="00336209"/>
    <w:rsid w:val="00341353"/>
    <w:rsid w:val="00343540"/>
    <w:rsid w:val="00350819"/>
    <w:rsid w:val="00351614"/>
    <w:rsid w:val="0035301A"/>
    <w:rsid w:val="003576ED"/>
    <w:rsid w:val="00357828"/>
    <w:rsid w:val="00363129"/>
    <w:rsid w:val="0036506F"/>
    <w:rsid w:val="003665FF"/>
    <w:rsid w:val="0036685A"/>
    <w:rsid w:val="00371BC0"/>
    <w:rsid w:val="00377B85"/>
    <w:rsid w:val="003903E1"/>
    <w:rsid w:val="00392306"/>
    <w:rsid w:val="003A2616"/>
    <w:rsid w:val="003A4CF3"/>
    <w:rsid w:val="003A7F2C"/>
    <w:rsid w:val="003B49D5"/>
    <w:rsid w:val="003C55CB"/>
    <w:rsid w:val="003D2210"/>
    <w:rsid w:val="003D3AF3"/>
    <w:rsid w:val="003D3DB8"/>
    <w:rsid w:val="003D7A03"/>
    <w:rsid w:val="003E0E92"/>
    <w:rsid w:val="003E1D2F"/>
    <w:rsid w:val="003E2D6E"/>
    <w:rsid w:val="003E5930"/>
    <w:rsid w:val="003F2BF1"/>
    <w:rsid w:val="003F3205"/>
    <w:rsid w:val="004012E4"/>
    <w:rsid w:val="004023AC"/>
    <w:rsid w:val="0040735B"/>
    <w:rsid w:val="00407F4C"/>
    <w:rsid w:val="00413A6A"/>
    <w:rsid w:val="00414D5B"/>
    <w:rsid w:val="00416F99"/>
    <w:rsid w:val="00420D11"/>
    <w:rsid w:val="00431962"/>
    <w:rsid w:val="00431FCF"/>
    <w:rsid w:val="00433DAC"/>
    <w:rsid w:val="00434A8A"/>
    <w:rsid w:val="004428AC"/>
    <w:rsid w:val="004445D6"/>
    <w:rsid w:val="00447802"/>
    <w:rsid w:val="0045019A"/>
    <w:rsid w:val="004521D8"/>
    <w:rsid w:val="00456C36"/>
    <w:rsid w:val="00456F4B"/>
    <w:rsid w:val="00462568"/>
    <w:rsid w:val="00464902"/>
    <w:rsid w:val="00472C1A"/>
    <w:rsid w:val="0048255E"/>
    <w:rsid w:val="00482C6C"/>
    <w:rsid w:val="004855D9"/>
    <w:rsid w:val="004A483B"/>
    <w:rsid w:val="004A5DEA"/>
    <w:rsid w:val="004A618A"/>
    <w:rsid w:val="004B1822"/>
    <w:rsid w:val="004B3117"/>
    <w:rsid w:val="004B4636"/>
    <w:rsid w:val="004B569D"/>
    <w:rsid w:val="004B6B0F"/>
    <w:rsid w:val="004C131F"/>
    <w:rsid w:val="004C243D"/>
    <w:rsid w:val="004D283C"/>
    <w:rsid w:val="004D75A9"/>
    <w:rsid w:val="004E10AA"/>
    <w:rsid w:val="004E22E6"/>
    <w:rsid w:val="004E332D"/>
    <w:rsid w:val="004F0C55"/>
    <w:rsid w:val="004F16E7"/>
    <w:rsid w:val="0050173E"/>
    <w:rsid w:val="00505DD6"/>
    <w:rsid w:val="00511152"/>
    <w:rsid w:val="0051618C"/>
    <w:rsid w:val="00537CF9"/>
    <w:rsid w:val="0055205C"/>
    <w:rsid w:val="00571EBF"/>
    <w:rsid w:val="00574E1F"/>
    <w:rsid w:val="00583AD9"/>
    <w:rsid w:val="00585144"/>
    <w:rsid w:val="005B0999"/>
    <w:rsid w:val="005D4042"/>
    <w:rsid w:val="005D591B"/>
    <w:rsid w:val="005D6040"/>
    <w:rsid w:val="005E4D72"/>
    <w:rsid w:val="005E791A"/>
    <w:rsid w:val="005F55A3"/>
    <w:rsid w:val="005F7439"/>
    <w:rsid w:val="00600382"/>
    <w:rsid w:val="006206E8"/>
    <w:rsid w:val="00621D14"/>
    <w:rsid w:val="00624E74"/>
    <w:rsid w:val="00626AF8"/>
    <w:rsid w:val="00626F9A"/>
    <w:rsid w:val="00637EE4"/>
    <w:rsid w:val="006466A9"/>
    <w:rsid w:val="00646D9C"/>
    <w:rsid w:val="00647B32"/>
    <w:rsid w:val="0065442E"/>
    <w:rsid w:val="00655606"/>
    <w:rsid w:val="00655FE4"/>
    <w:rsid w:val="006603DF"/>
    <w:rsid w:val="0066318A"/>
    <w:rsid w:val="00671429"/>
    <w:rsid w:val="00671C9F"/>
    <w:rsid w:val="006938C5"/>
    <w:rsid w:val="006A2C2A"/>
    <w:rsid w:val="006A35D1"/>
    <w:rsid w:val="006A3F5D"/>
    <w:rsid w:val="006A584F"/>
    <w:rsid w:val="006B50D4"/>
    <w:rsid w:val="006B685C"/>
    <w:rsid w:val="006C158F"/>
    <w:rsid w:val="006C1898"/>
    <w:rsid w:val="006D339B"/>
    <w:rsid w:val="006E2C2D"/>
    <w:rsid w:val="006E5C84"/>
    <w:rsid w:val="006E7ABA"/>
    <w:rsid w:val="00710E4C"/>
    <w:rsid w:val="0071470E"/>
    <w:rsid w:val="00715E21"/>
    <w:rsid w:val="00716E5A"/>
    <w:rsid w:val="0072465D"/>
    <w:rsid w:val="00724724"/>
    <w:rsid w:val="00730110"/>
    <w:rsid w:val="007348A2"/>
    <w:rsid w:val="00746E5A"/>
    <w:rsid w:val="00762458"/>
    <w:rsid w:val="00762BC0"/>
    <w:rsid w:val="00763B4A"/>
    <w:rsid w:val="00772ADA"/>
    <w:rsid w:val="00776BB4"/>
    <w:rsid w:val="00777880"/>
    <w:rsid w:val="00781600"/>
    <w:rsid w:val="007844B4"/>
    <w:rsid w:val="00785749"/>
    <w:rsid w:val="0078583C"/>
    <w:rsid w:val="00786FC0"/>
    <w:rsid w:val="00787BFA"/>
    <w:rsid w:val="00792957"/>
    <w:rsid w:val="00792E03"/>
    <w:rsid w:val="0079373C"/>
    <w:rsid w:val="007A5815"/>
    <w:rsid w:val="007B10D1"/>
    <w:rsid w:val="007B3FE4"/>
    <w:rsid w:val="007B677E"/>
    <w:rsid w:val="007B746D"/>
    <w:rsid w:val="007C0CD5"/>
    <w:rsid w:val="007C4700"/>
    <w:rsid w:val="007C648F"/>
    <w:rsid w:val="007C7C58"/>
    <w:rsid w:val="007D3E5A"/>
    <w:rsid w:val="007D4B15"/>
    <w:rsid w:val="007D60FF"/>
    <w:rsid w:val="007E1257"/>
    <w:rsid w:val="007E4414"/>
    <w:rsid w:val="007F0835"/>
    <w:rsid w:val="007F6420"/>
    <w:rsid w:val="00804540"/>
    <w:rsid w:val="00813A5E"/>
    <w:rsid w:val="0083623C"/>
    <w:rsid w:val="00844DA7"/>
    <w:rsid w:val="00847CAE"/>
    <w:rsid w:val="00852D32"/>
    <w:rsid w:val="00852FAF"/>
    <w:rsid w:val="00853402"/>
    <w:rsid w:val="00854449"/>
    <w:rsid w:val="008575F1"/>
    <w:rsid w:val="0086476E"/>
    <w:rsid w:val="008663E7"/>
    <w:rsid w:val="0087172E"/>
    <w:rsid w:val="00881976"/>
    <w:rsid w:val="00882F85"/>
    <w:rsid w:val="00886C14"/>
    <w:rsid w:val="00887911"/>
    <w:rsid w:val="008A1FB2"/>
    <w:rsid w:val="008A2B9D"/>
    <w:rsid w:val="008A4C3C"/>
    <w:rsid w:val="008B0DD1"/>
    <w:rsid w:val="008B325C"/>
    <w:rsid w:val="008B5B8F"/>
    <w:rsid w:val="008B5D1D"/>
    <w:rsid w:val="008B7950"/>
    <w:rsid w:val="008C13E8"/>
    <w:rsid w:val="008C1403"/>
    <w:rsid w:val="008C1856"/>
    <w:rsid w:val="008C2303"/>
    <w:rsid w:val="008C495E"/>
    <w:rsid w:val="008C55B1"/>
    <w:rsid w:val="008C58A9"/>
    <w:rsid w:val="008E52D9"/>
    <w:rsid w:val="0090054A"/>
    <w:rsid w:val="009078F0"/>
    <w:rsid w:val="00912158"/>
    <w:rsid w:val="00915D99"/>
    <w:rsid w:val="00916155"/>
    <w:rsid w:val="00916F88"/>
    <w:rsid w:val="00921AD3"/>
    <w:rsid w:val="00922740"/>
    <w:rsid w:val="00930998"/>
    <w:rsid w:val="0093171E"/>
    <w:rsid w:val="00934D76"/>
    <w:rsid w:val="00941B7A"/>
    <w:rsid w:val="009425B7"/>
    <w:rsid w:val="00950AA4"/>
    <w:rsid w:val="0095193C"/>
    <w:rsid w:val="009528D9"/>
    <w:rsid w:val="009615A9"/>
    <w:rsid w:val="009624AE"/>
    <w:rsid w:val="00964904"/>
    <w:rsid w:val="00965238"/>
    <w:rsid w:val="0097610B"/>
    <w:rsid w:val="0097639B"/>
    <w:rsid w:val="009807E3"/>
    <w:rsid w:val="009821C1"/>
    <w:rsid w:val="00982EB3"/>
    <w:rsid w:val="00984FF0"/>
    <w:rsid w:val="009866FF"/>
    <w:rsid w:val="009927F3"/>
    <w:rsid w:val="0099372E"/>
    <w:rsid w:val="00994228"/>
    <w:rsid w:val="009A27BC"/>
    <w:rsid w:val="009A75FC"/>
    <w:rsid w:val="009B25EF"/>
    <w:rsid w:val="009C0381"/>
    <w:rsid w:val="009C0504"/>
    <w:rsid w:val="009C3D02"/>
    <w:rsid w:val="009C7D4B"/>
    <w:rsid w:val="009D128B"/>
    <w:rsid w:val="009D18C0"/>
    <w:rsid w:val="009D1C60"/>
    <w:rsid w:val="009D2952"/>
    <w:rsid w:val="009D30D7"/>
    <w:rsid w:val="009D3BE6"/>
    <w:rsid w:val="009D594C"/>
    <w:rsid w:val="009E58E4"/>
    <w:rsid w:val="009F2447"/>
    <w:rsid w:val="009F3358"/>
    <w:rsid w:val="009F417E"/>
    <w:rsid w:val="00A00F94"/>
    <w:rsid w:val="00A10A17"/>
    <w:rsid w:val="00A11272"/>
    <w:rsid w:val="00A12E97"/>
    <w:rsid w:val="00A234E0"/>
    <w:rsid w:val="00A26326"/>
    <w:rsid w:val="00A3024E"/>
    <w:rsid w:val="00A31FA7"/>
    <w:rsid w:val="00A32364"/>
    <w:rsid w:val="00A33EC9"/>
    <w:rsid w:val="00A3670A"/>
    <w:rsid w:val="00A3724E"/>
    <w:rsid w:val="00A37796"/>
    <w:rsid w:val="00A37AF9"/>
    <w:rsid w:val="00A4147F"/>
    <w:rsid w:val="00A46DE2"/>
    <w:rsid w:val="00A53530"/>
    <w:rsid w:val="00A568F0"/>
    <w:rsid w:val="00A618F2"/>
    <w:rsid w:val="00A70404"/>
    <w:rsid w:val="00A70BD1"/>
    <w:rsid w:val="00A71812"/>
    <w:rsid w:val="00A74769"/>
    <w:rsid w:val="00A77350"/>
    <w:rsid w:val="00A84ED5"/>
    <w:rsid w:val="00A867D6"/>
    <w:rsid w:val="00A87B55"/>
    <w:rsid w:val="00A959A4"/>
    <w:rsid w:val="00AA73C1"/>
    <w:rsid w:val="00AA7E59"/>
    <w:rsid w:val="00AB2BF2"/>
    <w:rsid w:val="00AB77E4"/>
    <w:rsid w:val="00AB7FCB"/>
    <w:rsid w:val="00AC09FC"/>
    <w:rsid w:val="00AC23F7"/>
    <w:rsid w:val="00AD25D1"/>
    <w:rsid w:val="00AD468C"/>
    <w:rsid w:val="00AE352D"/>
    <w:rsid w:val="00AE4401"/>
    <w:rsid w:val="00AE5D02"/>
    <w:rsid w:val="00AF4AA5"/>
    <w:rsid w:val="00B158F9"/>
    <w:rsid w:val="00B17CED"/>
    <w:rsid w:val="00B20497"/>
    <w:rsid w:val="00B21983"/>
    <w:rsid w:val="00B25A83"/>
    <w:rsid w:val="00B45667"/>
    <w:rsid w:val="00B53C41"/>
    <w:rsid w:val="00B6015F"/>
    <w:rsid w:val="00B61147"/>
    <w:rsid w:val="00B62125"/>
    <w:rsid w:val="00B62126"/>
    <w:rsid w:val="00B62713"/>
    <w:rsid w:val="00B64891"/>
    <w:rsid w:val="00B67586"/>
    <w:rsid w:val="00B715B9"/>
    <w:rsid w:val="00B71877"/>
    <w:rsid w:val="00B73B17"/>
    <w:rsid w:val="00B73C28"/>
    <w:rsid w:val="00B74234"/>
    <w:rsid w:val="00B7440D"/>
    <w:rsid w:val="00B770FE"/>
    <w:rsid w:val="00B85DFF"/>
    <w:rsid w:val="00B874B7"/>
    <w:rsid w:val="00B87C9E"/>
    <w:rsid w:val="00B91814"/>
    <w:rsid w:val="00BA0B26"/>
    <w:rsid w:val="00BA6CC1"/>
    <w:rsid w:val="00BA7B2C"/>
    <w:rsid w:val="00BA7C59"/>
    <w:rsid w:val="00BB52D1"/>
    <w:rsid w:val="00BB573D"/>
    <w:rsid w:val="00BB7F54"/>
    <w:rsid w:val="00BC01B8"/>
    <w:rsid w:val="00BC2F10"/>
    <w:rsid w:val="00BC610A"/>
    <w:rsid w:val="00BD0804"/>
    <w:rsid w:val="00BD65EE"/>
    <w:rsid w:val="00BD7EBC"/>
    <w:rsid w:val="00BE2780"/>
    <w:rsid w:val="00BE728D"/>
    <w:rsid w:val="00BE7495"/>
    <w:rsid w:val="00BF0672"/>
    <w:rsid w:val="00BF1550"/>
    <w:rsid w:val="00BF21E2"/>
    <w:rsid w:val="00BF4F9A"/>
    <w:rsid w:val="00BF7D0E"/>
    <w:rsid w:val="00C10509"/>
    <w:rsid w:val="00C11B0E"/>
    <w:rsid w:val="00C12E3E"/>
    <w:rsid w:val="00C15A00"/>
    <w:rsid w:val="00C21A4B"/>
    <w:rsid w:val="00C25AC5"/>
    <w:rsid w:val="00C3478E"/>
    <w:rsid w:val="00C34E83"/>
    <w:rsid w:val="00C37583"/>
    <w:rsid w:val="00C42CD6"/>
    <w:rsid w:val="00C454EA"/>
    <w:rsid w:val="00C46066"/>
    <w:rsid w:val="00C46144"/>
    <w:rsid w:val="00C47469"/>
    <w:rsid w:val="00C505AE"/>
    <w:rsid w:val="00C624E3"/>
    <w:rsid w:val="00C62AC4"/>
    <w:rsid w:val="00C66DB1"/>
    <w:rsid w:val="00C670BC"/>
    <w:rsid w:val="00C70EDE"/>
    <w:rsid w:val="00C7140E"/>
    <w:rsid w:val="00C71E51"/>
    <w:rsid w:val="00C74CBC"/>
    <w:rsid w:val="00C77777"/>
    <w:rsid w:val="00C85ECA"/>
    <w:rsid w:val="00C861A9"/>
    <w:rsid w:val="00CA1C69"/>
    <w:rsid w:val="00CA2893"/>
    <w:rsid w:val="00CA393B"/>
    <w:rsid w:val="00CA3BCB"/>
    <w:rsid w:val="00CA7296"/>
    <w:rsid w:val="00CB2110"/>
    <w:rsid w:val="00CB6E2B"/>
    <w:rsid w:val="00CC28AB"/>
    <w:rsid w:val="00CC2C53"/>
    <w:rsid w:val="00CD3D78"/>
    <w:rsid w:val="00CD65B1"/>
    <w:rsid w:val="00CD7080"/>
    <w:rsid w:val="00CD788A"/>
    <w:rsid w:val="00CE4FC7"/>
    <w:rsid w:val="00CE5ABB"/>
    <w:rsid w:val="00CE6F7F"/>
    <w:rsid w:val="00CF35A8"/>
    <w:rsid w:val="00CF5574"/>
    <w:rsid w:val="00CF65DD"/>
    <w:rsid w:val="00D0319E"/>
    <w:rsid w:val="00D03363"/>
    <w:rsid w:val="00D06CB0"/>
    <w:rsid w:val="00D07670"/>
    <w:rsid w:val="00D104E8"/>
    <w:rsid w:val="00D12EAC"/>
    <w:rsid w:val="00D13805"/>
    <w:rsid w:val="00D143D7"/>
    <w:rsid w:val="00D22BF7"/>
    <w:rsid w:val="00D276C0"/>
    <w:rsid w:val="00D276C9"/>
    <w:rsid w:val="00D27DFE"/>
    <w:rsid w:val="00D3039F"/>
    <w:rsid w:val="00D32B08"/>
    <w:rsid w:val="00D37130"/>
    <w:rsid w:val="00D435DB"/>
    <w:rsid w:val="00D43B13"/>
    <w:rsid w:val="00D447B2"/>
    <w:rsid w:val="00D46F69"/>
    <w:rsid w:val="00D47035"/>
    <w:rsid w:val="00D5198D"/>
    <w:rsid w:val="00D521AE"/>
    <w:rsid w:val="00D63942"/>
    <w:rsid w:val="00D63AF2"/>
    <w:rsid w:val="00D6473B"/>
    <w:rsid w:val="00D66AEE"/>
    <w:rsid w:val="00D710D7"/>
    <w:rsid w:val="00D72D1D"/>
    <w:rsid w:val="00D7687B"/>
    <w:rsid w:val="00D80111"/>
    <w:rsid w:val="00D87535"/>
    <w:rsid w:val="00D906DE"/>
    <w:rsid w:val="00D96A08"/>
    <w:rsid w:val="00DA3C42"/>
    <w:rsid w:val="00DA6F42"/>
    <w:rsid w:val="00DB06A2"/>
    <w:rsid w:val="00DB11FD"/>
    <w:rsid w:val="00DB2849"/>
    <w:rsid w:val="00DB58B5"/>
    <w:rsid w:val="00DB70AE"/>
    <w:rsid w:val="00DD3375"/>
    <w:rsid w:val="00DE437F"/>
    <w:rsid w:val="00DE5BCE"/>
    <w:rsid w:val="00DF74BC"/>
    <w:rsid w:val="00E0471F"/>
    <w:rsid w:val="00E07DDD"/>
    <w:rsid w:val="00E1301A"/>
    <w:rsid w:val="00E136F7"/>
    <w:rsid w:val="00E151DA"/>
    <w:rsid w:val="00E23901"/>
    <w:rsid w:val="00E2570F"/>
    <w:rsid w:val="00E31C1C"/>
    <w:rsid w:val="00E342E5"/>
    <w:rsid w:val="00E37F6F"/>
    <w:rsid w:val="00E41E86"/>
    <w:rsid w:val="00E4628F"/>
    <w:rsid w:val="00E53E08"/>
    <w:rsid w:val="00E55191"/>
    <w:rsid w:val="00E600C5"/>
    <w:rsid w:val="00E615E8"/>
    <w:rsid w:val="00E62C39"/>
    <w:rsid w:val="00E70ABA"/>
    <w:rsid w:val="00E7114D"/>
    <w:rsid w:val="00E72351"/>
    <w:rsid w:val="00E72BE2"/>
    <w:rsid w:val="00E75382"/>
    <w:rsid w:val="00E8384B"/>
    <w:rsid w:val="00E83E98"/>
    <w:rsid w:val="00E8480F"/>
    <w:rsid w:val="00EA1A14"/>
    <w:rsid w:val="00EB0DF5"/>
    <w:rsid w:val="00EC0693"/>
    <w:rsid w:val="00EC0D08"/>
    <w:rsid w:val="00EC4A9B"/>
    <w:rsid w:val="00EC5267"/>
    <w:rsid w:val="00EC5EE6"/>
    <w:rsid w:val="00EC7330"/>
    <w:rsid w:val="00ED03AD"/>
    <w:rsid w:val="00ED0C59"/>
    <w:rsid w:val="00ED2B5E"/>
    <w:rsid w:val="00ED78EE"/>
    <w:rsid w:val="00EE0ABC"/>
    <w:rsid w:val="00EE0BF0"/>
    <w:rsid w:val="00EE3CE0"/>
    <w:rsid w:val="00EE4951"/>
    <w:rsid w:val="00EE517B"/>
    <w:rsid w:val="00EE7345"/>
    <w:rsid w:val="00EF044D"/>
    <w:rsid w:val="00EF470E"/>
    <w:rsid w:val="00EF4EA3"/>
    <w:rsid w:val="00EF6715"/>
    <w:rsid w:val="00F0560A"/>
    <w:rsid w:val="00F13C7E"/>
    <w:rsid w:val="00F15BF4"/>
    <w:rsid w:val="00F16626"/>
    <w:rsid w:val="00F2284B"/>
    <w:rsid w:val="00F33261"/>
    <w:rsid w:val="00F33658"/>
    <w:rsid w:val="00F35CCE"/>
    <w:rsid w:val="00F36CBD"/>
    <w:rsid w:val="00F40887"/>
    <w:rsid w:val="00F4119E"/>
    <w:rsid w:val="00F42487"/>
    <w:rsid w:val="00F443E3"/>
    <w:rsid w:val="00F44D25"/>
    <w:rsid w:val="00F5017A"/>
    <w:rsid w:val="00F56F48"/>
    <w:rsid w:val="00F64EF4"/>
    <w:rsid w:val="00F65DDC"/>
    <w:rsid w:val="00F7091A"/>
    <w:rsid w:val="00F73349"/>
    <w:rsid w:val="00F75322"/>
    <w:rsid w:val="00F759FA"/>
    <w:rsid w:val="00F75A3D"/>
    <w:rsid w:val="00F76960"/>
    <w:rsid w:val="00F772C1"/>
    <w:rsid w:val="00F810DB"/>
    <w:rsid w:val="00F858FD"/>
    <w:rsid w:val="00F868F7"/>
    <w:rsid w:val="00F94497"/>
    <w:rsid w:val="00F954EA"/>
    <w:rsid w:val="00F95B17"/>
    <w:rsid w:val="00FA206D"/>
    <w:rsid w:val="00FA6D95"/>
    <w:rsid w:val="00FB693A"/>
    <w:rsid w:val="00FB7024"/>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 w:type="paragraph" w:styleId="ad">
    <w:name w:val="Normal (Web)"/>
    <w:basedOn w:val="a"/>
    <w:uiPriority w:val="99"/>
    <w:semiHidden/>
    <w:unhideWhenUsed/>
    <w:rsid w:val="00FA20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302">
      <w:bodyDiv w:val="1"/>
      <w:marLeft w:val="0"/>
      <w:marRight w:val="0"/>
      <w:marTop w:val="0"/>
      <w:marBottom w:val="0"/>
      <w:divBdr>
        <w:top w:val="none" w:sz="0" w:space="0" w:color="auto"/>
        <w:left w:val="none" w:sz="0" w:space="0" w:color="auto"/>
        <w:bottom w:val="none" w:sz="0" w:space="0" w:color="auto"/>
        <w:right w:val="none" w:sz="0" w:space="0" w:color="auto"/>
      </w:divBdr>
    </w:div>
    <w:div w:id="374626452">
      <w:bodyDiv w:val="1"/>
      <w:marLeft w:val="0"/>
      <w:marRight w:val="0"/>
      <w:marTop w:val="0"/>
      <w:marBottom w:val="0"/>
      <w:divBdr>
        <w:top w:val="none" w:sz="0" w:space="0" w:color="auto"/>
        <w:left w:val="none" w:sz="0" w:space="0" w:color="auto"/>
        <w:bottom w:val="none" w:sz="0" w:space="0" w:color="auto"/>
        <w:right w:val="none" w:sz="0" w:space="0" w:color="auto"/>
      </w:divBdr>
      <w:divsChild>
        <w:div w:id="425460797">
          <w:marLeft w:val="446"/>
          <w:marRight w:val="0"/>
          <w:marTop w:val="0"/>
          <w:marBottom w:val="0"/>
          <w:divBdr>
            <w:top w:val="none" w:sz="0" w:space="0" w:color="auto"/>
            <w:left w:val="none" w:sz="0" w:space="0" w:color="auto"/>
            <w:bottom w:val="none" w:sz="0" w:space="0" w:color="auto"/>
            <w:right w:val="none" w:sz="0" w:space="0" w:color="auto"/>
          </w:divBdr>
        </w:div>
      </w:divsChild>
    </w:div>
    <w:div w:id="1405100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45926</c:v>
                </c:pt>
                <c:pt idx="1">
                  <c:v>45929</c:v>
                </c:pt>
                <c:pt idx="2">
                  <c:v>45930</c:v>
                </c:pt>
                <c:pt idx="3">
                  <c:v>45939</c:v>
                </c:pt>
                <c:pt idx="4">
                  <c:v>45940</c:v>
                </c:pt>
                <c:pt idx="5">
                  <c:v>45943</c:v>
                </c:pt>
              </c:numCache>
            </c:numRef>
          </c:cat>
          <c:val>
            <c:numRef>
              <c:f>'图表6 在岸、离岸人民币及价差'!$G$5:$G$10</c:f>
              <c:numCache>
                <c:formatCode>0.0000_ </c:formatCode>
                <c:ptCount val="6"/>
                <c:pt idx="0">
                  <c:v>6.8000000000001393E-3</c:v>
                </c:pt>
                <c:pt idx="1">
                  <c:v>9.0000000000003411E-3</c:v>
                </c:pt>
                <c:pt idx="2">
                  <c:v>1.0100000000000442E-2</c:v>
                </c:pt>
                <c:pt idx="3">
                  <c:v>1.3399999999999856E-2</c:v>
                </c:pt>
                <c:pt idx="4">
                  <c:v>2.4600000000000399E-2</c:v>
                </c:pt>
                <c:pt idx="5">
                  <c:v>5.3000000000000824E-3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45926</c:v>
                </c:pt>
                <c:pt idx="1">
                  <c:v>45929</c:v>
                </c:pt>
                <c:pt idx="2">
                  <c:v>45930</c:v>
                </c:pt>
                <c:pt idx="3">
                  <c:v>45939</c:v>
                </c:pt>
                <c:pt idx="4">
                  <c:v>45940</c:v>
                </c:pt>
                <c:pt idx="5">
                  <c:v>45943</c:v>
                </c:pt>
              </c:numCache>
            </c:numRef>
          </c:cat>
          <c:val>
            <c:numRef>
              <c:f>'图表6 在岸、离岸人民币及价差'!$B$5:$B$10</c:f>
              <c:numCache>
                <c:formatCode>0.0000</c:formatCode>
                <c:ptCount val="6"/>
                <c:pt idx="0">
                  <c:v>7.1345000000000001</c:v>
                </c:pt>
                <c:pt idx="1">
                  <c:v>7.1204000000000001</c:v>
                </c:pt>
                <c:pt idx="2">
                  <c:v>7.1185999999999998</c:v>
                </c:pt>
                <c:pt idx="3">
                  <c:v>7.1246</c:v>
                </c:pt>
                <c:pt idx="4">
                  <c:v>7.1231999999999998</c:v>
                </c:pt>
                <c:pt idx="5">
                  <c:v>7.1329000000000002</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45926</c:v>
                </c:pt>
                <c:pt idx="1">
                  <c:v>45929</c:v>
                </c:pt>
                <c:pt idx="2">
                  <c:v>45930</c:v>
                </c:pt>
                <c:pt idx="3">
                  <c:v>45939</c:v>
                </c:pt>
                <c:pt idx="4">
                  <c:v>45940</c:v>
                </c:pt>
                <c:pt idx="5">
                  <c:v>45943</c:v>
                </c:pt>
              </c:numCache>
            </c:numRef>
          </c:cat>
          <c:val>
            <c:numRef>
              <c:f>'图表6 在岸、离岸人民币及价差'!$E$5:$E$10</c:f>
              <c:numCache>
                <c:formatCode>0.0000</c:formatCode>
                <c:ptCount val="6"/>
                <c:pt idx="0">
                  <c:v>7.1413000000000002</c:v>
                </c:pt>
                <c:pt idx="1">
                  <c:v>7.1294000000000004</c:v>
                </c:pt>
                <c:pt idx="2">
                  <c:v>7.1287000000000003</c:v>
                </c:pt>
                <c:pt idx="3">
                  <c:v>7.1379999999999999</c:v>
                </c:pt>
                <c:pt idx="4">
                  <c:v>7.1478000000000002</c:v>
                </c:pt>
                <c:pt idx="5">
                  <c:v>7.1382000000000003</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4F4E-0CB5-4618-98C9-6893A1B9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4</cp:revision>
  <cp:lastPrinted>2024-12-24T02:37:00Z</cp:lastPrinted>
  <dcterms:created xsi:type="dcterms:W3CDTF">2025-10-10T07:03:00Z</dcterms:created>
  <dcterms:modified xsi:type="dcterms:W3CDTF">2025-10-14T01:10:00Z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