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E32A50">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49D6ECD9"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w:t>
      </w:r>
      <w:r w:rsidR="00212B3D">
        <w:t>1</w:t>
      </w:r>
      <w:r>
        <w:rPr>
          <w:rFonts w:hint="eastAsia"/>
        </w:rPr>
        <w:t>月</w:t>
      </w:r>
      <w:r w:rsidR="00621FB3">
        <w:t>14</w:t>
      </w:r>
      <w:r>
        <w:rPr>
          <w:rFonts w:hint="eastAsia"/>
        </w:rPr>
        <w:t>日）</w:t>
      </w:r>
      <w:r>
        <w:t>美元兑人民币中间价</w:t>
      </w:r>
      <w:r>
        <w:rPr>
          <w:rFonts w:ascii="宋体" w:hAnsi="宋体" w:cs="宋体"/>
        </w:rPr>
        <w:t>报</w:t>
      </w:r>
      <w:r w:rsidRPr="00076C89">
        <w:rPr>
          <w:rFonts w:ascii="宋体" w:hAnsi="宋体" w:cs="宋体"/>
        </w:rPr>
        <w:t>7.</w:t>
      </w:r>
      <w:r w:rsidR="00D66980">
        <w:rPr>
          <w:rFonts w:ascii="宋体" w:hAnsi="宋体" w:cs="宋体"/>
        </w:rPr>
        <w:t>0</w:t>
      </w:r>
      <w:r w:rsidR="00AB4AA6">
        <w:rPr>
          <w:rFonts w:ascii="宋体" w:hAnsi="宋体" w:cs="宋体"/>
        </w:rPr>
        <w:t>8</w:t>
      </w:r>
      <w:r w:rsidR="00E32A50">
        <w:rPr>
          <w:rFonts w:ascii="宋体" w:hAnsi="宋体" w:cs="宋体"/>
        </w:rPr>
        <w:t>25</w:t>
      </w:r>
      <w:r>
        <w:rPr>
          <w:rFonts w:ascii="宋体" w:hAnsi="宋体" w:cs="宋体"/>
        </w:rPr>
        <w:t>，</w:t>
      </w:r>
      <w:r w:rsidR="00A70BD1">
        <w:rPr>
          <w:rFonts w:ascii="宋体" w:hAnsi="宋体" w:cs="宋体" w:hint="eastAsia"/>
        </w:rPr>
        <w:t>调</w:t>
      </w:r>
      <w:r w:rsidR="006F775F">
        <w:rPr>
          <w:rFonts w:ascii="宋体" w:hAnsi="宋体" w:cs="宋体" w:hint="eastAsia"/>
        </w:rPr>
        <w:t>降</w:t>
      </w:r>
      <w:r w:rsidR="00E32A50">
        <w:rPr>
          <w:rFonts w:ascii="宋体" w:hAnsi="宋体" w:cs="宋体" w:hint="eastAsia"/>
        </w:rPr>
        <w:t>4</w:t>
      </w:r>
      <w:r w:rsidR="00E32A50">
        <w:rPr>
          <w:rFonts w:ascii="宋体" w:hAnsi="宋体" w:cs="宋体"/>
        </w:rPr>
        <w:t>0</w:t>
      </w:r>
      <w:r>
        <w:rPr>
          <w:rFonts w:ascii="宋体" w:hAnsi="宋体" w:cs="宋体" w:hint="eastAsia"/>
        </w:rPr>
        <w:t>基点，上周累计调</w:t>
      </w:r>
      <w:r w:rsidR="00C74CBC">
        <w:rPr>
          <w:rFonts w:ascii="宋体" w:hAnsi="宋体" w:cs="宋体" w:hint="eastAsia"/>
        </w:rPr>
        <w:t>降</w:t>
      </w:r>
      <w:r w:rsidR="00E32A50">
        <w:rPr>
          <w:rFonts w:ascii="宋体" w:hAnsi="宋体" w:cs="宋体" w:hint="eastAsia"/>
        </w:rPr>
        <w:t>1</w:t>
      </w:r>
      <w:r w:rsidR="00E32A50">
        <w:rPr>
          <w:rFonts w:ascii="宋体" w:hAnsi="宋体" w:cs="宋体"/>
        </w:rPr>
        <w:t>1</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E32A50">
        <w:rPr>
          <w:rFonts w:ascii="宋体" w:hAnsi="宋体" w:cs="宋体" w:hint="eastAsia"/>
        </w:rPr>
        <w:t>跌</w:t>
      </w:r>
      <w:r w:rsidR="00C10509">
        <w:rPr>
          <w:rFonts w:ascii="宋体" w:hAnsi="宋体" w:cs="宋体" w:hint="eastAsia"/>
        </w:rPr>
        <w:t>0</w:t>
      </w:r>
      <w:r w:rsidR="00C10509">
        <w:rPr>
          <w:rFonts w:ascii="宋体" w:hAnsi="宋体" w:cs="宋体"/>
        </w:rPr>
        <w:t>.</w:t>
      </w:r>
      <w:r w:rsidR="00E32A50">
        <w:rPr>
          <w:rFonts w:ascii="宋体" w:hAnsi="宋体" w:cs="宋体"/>
        </w:rPr>
        <w:t>33</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E32A50">
        <w:rPr>
          <w:rFonts w:ascii="宋体" w:hAnsi="宋体" w:cs="宋体" w:hint="eastAsia"/>
        </w:rPr>
        <w:t>跌</w:t>
      </w:r>
      <w:r w:rsidR="00AE61BD">
        <w:rPr>
          <w:rFonts w:ascii="宋体" w:hAnsi="宋体" w:cs="宋体" w:hint="eastAsia"/>
        </w:rPr>
        <w:t>0</w:t>
      </w:r>
      <w:r w:rsidR="00AE61BD">
        <w:rPr>
          <w:rFonts w:ascii="宋体" w:hAnsi="宋体" w:cs="宋体"/>
        </w:rPr>
        <w:t>.</w:t>
      </w:r>
      <w:r w:rsidR="00E32A50">
        <w:rPr>
          <w:rFonts w:ascii="宋体" w:hAnsi="宋体" w:cs="宋体"/>
        </w:rPr>
        <w:t>36</w:t>
      </w:r>
      <w:r w:rsidR="007844B4">
        <w:rPr>
          <w:rFonts w:ascii="宋体" w:hAnsi="宋体" w:cs="宋体"/>
        </w:rPr>
        <w:t>%</w:t>
      </w:r>
      <w:r>
        <w:rPr>
          <w:rFonts w:ascii="宋体" w:hAnsi="宋体" w:cs="宋体" w:hint="eastAsia"/>
        </w:rPr>
        <w:t>。</w:t>
      </w:r>
    </w:p>
    <w:p w14:paraId="2A8620FC" w14:textId="3BBAC6AB"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9D4FD7">
        <w:t>007</w:t>
      </w:r>
      <w:r>
        <w:t>，</w:t>
      </w:r>
      <w:r>
        <w:rPr>
          <w:rFonts w:hint="eastAsia"/>
        </w:rPr>
        <w:t>美元兑离岸人民币收报</w:t>
      </w:r>
      <w:r>
        <w:rPr>
          <w:rFonts w:hint="eastAsia"/>
        </w:rPr>
        <w:t>7</w:t>
      </w:r>
      <w:r>
        <w:t>.</w:t>
      </w:r>
      <w:r w:rsidR="001938CF">
        <w:t>1</w:t>
      </w:r>
      <w:r w:rsidR="00E32A50">
        <w:t>001</w:t>
      </w:r>
      <w:r>
        <w:rPr>
          <w:rFonts w:hint="eastAsia"/>
        </w:rPr>
        <w:t>，在当周</w:t>
      </w:r>
      <w:r>
        <w:t>分别</w:t>
      </w:r>
      <w:r w:rsidR="009D4FD7">
        <w:rPr>
          <w:rFonts w:hint="eastAsia"/>
        </w:rPr>
        <w:t>下</w:t>
      </w:r>
      <w:r w:rsidR="00F76960">
        <w:rPr>
          <w:rFonts w:hint="eastAsia"/>
        </w:rPr>
        <w:t>调</w:t>
      </w:r>
      <w:r w:rsidR="009D4FD7">
        <w:rPr>
          <w:rFonts w:hint="eastAsia"/>
        </w:rPr>
        <w:t>2</w:t>
      </w:r>
      <w:r w:rsidR="009D4FD7">
        <w:t>18</w:t>
      </w:r>
      <w:r>
        <w:t>和</w:t>
      </w:r>
      <w:r w:rsidR="00E32A50">
        <w:rPr>
          <w:rFonts w:hint="eastAsia"/>
        </w:rPr>
        <w:t>下</w:t>
      </w:r>
      <w:r w:rsidR="003576ED">
        <w:rPr>
          <w:rFonts w:hint="eastAsia"/>
        </w:rPr>
        <w:t>调</w:t>
      </w:r>
      <w:r w:rsidR="006F775F">
        <w:rPr>
          <w:rFonts w:hint="eastAsia"/>
        </w:rPr>
        <w:t>2</w:t>
      </w:r>
      <w:r w:rsidR="00E32A50">
        <w:t>51</w:t>
      </w:r>
      <w:r>
        <w:rPr>
          <w:rFonts w:hint="eastAsia"/>
        </w:rPr>
        <w:t>个基点</w:t>
      </w:r>
      <w:r>
        <w:t>。欧元兑人民币报</w:t>
      </w:r>
      <w:r w:rsidR="00F64EF4">
        <w:t>8</w:t>
      </w:r>
      <w:r w:rsidR="00905A62">
        <w:t>.2</w:t>
      </w:r>
      <w:r w:rsidR="009D4FD7">
        <w:t>6</w:t>
      </w:r>
      <w:r w:rsidR="006F775F">
        <w:t>20</w:t>
      </w:r>
      <w:r>
        <w:t>、英镑兑人民币报</w:t>
      </w:r>
      <w:r w:rsidR="00C66DB1">
        <w:t>9</w:t>
      </w:r>
      <w:r w:rsidR="00635BA5">
        <w:t>.3</w:t>
      </w:r>
      <w:r w:rsidR="009D4FD7">
        <w:t>397</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9D4FD7">
        <w:t>5888</w:t>
      </w:r>
      <w:r w:rsidR="000959E1">
        <w:rPr>
          <w:rFonts w:hint="eastAsia"/>
        </w:rPr>
        <w:t>、</w:t>
      </w:r>
      <w:r>
        <w:t>澳元兑人民币报</w:t>
      </w:r>
      <w:r>
        <w:t>4</w:t>
      </w:r>
      <w:r w:rsidR="006B50D4">
        <w:t>.</w:t>
      </w:r>
      <w:r w:rsidR="006466A9">
        <w:t>6</w:t>
      </w:r>
      <w:r w:rsidR="009D4FD7">
        <w:t>325</w:t>
      </w:r>
      <w:r>
        <w:rPr>
          <w:rFonts w:hint="eastAsia"/>
        </w:rPr>
        <w:t>，在当</w:t>
      </w:r>
      <w:r>
        <w:t>周分别</w:t>
      </w:r>
      <w:r w:rsidR="006F775F">
        <w:rPr>
          <w:rFonts w:hint="eastAsia"/>
        </w:rPr>
        <w:t>升</w:t>
      </w:r>
      <w:r w:rsidR="009D4FD7">
        <w:t>100</w:t>
      </w:r>
      <w:r>
        <w:t>、</w:t>
      </w:r>
      <w:r w:rsidR="009D4FD7">
        <w:rPr>
          <w:rFonts w:hint="eastAsia"/>
        </w:rPr>
        <w:t>降</w:t>
      </w:r>
      <w:r w:rsidR="009D4FD7">
        <w:rPr>
          <w:rFonts w:hint="eastAsia"/>
        </w:rPr>
        <w:t>4</w:t>
      </w:r>
      <w:r w:rsidR="009D4FD7">
        <w:t>07</w:t>
      </w:r>
      <w:r>
        <w:rPr>
          <w:rFonts w:hint="eastAsia"/>
        </w:rPr>
        <w:t>、</w:t>
      </w:r>
      <w:r w:rsidR="009D4FD7">
        <w:rPr>
          <w:rFonts w:hint="eastAsia"/>
        </w:rPr>
        <w:t>降</w:t>
      </w:r>
      <w:r w:rsidR="009D4FD7">
        <w:rPr>
          <w:rFonts w:hint="eastAsia"/>
        </w:rPr>
        <w:t>6</w:t>
      </w:r>
      <w:r w:rsidR="009D4FD7">
        <w:t>31</w:t>
      </w:r>
      <w:r>
        <w:t>和</w:t>
      </w:r>
      <w:r w:rsidR="009D4FD7">
        <w:rPr>
          <w:rFonts w:hint="eastAsia"/>
        </w:rPr>
        <w:t>升</w:t>
      </w:r>
      <w:r w:rsidR="009D4FD7">
        <w:rPr>
          <w:rFonts w:hint="eastAsia"/>
        </w:rPr>
        <w:t>1</w:t>
      </w:r>
      <w:r w:rsidR="009D4FD7">
        <w:t>51</w:t>
      </w:r>
      <w:r>
        <w:rPr>
          <w:rFonts w:hint="eastAsia"/>
        </w:rPr>
        <w:t>个基点</w:t>
      </w:r>
      <w:r>
        <w:t>。</w:t>
      </w:r>
    </w:p>
    <w:p w14:paraId="76AC2601" w14:textId="38E70F92" w:rsidR="00CA7296" w:rsidRDefault="007E1257" w:rsidP="00CA7296">
      <w:pPr>
        <w:spacing w:line="312" w:lineRule="auto"/>
        <w:ind w:firstLine="420"/>
      </w:pPr>
      <w:r>
        <w:rPr>
          <w:rFonts w:hint="eastAsia"/>
        </w:rPr>
        <w:t>上周</w:t>
      </w:r>
      <w:r w:rsidRPr="007E1257">
        <w:rPr>
          <w:rFonts w:hint="eastAsia"/>
        </w:rPr>
        <w:t>央行公开市场累计进行了</w:t>
      </w:r>
      <w:r w:rsidR="009B6944" w:rsidRPr="009B6944">
        <w:rPr>
          <w:rFonts w:hint="eastAsia"/>
        </w:rPr>
        <w:t>11220</w:t>
      </w:r>
      <w:r w:rsidR="009B6944" w:rsidRPr="009B6944">
        <w:rPr>
          <w:rFonts w:hint="eastAsia"/>
        </w:rPr>
        <w:t>亿元</w:t>
      </w:r>
      <w:r w:rsidR="009B6944" w:rsidRPr="009B6944">
        <w:rPr>
          <w:rFonts w:hint="eastAsia"/>
        </w:rPr>
        <w:t>7</w:t>
      </w:r>
      <w:r w:rsidR="009B6944" w:rsidRPr="009B6944">
        <w:rPr>
          <w:rFonts w:hint="eastAsia"/>
        </w:rPr>
        <w:t>天期逆回购操作，</w:t>
      </w:r>
      <w:r w:rsidR="009B6944">
        <w:rPr>
          <w:rFonts w:hint="eastAsia"/>
        </w:rPr>
        <w:t>当</w:t>
      </w:r>
      <w:r w:rsidR="009B6944" w:rsidRPr="009B6944">
        <w:rPr>
          <w:rFonts w:hint="eastAsia"/>
        </w:rPr>
        <w:t>周央行公开市场有</w:t>
      </w:r>
      <w:r w:rsidR="009B6944" w:rsidRPr="009B6944">
        <w:rPr>
          <w:rFonts w:hint="eastAsia"/>
        </w:rPr>
        <w:t>4958</w:t>
      </w:r>
      <w:r w:rsidR="009B6944" w:rsidRPr="009B6944">
        <w:rPr>
          <w:rFonts w:hint="eastAsia"/>
        </w:rPr>
        <w:t>亿元逆回购到期，因此净投放</w:t>
      </w:r>
      <w:r w:rsidR="009B6944" w:rsidRPr="009B6944">
        <w:rPr>
          <w:rFonts w:hint="eastAsia"/>
        </w:rPr>
        <w:t>6262</w:t>
      </w:r>
      <w:r w:rsidR="009B6944" w:rsidRPr="009B6944">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bookmarkStart w:id="0" w:name="_GoBack"/>
      <w:bookmarkEnd w:id="0"/>
    </w:p>
    <w:p w14:paraId="036A5755" w14:textId="5728C75A"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E32A50" w:rsidRPr="002C6063">
        <w:rPr>
          <w:rFonts w:ascii="宋体" w:hAnsi="宋体" w:hint="eastAsia"/>
        </w:rPr>
        <w:t>国务院总理李强主持召开国务院常务会议，研究深入实施“两重”建设有关工作，部署增强消费品供需适配性进一步促进消费政策措施。会议指出，要把“两重”建设放在“十五五”全局中谋划和推进，牢牢把握战略性、前瞻性、全局性要求。要强化人工智能融合赋能，聚焦重点行业、重点领域开发新产品和增值服务，持续拓展新的消费增量。</w:t>
      </w:r>
    </w:p>
    <w:p w14:paraId="3316BE34" w14:textId="20C8C199" w:rsidR="00785749" w:rsidRPr="0011314B" w:rsidRDefault="00CA7296" w:rsidP="0011314B">
      <w:pPr>
        <w:spacing w:line="312" w:lineRule="auto"/>
        <w:ind w:firstLine="420"/>
        <w:rPr>
          <w:rFonts w:ascii="宋体" w:hAnsi="宋体"/>
        </w:rPr>
      </w:pPr>
      <w:r w:rsidRPr="0086476E">
        <w:rPr>
          <w:rFonts w:ascii="宋体" w:hAnsi="宋体" w:hint="eastAsia"/>
        </w:rPr>
        <w:t>2、</w:t>
      </w:r>
      <w:r w:rsidR="00E32A50" w:rsidRPr="00E5624A">
        <w:rPr>
          <w:rFonts w:ascii="宋体" w:hAnsi="宋体" w:hint="eastAsia"/>
        </w:rPr>
        <w:t>央行发布第三季度货币政策执行报告指出，下一步要实施好适度宽松的货币政策，保持社会融资条件相对宽松，同时继续完善货币政策框架，强化货币政策的执行和传导。报告通过专栏指出，与银行贷款相比，社会融资规模和货币供应量等总量指标更为全面、合理，观察金融总量要更多看社会融资规模、货币供应量指标。</w:t>
      </w:r>
    </w:p>
    <w:p w14:paraId="0E3CF4D4" w14:textId="18A1E061"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E32A50" w:rsidRPr="002C6063">
        <w:rPr>
          <w:rFonts w:ascii="宋体" w:hAnsi="宋体" w:hint="eastAsia"/>
        </w:rPr>
        <w:t>美国总统特朗普于当地时间</w:t>
      </w:r>
      <w:r w:rsidR="00E32A50" w:rsidRPr="002C6063">
        <w:rPr>
          <w:rFonts w:ascii="宋体" w:hAnsi="宋体"/>
        </w:rPr>
        <w:t>11月14日签署最新行政令，进一步调整“对等关税”的适用范围，将部分农业产品排除在此前依据《对等关税行政令》所征收的附加关税之外。更新后的关税豁免表及对“结盟伙伴”的潜在调整清单将自美东时间2025年11月13日0时1分起生效。</w:t>
      </w:r>
    </w:p>
    <w:p w14:paraId="630B9579" w14:textId="022E9463" w:rsidR="00BC01B8" w:rsidRPr="00F44D25" w:rsidRDefault="00BC01B8" w:rsidP="001F0839">
      <w:pPr>
        <w:spacing w:line="312" w:lineRule="auto"/>
        <w:ind w:firstLine="420"/>
        <w:rPr>
          <w:rFonts w:ascii="宋体" w:hAnsi="宋体"/>
        </w:rPr>
      </w:pPr>
      <w:r w:rsidRPr="0086476E">
        <w:rPr>
          <w:rFonts w:ascii="宋体" w:hAnsi="宋体" w:hint="eastAsia"/>
        </w:rPr>
        <w:t>4、</w:t>
      </w:r>
      <w:r w:rsidR="00E32A50" w:rsidRPr="00A768BA">
        <w:rPr>
          <w:rFonts w:ascii="宋体" w:hAnsi="宋体" w:hint="eastAsia"/>
        </w:rPr>
        <w:t>美国总统特朗普签署国会两院通过的一项联邦政府临时拨款法案，从而结束了已持</w:t>
      </w:r>
      <w:r w:rsidR="00E32A50" w:rsidRPr="00A768BA">
        <w:rPr>
          <w:rFonts w:ascii="宋体" w:hAnsi="宋体" w:hint="eastAsia"/>
        </w:rPr>
        <w:lastRenderedPageBreak/>
        <w:t>续43天的史上最长联邦政府“停摆”。特朗普表示，美国政府“停摆”损失了1.5万亿美元，真正计算出损失的总体影响需要数周甚至数月的时间。</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58B529CD" w:rsidR="00CA7296" w:rsidRDefault="00E32A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9118AB8" wp14:editId="07DE07C7">
            <wp:extent cx="3413051" cy="1955394"/>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6258" cy="1962961"/>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6E8676C9" w:rsidR="00CA7296" w:rsidRDefault="00E32A50" w:rsidP="00CA7296">
      <w:pPr>
        <w:spacing w:line="360" w:lineRule="auto"/>
        <w:jc w:val="center"/>
        <w:rPr>
          <w:rFonts w:ascii="宋体" w:hAnsi="宋体"/>
          <w:sz w:val="18"/>
          <w:szCs w:val="18"/>
        </w:rPr>
      </w:pPr>
      <w:r>
        <w:rPr>
          <w:noProof/>
        </w:rPr>
        <w:drawing>
          <wp:inline distT="0" distB="0" distL="0" distR="0" wp14:anchorId="3787E4A5" wp14:editId="38509C55">
            <wp:extent cx="4951730" cy="2514600"/>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5195" cy="2521438"/>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477DB4F5" w:rsidR="00CA7296" w:rsidRPr="00AB4AA6" w:rsidRDefault="00E32A50" w:rsidP="00AB4AA6">
      <w:pPr>
        <w:jc w:val="center"/>
      </w:pPr>
      <w:r>
        <w:rPr>
          <w:noProof/>
        </w:rPr>
        <w:drawing>
          <wp:inline distT="0" distB="0" distL="0" distR="0" wp14:anchorId="3C9404E1" wp14:editId="5F9A1A7C">
            <wp:extent cx="3583172" cy="20641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3698" cy="2075964"/>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1780C1B" w:rsidR="00CA7296" w:rsidRDefault="00E32A50" w:rsidP="00CA7296">
      <w:pPr>
        <w:jc w:val="center"/>
      </w:pPr>
      <w:r>
        <w:rPr>
          <w:noProof/>
        </w:rPr>
        <w:drawing>
          <wp:inline distT="0" distB="0" distL="0" distR="0" wp14:anchorId="6575429F" wp14:editId="00FE23D0">
            <wp:extent cx="5113655" cy="254118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23284" cy="2545966"/>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4C504BE" w:rsidR="00CA7296" w:rsidRDefault="00E32A50" w:rsidP="00CA7296">
      <w:pPr>
        <w:jc w:val="center"/>
      </w:pPr>
      <w:r>
        <w:rPr>
          <w:noProof/>
        </w:rPr>
        <w:drawing>
          <wp:inline distT="0" distB="0" distL="0" distR="0" wp14:anchorId="5553D3F9" wp14:editId="548C925B">
            <wp:extent cx="3189768" cy="187196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11903" cy="1884951"/>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2FD78B65">
            <wp:extent cx="4050665" cy="2137144"/>
            <wp:effectExtent l="0" t="0" r="6985" b="0"/>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45A6192E" w14:textId="155776F1" w:rsidR="00AB4AA6" w:rsidRDefault="00E32A50" w:rsidP="009807E3">
      <w:pPr>
        <w:spacing w:line="312" w:lineRule="auto"/>
        <w:ind w:firstLine="420"/>
        <w:rPr>
          <w:rFonts w:ascii="宋体" w:hAnsi="宋体" w:cs="宋体"/>
          <w:kern w:val="0"/>
        </w:rPr>
      </w:pPr>
      <w:r w:rsidRPr="00DD68BE">
        <w:rPr>
          <w:rFonts w:ascii="宋体" w:hAnsi="宋体" w:cs="宋体" w:hint="eastAsia"/>
        </w:rPr>
        <w:t>最新</w:t>
      </w:r>
      <w:r>
        <w:rPr>
          <w:rFonts w:ascii="宋体" w:hAnsi="宋体" w:cs="宋体" w:hint="eastAsia"/>
        </w:rPr>
        <w:t>消息</w:t>
      </w:r>
      <w:r w:rsidRPr="00DD68BE">
        <w:rPr>
          <w:rFonts w:ascii="宋体" w:hAnsi="宋体" w:cs="宋体" w:hint="eastAsia"/>
        </w:rPr>
        <w:t>显示，</w:t>
      </w:r>
      <w:r w:rsidRPr="003557B3">
        <w:rPr>
          <w:rFonts w:ascii="宋体" w:hAnsi="宋体" w:cs="宋体" w:hint="eastAsia"/>
        </w:rPr>
        <w:t>美国总统特朗普表决通过临时拨款法案，美国史上最长联邦政府停摆正式结束，为市场提供短期的流动性缓冲，但白宫方面表示后续非农及CPI数据的公布仍存在较大不确定性。当前市场仍缺乏明确的宏观数据“风向标”以判断后续降息路径，市场对于经济形势担忧情绪加剧</w:t>
      </w:r>
      <w:r w:rsidRPr="00DD68BE">
        <w:rPr>
          <w:rFonts w:ascii="宋体" w:hAnsi="宋体" w:cs="宋体" w:hint="eastAsia"/>
        </w:rPr>
        <w:t>。</w:t>
      </w:r>
      <w:r w:rsidRPr="003557B3">
        <w:rPr>
          <w:rFonts w:ascii="宋体" w:hAnsi="宋体" w:cs="宋体" w:hint="eastAsia"/>
        </w:rPr>
        <w:t>美联储米兰释放激进降息信号，但大部分</w:t>
      </w:r>
      <w:r w:rsidRPr="003557B3">
        <w:rPr>
          <w:rFonts w:ascii="宋体" w:hAnsi="宋体" w:cs="宋体"/>
        </w:rPr>
        <w:t>FOMC官员降息立场趋于谨慎，使得12月降息概率大幅回落至50%水平</w:t>
      </w:r>
      <w:r>
        <w:rPr>
          <w:rFonts w:ascii="宋体" w:hAnsi="宋体" w:cs="宋体" w:hint="eastAsia"/>
        </w:rPr>
        <w:t>。</w:t>
      </w:r>
    </w:p>
    <w:p w14:paraId="455C826C" w14:textId="653F5D22" w:rsidR="00BF7D0E" w:rsidRPr="00253827" w:rsidRDefault="00AB4AA6" w:rsidP="00947831">
      <w:pPr>
        <w:spacing w:line="312" w:lineRule="auto"/>
        <w:ind w:firstLine="420"/>
        <w:rPr>
          <w:rFonts w:ascii="宋体" w:hAnsi="宋体" w:cs="宋体"/>
        </w:rPr>
      </w:pPr>
      <w:r>
        <w:rPr>
          <w:rFonts w:ascii="宋体" w:hAnsi="宋体" w:cs="宋体" w:hint="eastAsia"/>
          <w:kern w:val="0"/>
        </w:rPr>
        <w:t>国内端，</w:t>
      </w:r>
      <w:r w:rsidR="00947831" w:rsidRPr="00DD06C6">
        <w:rPr>
          <w:rFonts w:ascii="宋体" w:hAnsi="宋体" w:hint="eastAsia"/>
          <w:szCs w:val="21"/>
        </w:rPr>
        <w:t>按美元计价，</w:t>
      </w:r>
      <w:r w:rsidR="00947831" w:rsidRPr="00DD06C6">
        <w:rPr>
          <w:rFonts w:ascii="宋体" w:hAnsi="宋体"/>
          <w:szCs w:val="21"/>
        </w:rPr>
        <w:t>10月我国出口</w:t>
      </w:r>
      <w:r w:rsidR="00947831">
        <w:rPr>
          <w:rFonts w:ascii="宋体" w:hAnsi="宋体" w:hint="eastAsia"/>
          <w:szCs w:val="21"/>
        </w:rPr>
        <w:t>同比-</w:t>
      </w:r>
      <w:r w:rsidR="00947831">
        <w:rPr>
          <w:rFonts w:ascii="宋体" w:hAnsi="宋体"/>
          <w:szCs w:val="21"/>
        </w:rPr>
        <w:t>1.1%</w:t>
      </w:r>
      <w:r w:rsidR="00947831">
        <w:rPr>
          <w:rFonts w:ascii="宋体" w:hAnsi="宋体" w:hint="eastAsia"/>
          <w:szCs w:val="21"/>
        </w:rPr>
        <w:t>，</w:t>
      </w:r>
      <w:r w:rsidR="00947831" w:rsidRPr="00DD06C6">
        <w:rPr>
          <w:rFonts w:ascii="宋体" w:hAnsi="宋体"/>
          <w:szCs w:val="21"/>
        </w:rPr>
        <w:t>超预期回落</w:t>
      </w:r>
      <w:r w:rsidR="00947831">
        <w:rPr>
          <w:rFonts w:ascii="宋体" w:hAnsi="宋体" w:hint="eastAsia"/>
          <w:szCs w:val="21"/>
        </w:rPr>
        <w:t>，此前</w:t>
      </w:r>
      <w:r w:rsidR="00947831" w:rsidRPr="00947831">
        <w:rPr>
          <w:rFonts w:ascii="宋体" w:hAnsi="宋体" w:hint="eastAsia"/>
          <w:szCs w:val="21"/>
        </w:rPr>
        <w:t>贸易战加剧使得我国</w:t>
      </w:r>
      <w:r w:rsidR="00947831">
        <w:rPr>
          <w:rFonts w:ascii="宋体" w:hAnsi="宋体" w:hint="eastAsia"/>
          <w:szCs w:val="21"/>
        </w:rPr>
        <w:t>贸易</w:t>
      </w:r>
      <w:r w:rsidR="00947831" w:rsidRPr="00947831">
        <w:rPr>
          <w:rFonts w:ascii="宋体" w:hAnsi="宋体" w:hint="eastAsia"/>
          <w:szCs w:val="21"/>
        </w:rPr>
        <w:t>大幅承压。</w:t>
      </w:r>
      <w:r w:rsidR="00947831">
        <w:rPr>
          <w:rFonts w:ascii="宋体" w:hAnsi="宋体" w:hint="eastAsia"/>
          <w:szCs w:val="21"/>
        </w:rPr>
        <w:t>但其中略显积极的是，虽</w:t>
      </w:r>
      <w:r w:rsidR="00947831" w:rsidRPr="00EC14EA">
        <w:rPr>
          <w:rFonts w:ascii="宋体" w:hAnsi="宋体"/>
          <w:szCs w:val="21"/>
        </w:rPr>
        <w:t>中美贸易摩擦有所升级，但</w:t>
      </w:r>
      <w:r w:rsidR="00947831">
        <w:rPr>
          <w:rFonts w:ascii="宋体" w:hAnsi="宋体" w:hint="eastAsia"/>
          <w:szCs w:val="21"/>
        </w:rPr>
        <w:t>我国</w:t>
      </w:r>
      <w:r w:rsidR="00947831">
        <w:rPr>
          <w:rFonts w:ascii="宋体" w:hAnsi="宋体"/>
          <w:szCs w:val="21"/>
        </w:rPr>
        <w:t>对美出口</w:t>
      </w:r>
      <w:r w:rsidR="00947831">
        <w:rPr>
          <w:rFonts w:ascii="宋体" w:hAnsi="宋体" w:hint="eastAsia"/>
          <w:szCs w:val="21"/>
        </w:rPr>
        <w:t>已</w:t>
      </w:r>
      <w:r w:rsidR="00947831" w:rsidRPr="00EC14EA">
        <w:rPr>
          <w:rFonts w:ascii="宋体" w:hAnsi="宋体"/>
          <w:szCs w:val="21"/>
        </w:rPr>
        <w:t>连续</w:t>
      </w:r>
      <w:r w:rsidR="00947831">
        <w:rPr>
          <w:rFonts w:ascii="宋体" w:hAnsi="宋体" w:hint="eastAsia"/>
          <w:szCs w:val="21"/>
        </w:rPr>
        <w:t>两个月</w:t>
      </w:r>
      <w:r w:rsidR="00947831" w:rsidRPr="00EC14EA">
        <w:rPr>
          <w:rFonts w:ascii="宋体" w:hAnsi="宋体"/>
          <w:szCs w:val="21"/>
        </w:rPr>
        <w:t>边际改善，同比</w:t>
      </w:r>
      <w:r w:rsidR="00947831">
        <w:rPr>
          <w:rFonts w:ascii="宋体" w:hAnsi="宋体" w:hint="eastAsia"/>
          <w:szCs w:val="21"/>
        </w:rPr>
        <w:t>小幅回升1</w:t>
      </w:r>
      <w:r w:rsidR="00947831">
        <w:rPr>
          <w:rFonts w:ascii="宋体" w:hAnsi="宋体"/>
          <w:szCs w:val="21"/>
        </w:rPr>
        <w:t>.8</w:t>
      </w:r>
      <w:r w:rsidR="00947831">
        <w:rPr>
          <w:rFonts w:ascii="宋体" w:hAnsi="宋体" w:hint="eastAsia"/>
          <w:szCs w:val="21"/>
        </w:rPr>
        <w:t>个百分点至</w:t>
      </w:r>
      <w:r w:rsidR="00947831">
        <w:rPr>
          <w:rFonts w:ascii="宋体" w:hAnsi="宋体"/>
          <w:szCs w:val="21"/>
        </w:rPr>
        <w:t>-</w:t>
      </w:r>
      <w:r w:rsidR="00947831" w:rsidRPr="00EC14EA">
        <w:rPr>
          <w:rFonts w:ascii="宋体" w:hAnsi="宋体"/>
          <w:szCs w:val="21"/>
        </w:rPr>
        <w:t>25.2%</w:t>
      </w:r>
      <w:r w:rsidR="00947831">
        <w:rPr>
          <w:rFonts w:ascii="宋体" w:hAnsi="宋体" w:hint="eastAsia"/>
          <w:szCs w:val="21"/>
        </w:rPr>
        <w:t>。并且</w:t>
      </w:r>
      <w:r w:rsidR="00947831" w:rsidRPr="00DD06C6">
        <w:rPr>
          <w:rFonts w:ascii="宋体" w:hAnsi="宋体"/>
          <w:szCs w:val="21"/>
        </w:rPr>
        <w:t>随着中美吉隆坡磋商达成积极成果，外贸压力得到缓解，中国经济和出口端</w:t>
      </w:r>
      <w:r w:rsidR="00947831">
        <w:rPr>
          <w:rFonts w:ascii="宋体" w:hAnsi="宋体" w:hint="eastAsia"/>
          <w:szCs w:val="21"/>
        </w:rPr>
        <w:t>料有</w:t>
      </w:r>
      <w:r w:rsidR="00947831" w:rsidRPr="00DD06C6">
        <w:rPr>
          <w:rFonts w:ascii="宋体" w:hAnsi="宋体"/>
          <w:szCs w:val="21"/>
        </w:rPr>
        <w:t>一个更为有利的外部环境，</w:t>
      </w:r>
      <w:r w:rsidR="00947831">
        <w:rPr>
          <w:rFonts w:ascii="宋体" w:hAnsi="宋体" w:hint="eastAsia"/>
          <w:szCs w:val="21"/>
        </w:rPr>
        <w:t>两国贸易有望进一步回暖</w:t>
      </w:r>
      <w:r w:rsidR="00947831" w:rsidRPr="00DD06C6">
        <w:rPr>
          <w:rFonts w:ascii="宋体" w:hAnsi="宋体"/>
          <w:szCs w:val="21"/>
        </w:rPr>
        <w:t>。</w:t>
      </w:r>
      <w:r w:rsidR="00E32A50">
        <w:rPr>
          <w:rFonts w:ascii="宋体" w:hAnsi="宋体" w:cs="宋体" w:hint="eastAsia"/>
        </w:rPr>
        <w:t>除此之外，在</w:t>
      </w:r>
      <w:r w:rsidR="00E32A50" w:rsidRPr="003557B3">
        <w:rPr>
          <w:rFonts w:ascii="宋体" w:hAnsi="宋体" w:cs="宋体" w:hint="eastAsia"/>
        </w:rPr>
        <w:t>国庆假期到来叠加双十一促销的影响下，我国1</w:t>
      </w:r>
      <w:r w:rsidR="00E32A50" w:rsidRPr="003557B3">
        <w:rPr>
          <w:rFonts w:ascii="宋体" w:hAnsi="宋体" w:cs="宋体"/>
        </w:rPr>
        <w:t>0</w:t>
      </w:r>
      <w:r w:rsidR="00E32A50" w:rsidRPr="003557B3">
        <w:rPr>
          <w:rFonts w:ascii="宋体" w:hAnsi="宋体" w:cs="宋体" w:hint="eastAsia"/>
        </w:rPr>
        <w:t>月份消费需求有所回暖，亦有助于人民币币值的巩固</w:t>
      </w:r>
      <w:r w:rsidR="00E32A50" w:rsidRPr="009E3A4B">
        <w:rPr>
          <w:rFonts w:ascii="宋体" w:hAnsi="宋体" w:cs="宋体" w:hint="eastAsia"/>
        </w:rPr>
        <w:t>，</w:t>
      </w:r>
      <w:r w:rsidR="00E32A50">
        <w:rPr>
          <w:rFonts w:ascii="宋体" w:hAnsi="宋体" w:cs="宋体" w:hint="eastAsia"/>
        </w:rPr>
        <w:t>但在美国经济摇摆不定的背景下，</w:t>
      </w:r>
      <w:r w:rsidR="00E32A50" w:rsidRPr="009E3A4B">
        <w:rPr>
          <w:rFonts w:ascii="宋体" w:hAnsi="宋体" w:cs="宋体" w:hint="eastAsia"/>
        </w:rPr>
        <w:t>人民币汇率大概率区间波动。</w:t>
      </w:r>
    </w:p>
    <w:p w14:paraId="16FCB4C1" w14:textId="77AF1232" w:rsidR="00F954EA" w:rsidRPr="001D1EE7"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A486" w14:textId="77777777" w:rsidR="00506D2A" w:rsidRDefault="00506D2A" w:rsidP="00127060">
      <w:r>
        <w:separator/>
      </w:r>
    </w:p>
  </w:endnote>
  <w:endnote w:type="continuationSeparator" w:id="0">
    <w:p w14:paraId="66BA41BE" w14:textId="77777777" w:rsidR="00506D2A" w:rsidRDefault="00506D2A"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369AF" w14:textId="77777777" w:rsidR="00506D2A" w:rsidRDefault="00506D2A" w:rsidP="00127060">
      <w:r>
        <w:separator/>
      </w:r>
    </w:p>
  </w:footnote>
  <w:footnote w:type="continuationSeparator" w:id="0">
    <w:p w14:paraId="007B3591" w14:textId="77777777" w:rsidR="00506D2A" w:rsidRDefault="00506D2A"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0F72AD"/>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9DE"/>
    <w:rsid w:val="001B6505"/>
    <w:rsid w:val="001C598E"/>
    <w:rsid w:val="001C7A4C"/>
    <w:rsid w:val="001C7CB7"/>
    <w:rsid w:val="001D1EE7"/>
    <w:rsid w:val="001D5BF6"/>
    <w:rsid w:val="001F0839"/>
    <w:rsid w:val="001F0B8B"/>
    <w:rsid w:val="001F3157"/>
    <w:rsid w:val="001F4E90"/>
    <w:rsid w:val="001F6D4B"/>
    <w:rsid w:val="0020319F"/>
    <w:rsid w:val="002041D1"/>
    <w:rsid w:val="0020501F"/>
    <w:rsid w:val="0020541A"/>
    <w:rsid w:val="00212B3D"/>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1DD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0BD3"/>
    <w:rsid w:val="004C131F"/>
    <w:rsid w:val="004C243D"/>
    <w:rsid w:val="004D283C"/>
    <w:rsid w:val="004D75A9"/>
    <w:rsid w:val="004E10AA"/>
    <w:rsid w:val="004E22E6"/>
    <w:rsid w:val="004E332D"/>
    <w:rsid w:val="004F0C55"/>
    <w:rsid w:val="004F16E7"/>
    <w:rsid w:val="0050173E"/>
    <w:rsid w:val="00505961"/>
    <w:rsid w:val="00505DD6"/>
    <w:rsid w:val="00506D2A"/>
    <w:rsid w:val="00511152"/>
    <w:rsid w:val="0051618C"/>
    <w:rsid w:val="00537CF9"/>
    <w:rsid w:val="0055205C"/>
    <w:rsid w:val="00571EBF"/>
    <w:rsid w:val="00574E1F"/>
    <w:rsid w:val="00583AD9"/>
    <w:rsid w:val="00585144"/>
    <w:rsid w:val="005B0999"/>
    <w:rsid w:val="005B127B"/>
    <w:rsid w:val="005D4042"/>
    <w:rsid w:val="005D591B"/>
    <w:rsid w:val="005D6040"/>
    <w:rsid w:val="005E4D72"/>
    <w:rsid w:val="005E791A"/>
    <w:rsid w:val="005F55A3"/>
    <w:rsid w:val="005F7439"/>
    <w:rsid w:val="00600382"/>
    <w:rsid w:val="006206E8"/>
    <w:rsid w:val="00621D14"/>
    <w:rsid w:val="00621FB3"/>
    <w:rsid w:val="00624E74"/>
    <w:rsid w:val="00626AF8"/>
    <w:rsid w:val="00626F9A"/>
    <w:rsid w:val="00635BA5"/>
    <w:rsid w:val="00637EE4"/>
    <w:rsid w:val="006466A9"/>
    <w:rsid w:val="00646D9C"/>
    <w:rsid w:val="00647B32"/>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6F53BF"/>
    <w:rsid w:val="006F775F"/>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60FF"/>
    <w:rsid w:val="007E1257"/>
    <w:rsid w:val="007E4414"/>
    <w:rsid w:val="007F0835"/>
    <w:rsid w:val="007F2A98"/>
    <w:rsid w:val="007F6420"/>
    <w:rsid w:val="008043B5"/>
    <w:rsid w:val="00804540"/>
    <w:rsid w:val="00813A5E"/>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334F"/>
    <w:rsid w:val="008B5B8F"/>
    <w:rsid w:val="008B5D1D"/>
    <w:rsid w:val="008B7950"/>
    <w:rsid w:val="008C13E8"/>
    <w:rsid w:val="008C1403"/>
    <w:rsid w:val="008C1856"/>
    <w:rsid w:val="008C2303"/>
    <w:rsid w:val="008C495E"/>
    <w:rsid w:val="008C55B1"/>
    <w:rsid w:val="008C58A9"/>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3D02"/>
    <w:rsid w:val="009C7D4B"/>
    <w:rsid w:val="009D128B"/>
    <w:rsid w:val="009D18C0"/>
    <w:rsid w:val="009D1C60"/>
    <w:rsid w:val="009D2952"/>
    <w:rsid w:val="009D30D7"/>
    <w:rsid w:val="009D3BE6"/>
    <w:rsid w:val="009D4FD7"/>
    <w:rsid w:val="009D594C"/>
    <w:rsid w:val="009E0B4C"/>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1CF"/>
    <w:rsid w:val="00A867D6"/>
    <w:rsid w:val="00A87B55"/>
    <w:rsid w:val="00A959A4"/>
    <w:rsid w:val="00AA5486"/>
    <w:rsid w:val="00AA73C1"/>
    <w:rsid w:val="00AA7E59"/>
    <w:rsid w:val="00AB2476"/>
    <w:rsid w:val="00AB2BF2"/>
    <w:rsid w:val="00AB4AA6"/>
    <w:rsid w:val="00AB77E4"/>
    <w:rsid w:val="00AB7FCB"/>
    <w:rsid w:val="00AC09FC"/>
    <w:rsid w:val="00AC23F7"/>
    <w:rsid w:val="00AD25D1"/>
    <w:rsid w:val="00AD468C"/>
    <w:rsid w:val="00AE352D"/>
    <w:rsid w:val="00AE3D5D"/>
    <w:rsid w:val="00AE4401"/>
    <w:rsid w:val="00AE5D02"/>
    <w:rsid w:val="00AE61BD"/>
    <w:rsid w:val="00AF4AA5"/>
    <w:rsid w:val="00B158F9"/>
    <w:rsid w:val="00B17CED"/>
    <w:rsid w:val="00B20497"/>
    <w:rsid w:val="00B21983"/>
    <w:rsid w:val="00B25A83"/>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2C23"/>
    <w:rsid w:val="00D435DB"/>
    <w:rsid w:val="00D43B13"/>
    <w:rsid w:val="00D447B2"/>
    <w:rsid w:val="00D46F69"/>
    <w:rsid w:val="00D47035"/>
    <w:rsid w:val="00D5198D"/>
    <w:rsid w:val="00D521AE"/>
    <w:rsid w:val="00D63942"/>
    <w:rsid w:val="00D63AF2"/>
    <w:rsid w:val="00D6473B"/>
    <w:rsid w:val="00D66980"/>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437F"/>
    <w:rsid w:val="00DE5BCE"/>
    <w:rsid w:val="00DF74BC"/>
    <w:rsid w:val="00E0471F"/>
    <w:rsid w:val="00E07DDD"/>
    <w:rsid w:val="00E1301A"/>
    <w:rsid w:val="00E136F7"/>
    <w:rsid w:val="00E151DA"/>
    <w:rsid w:val="00E23901"/>
    <w:rsid w:val="00E2570F"/>
    <w:rsid w:val="00E31C1C"/>
    <w:rsid w:val="00E32A50"/>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E7345"/>
    <w:rsid w:val="00EF044D"/>
    <w:rsid w:val="00EF470E"/>
    <w:rsid w:val="00EF4EA3"/>
    <w:rsid w:val="00EF6715"/>
    <w:rsid w:val="00F0560A"/>
    <w:rsid w:val="00F13C7E"/>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45971</c:v>
                </c:pt>
                <c:pt idx="1">
                  <c:v>45972</c:v>
                </c:pt>
                <c:pt idx="2">
                  <c:v>45973</c:v>
                </c:pt>
                <c:pt idx="3">
                  <c:v>45974</c:v>
                </c:pt>
                <c:pt idx="4">
                  <c:v>45975</c:v>
                </c:pt>
                <c:pt idx="5">
                  <c:v>45978</c:v>
                </c:pt>
              </c:numCache>
            </c:numRef>
          </c:cat>
          <c:val>
            <c:numRef>
              <c:f>'图表6 在岸、离岸人民币及价差'!$G$5:$G$10</c:f>
              <c:numCache>
                <c:formatCode>0.0000_ </c:formatCode>
                <c:ptCount val="6"/>
                <c:pt idx="0">
                  <c:v>4.1000000000002146E-3</c:v>
                </c:pt>
                <c:pt idx="1">
                  <c:v>1.7999999999993577E-3</c:v>
                </c:pt>
                <c:pt idx="2">
                  <c:v>-4.7000000000005926E-3</c:v>
                </c:pt>
                <c:pt idx="3">
                  <c:v>1.5000000000000568E-3</c:v>
                </c:pt>
                <c:pt idx="4">
                  <c:v>-5.9999999999948983E-4</c:v>
                </c:pt>
                <c:pt idx="5">
                  <c:v>3.4000000000000696E-3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45971</c:v>
                </c:pt>
                <c:pt idx="1">
                  <c:v>45972</c:v>
                </c:pt>
                <c:pt idx="2">
                  <c:v>45973</c:v>
                </c:pt>
                <c:pt idx="3">
                  <c:v>45974</c:v>
                </c:pt>
                <c:pt idx="4">
                  <c:v>45975</c:v>
                </c:pt>
                <c:pt idx="5">
                  <c:v>45978</c:v>
                </c:pt>
              </c:numCache>
            </c:numRef>
          </c:cat>
          <c:val>
            <c:numRef>
              <c:f>'图表6 在岸、离岸人民币及价差'!$B$5:$B$10</c:f>
              <c:numCache>
                <c:formatCode>0.0000</c:formatCode>
                <c:ptCount val="6"/>
                <c:pt idx="0">
                  <c:v>7.1174999999999997</c:v>
                </c:pt>
                <c:pt idx="1">
                  <c:v>7.1207000000000003</c:v>
                </c:pt>
                <c:pt idx="2">
                  <c:v>7.1172000000000004</c:v>
                </c:pt>
                <c:pt idx="3">
                  <c:v>7.0959000000000003</c:v>
                </c:pt>
                <c:pt idx="4">
                  <c:v>7.1006999999999998</c:v>
                </c:pt>
                <c:pt idx="5">
                  <c:v>7.1048</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45971</c:v>
                </c:pt>
                <c:pt idx="1">
                  <c:v>45972</c:v>
                </c:pt>
                <c:pt idx="2">
                  <c:v>45973</c:v>
                </c:pt>
                <c:pt idx="3">
                  <c:v>45974</c:v>
                </c:pt>
                <c:pt idx="4">
                  <c:v>45975</c:v>
                </c:pt>
                <c:pt idx="5">
                  <c:v>45978</c:v>
                </c:pt>
              </c:numCache>
            </c:numRef>
          </c:cat>
          <c:val>
            <c:numRef>
              <c:f>'图表6 在岸、离岸人民币及价差'!$E$5:$E$10</c:f>
              <c:numCache>
                <c:formatCode>0.0000</c:formatCode>
                <c:ptCount val="6"/>
                <c:pt idx="0">
                  <c:v>7.1215999999999999</c:v>
                </c:pt>
                <c:pt idx="1">
                  <c:v>7.1224999999999996</c:v>
                </c:pt>
                <c:pt idx="2">
                  <c:v>7.1124999999999998</c:v>
                </c:pt>
                <c:pt idx="3">
                  <c:v>7.0974000000000004</c:v>
                </c:pt>
                <c:pt idx="4">
                  <c:v>7.1001000000000003</c:v>
                </c:pt>
                <c:pt idx="5">
                  <c:v>7.1082000000000001</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839D-FF81-4ED9-AB07-9E8FF003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5</cp:revision>
  <cp:lastPrinted>2024-12-24T02:37:00Z</cp:lastPrinted>
  <dcterms:created xsi:type="dcterms:W3CDTF">2025-11-11T01:06:00Z</dcterms:created>
  <dcterms:modified xsi:type="dcterms:W3CDTF">2025-11-18T01:07:00Z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