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D54BD">
      <w:pPr>
        <w:pStyle w:val="3"/>
        <w:spacing w:line="256" w:lineRule="auto"/>
      </w:pPr>
      <w:bookmarkStart w:id="1" w:name="_GoBack"/>
      <w:bookmarkEnd w:id="1"/>
      <w:r>
        <w:rPr>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UlDCdgAAAAL&#10;AQAADwAAAAAAAAABACAAAAAiAAAAZHJzL2Rvd25yZXYueG1sUEsBAhQAFAAAAAgAh07iQBOUTrKq&#10;AQAAUgMAAA4AAAAAAAAAAQAgAAAAJwEAAGRycy9lMm9Eb2MueG1sUEsFBgAAAAAGAAYAWQEAAEMF&#10;AAAAAA==&#10;">
                <v:fill on="t" focussize="0,0"/>
                <v:stroke on="f"/>
                <v:imagedata o:title=""/>
                <o:lock v:ext="edit" aspectratio="f"/>
              </v:rect>
            </w:pict>
          </mc:Fallback>
        </mc:AlternateContent>
      </w:r>
    </w:p>
    <w:p w14:paraId="5338A077">
      <w:pPr>
        <w:pStyle w:val="3"/>
        <w:spacing w:line="256" w:lineRule="auto"/>
      </w:pPr>
    </w:p>
    <w:p w14:paraId="3E70CBD9">
      <w:pPr>
        <w:pStyle w:val="3"/>
        <w:spacing w:line="256" w:lineRule="auto"/>
      </w:pPr>
    </w:p>
    <w:p w14:paraId="08491CC7">
      <w:pPr>
        <w:pStyle w:val="3"/>
        <w:spacing w:line="256" w:lineRule="auto"/>
      </w:pPr>
    </w:p>
    <w:p w14:paraId="77E1A2B4">
      <w:pPr>
        <w:pStyle w:val="3"/>
        <w:spacing w:line="256" w:lineRule="auto"/>
      </w:pPr>
    </w:p>
    <w:p w14:paraId="262BDE3C">
      <w:pPr>
        <w:pStyle w:val="3"/>
        <w:spacing w:line="256" w:lineRule="auto"/>
      </w:pPr>
    </w:p>
    <w:p w14:paraId="7BF96D99">
      <w:pPr>
        <w:ind w:firstLine="1421"/>
        <w:rPr>
          <w:rFonts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14:paraId="2AEE8390">
      <w:pPr>
        <w:ind w:firstLine="1421"/>
        <w:rPr>
          <w:rFonts w:hint="eastAsia" w:ascii="微软雅黑" w:hAnsi="微软雅黑" w:eastAsia="微软雅黑" w:cs="微软雅黑"/>
          <w:sz w:val="96"/>
          <w:szCs w:val="96"/>
          <w:lang w:eastAsia="zh-CN"/>
        </w:rPr>
      </w:pPr>
      <w:r>
        <w:rPr>
          <w:rFonts w:ascii="微软雅黑" w:hAnsi="微软雅黑" w:eastAsia="微软雅黑" w:cs="微软雅黑"/>
          <w:b/>
          <w:bCs/>
          <w:color w:val="FFFFFF"/>
          <w:spacing w:val="6"/>
          <w:sz w:val="96"/>
          <w:szCs w:val="96"/>
          <w:lang w:eastAsia="zh-CN"/>
        </w:rPr>
        <w:t>周度市场报告</w:t>
      </w:r>
    </w:p>
    <w:p w14:paraId="1B3A0441">
      <w:pPr>
        <w:pStyle w:val="3"/>
        <w:spacing w:line="244" w:lineRule="auto"/>
        <w:rPr>
          <w:lang w:eastAsia="zh-CN"/>
        </w:rPr>
      </w:pPr>
    </w:p>
    <w:p w14:paraId="1BC1FC65">
      <w:pPr>
        <w:pStyle w:val="3"/>
        <w:spacing w:line="244" w:lineRule="auto"/>
        <w:rPr>
          <w:lang w:eastAsia="zh-CN"/>
        </w:rPr>
      </w:pPr>
    </w:p>
    <w:p w14:paraId="7BFC6CCE">
      <w:pPr>
        <w:pStyle w:val="3"/>
        <w:spacing w:line="244" w:lineRule="auto"/>
        <w:rPr>
          <w:lang w:eastAsia="zh-CN"/>
        </w:rPr>
      </w:pPr>
    </w:p>
    <w:p w14:paraId="1DE70AEE">
      <w:pPr>
        <w:pStyle w:val="3"/>
        <w:spacing w:line="244" w:lineRule="auto"/>
        <w:rPr>
          <w:lang w:eastAsia="zh-CN"/>
        </w:rPr>
      </w:pPr>
    </w:p>
    <w:p w14:paraId="439B1C1C">
      <w:pPr>
        <w:pStyle w:val="3"/>
        <w:spacing w:line="244" w:lineRule="auto"/>
        <w:rPr>
          <w:lang w:eastAsia="zh-CN"/>
        </w:rPr>
      </w:pPr>
    </w:p>
    <w:p w14:paraId="30923B3C">
      <w:pPr>
        <w:pStyle w:val="3"/>
        <w:spacing w:line="244" w:lineRule="auto"/>
        <w:rPr>
          <w:lang w:eastAsia="zh-CN"/>
        </w:rPr>
      </w:pPr>
    </w:p>
    <w:p w14:paraId="74F73733">
      <w:pPr>
        <w:pStyle w:val="3"/>
        <w:spacing w:line="244" w:lineRule="auto"/>
        <w:rPr>
          <w:lang w:eastAsia="zh-CN"/>
        </w:rPr>
      </w:pPr>
    </w:p>
    <w:p w14:paraId="4B0D8787">
      <w:pPr>
        <w:pStyle w:val="3"/>
        <w:spacing w:line="244" w:lineRule="auto"/>
        <w:rPr>
          <w:lang w:eastAsia="zh-CN"/>
        </w:rPr>
      </w:pPr>
    </w:p>
    <w:p w14:paraId="61152460">
      <w:pPr>
        <w:pStyle w:val="3"/>
        <w:spacing w:line="245" w:lineRule="auto"/>
        <w:rPr>
          <w:lang w:eastAsia="zh-CN"/>
        </w:rPr>
      </w:pPr>
    </w:p>
    <w:p w14:paraId="03216B05">
      <w:pPr>
        <w:pStyle w:val="3"/>
        <w:spacing w:line="245" w:lineRule="auto"/>
        <w:rPr>
          <w:lang w:eastAsia="zh-CN"/>
        </w:rPr>
      </w:pPr>
    </w:p>
    <w:p w14:paraId="341340C3">
      <w:pPr>
        <w:pStyle w:val="3"/>
        <w:spacing w:line="245" w:lineRule="auto"/>
        <w:rPr>
          <w:lang w:eastAsia="zh-CN"/>
        </w:rPr>
      </w:pPr>
    </w:p>
    <w:p w14:paraId="61A8372E">
      <w:pPr>
        <w:pStyle w:val="3"/>
        <w:spacing w:line="245" w:lineRule="auto"/>
        <w:rPr>
          <w:lang w:eastAsia="zh-CN"/>
        </w:rPr>
      </w:pPr>
    </w:p>
    <w:p w14:paraId="0D59D55A">
      <w:pPr>
        <w:pStyle w:val="3"/>
        <w:spacing w:line="245" w:lineRule="auto"/>
        <w:rPr>
          <w:lang w:eastAsia="zh-CN"/>
        </w:rPr>
      </w:pPr>
    </w:p>
    <w:p w14:paraId="4A5A97EA">
      <w:pPr>
        <w:pStyle w:val="3"/>
        <w:spacing w:line="245" w:lineRule="auto"/>
        <w:rPr>
          <w:lang w:eastAsia="zh-CN"/>
        </w:rPr>
      </w:pPr>
    </w:p>
    <w:p w14:paraId="1082CB05">
      <w:pPr>
        <w:pStyle w:val="3"/>
        <w:spacing w:line="245" w:lineRule="auto"/>
        <w:rPr>
          <w:lang w:eastAsia="zh-CN"/>
        </w:rPr>
      </w:pPr>
    </w:p>
    <w:p w14:paraId="04B33E96">
      <w:pPr>
        <w:pStyle w:val="3"/>
        <w:spacing w:line="245" w:lineRule="auto"/>
        <w:rPr>
          <w:lang w:eastAsia="zh-CN"/>
        </w:rPr>
      </w:pPr>
    </w:p>
    <w:p w14:paraId="6B74A3B5">
      <w:pPr>
        <w:pStyle w:val="3"/>
        <w:spacing w:line="245" w:lineRule="auto"/>
        <w:rPr>
          <w:lang w:eastAsia="zh-CN"/>
        </w:rPr>
      </w:pPr>
    </w:p>
    <w:p w14:paraId="74B93ED4">
      <w:pPr>
        <w:pStyle w:val="3"/>
        <w:spacing w:line="245" w:lineRule="auto"/>
        <w:rPr>
          <w:lang w:eastAsia="zh-CN"/>
        </w:rPr>
      </w:pPr>
    </w:p>
    <w:p w14:paraId="01AC3066">
      <w:pPr>
        <w:pStyle w:val="3"/>
        <w:spacing w:line="245" w:lineRule="auto"/>
        <w:rPr>
          <w:lang w:eastAsia="zh-CN"/>
        </w:rPr>
      </w:pPr>
    </w:p>
    <w:p w14:paraId="45C96364">
      <w:pPr>
        <w:pStyle w:val="3"/>
        <w:spacing w:line="245" w:lineRule="auto"/>
        <w:rPr>
          <w:lang w:eastAsia="zh-CN"/>
        </w:rPr>
      </w:pPr>
    </w:p>
    <w:p w14:paraId="59F6BEDB">
      <w:pPr>
        <w:pStyle w:val="3"/>
        <w:spacing w:line="245" w:lineRule="auto"/>
        <w:rPr>
          <w:lang w:eastAsia="zh-CN"/>
        </w:rPr>
      </w:pPr>
    </w:p>
    <w:p w14:paraId="6A04CBFF">
      <w:pPr>
        <w:pStyle w:val="3"/>
        <w:spacing w:line="245" w:lineRule="auto"/>
        <w:rPr>
          <w:lang w:eastAsia="zh-CN"/>
        </w:rPr>
      </w:pPr>
    </w:p>
    <w:p w14:paraId="5512D9D1">
      <w:pPr>
        <w:pStyle w:val="3"/>
        <w:spacing w:line="245" w:lineRule="auto"/>
        <w:rPr>
          <w:lang w:eastAsia="zh-CN"/>
        </w:rPr>
      </w:pPr>
    </w:p>
    <w:p w14:paraId="4F3AFB25">
      <w:pPr>
        <w:pStyle w:val="3"/>
        <w:spacing w:line="245" w:lineRule="auto"/>
        <w:rPr>
          <w:lang w:eastAsia="zh-CN"/>
        </w:rPr>
      </w:pPr>
    </w:p>
    <w:p w14:paraId="24C19A94">
      <w:pPr>
        <w:pStyle w:val="3"/>
        <w:spacing w:line="245" w:lineRule="auto"/>
        <w:rPr>
          <w:lang w:eastAsia="zh-CN"/>
        </w:rPr>
      </w:pPr>
    </w:p>
    <w:p w14:paraId="3253D4F7">
      <w:pPr>
        <w:pStyle w:val="3"/>
        <w:spacing w:line="245" w:lineRule="auto"/>
        <w:rPr>
          <w:lang w:eastAsia="zh-CN"/>
        </w:rPr>
      </w:pPr>
    </w:p>
    <w:p w14:paraId="551DE038">
      <w:pPr>
        <w:pStyle w:val="3"/>
        <w:spacing w:line="245" w:lineRule="auto"/>
        <w:rPr>
          <w:lang w:eastAsia="zh-CN"/>
        </w:rPr>
      </w:pPr>
    </w:p>
    <w:p w14:paraId="762FB209">
      <w:pPr>
        <w:pStyle w:val="3"/>
        <w:spacing w:line="245" w:lineRule="auto"/>
        <w:rPr>
          <w:lang w:eastAsia="zh-CN"/>
        </w:rPr>
      </w:pPr>
    </w:p>
    <w:p w14:paraId="1ECE007A">
      <w:pPr>
        <w:pStyle w:val="3"/>
        <w:spacing w:line="245" w:lineRule="auto"/>
        <w:rPr>
          <w:lang w:eastAsia="zh-CN"/>
        </w:rPr>
      </w:pPr>
    </w:p>
    <w:p w14:paraId="5FF50FE0">
      <w:pPr>
        <w:pStyle w:val="3"/>
        <w:spacing w:line="245" w:lineRule="auto"/>
        <w:rPr>
          <w:lang w:eastAsia="zh-CN"/>
        </w:rPr>
      </w:pPr>
    </w:p>
    <w:p w14:paraId="576EF01F">
      <w:pPr>
        <w:pStyle w:val="3"/>
        <w:spacing w:line="245" w:lineRule="auto"/>
        <w:rPr>
          <w:lang w:eastAsia="zh-CN"/>
        </w:rPr>
      </w:pPr>
    </w:p>
    <w:p w14:paraId="55FEB6BE">
      <w:pPr>
        <w:pStyle w:val="3"/>
        <w:spacing w:line="245" w:lineRule="auto"/>
        <w:rPr>
          <w:lang w:eastAsia="zh-CN"/>
        </w:rPr>
      </w:pPr>
    </w:p>
    <w:p w14:paraId="27B57CED">
      <w:pPr>
        <w:pStyle w:val="3"/>
        <w:spacing w:line="245" w:lineRule="auto"/>
        <w:rPr>
          <w:lang w:eastAsia="zh-CN"/>
        </w:rPr>
      </w:pPr>
    </w:p>
    <w:p w14:paraId="78866B22">
      <w:pPr>
        <w:pStyle w:val="3"/>
        <w:spacing w:line="245" w:lineRule="auto"/>
        <w:rPr>
          <w:lang w:eastAsia="zh-CN"/>
        </w:rPr>
      </w:pPr>
    </w:p>
    <w:p w14:paraId="57C8EBCA">
      <w:pPr>
        <w:pStyle w:val="3"/>
        <w:spacing w:line="245" w:lineRule="auto"/>
        <w:rPr>
          <w:lang w:eastAsia="zh-CN"/>
        </w:rPr>
      </w:pPr>
    </w:p>
    <w:p w14:paraId="520A88B6">
      <w:pPr>
        <w:spacing w:before="206" w:line="204" w:lineRule="auto"/>
        <w:ind w:left="7323"/>
        <w:rPr>
          <w:sz w:val="48"/>
          <w:szCs w:val="48"/>
          <w:lang w:eastAsia="zh-CN"/>
        </w:rPr>
      </w:pPr>
      <w:r>
        <w:rPr>
          <w:rFonts w:ascii="微软雅黑" w:hAnsi="微软雅黑" w:eastAsia="微软雅黑" w:cs="微软雅黑"/>
          <w:b/>
          <w:bCs/>
          <w:color w:val="005D97"/>
          <w:spacing w:val="-22"/>
          <w:sz w:val="48"/>
          <w:szCs w:val="48"/>
          <w:lang w:eastAsia="zh-CN"/>
        </w:rPr>
        <w:t>202</w:t>
      </w:r>
      <w:r>
        <w:rPr>
          <w:rFonts w:hint="eastAsia" w:ascii="微软雅黑" w:hAnsi="微软雅黑" w:eastAsia="微软雅黑" w:cs="微软雅黑"/>
          <w:b/>
          <w:bCs/>
          <w:color w:val="005D97"/>
          <w:spacing w:val="-22"/>
          <w:sz w:val="48"/>
          <w:szCs w:val="48"/>
          <w:lang w:eastAsia="zh-CN"/>
        </w:rPr>
        <w:t>5</w:t>
      </w:r>
      <w:r>
        <w:rPr>
          <w:rFonts w:ascii="微软雅黑" w:hAnsi="微软雅黑" w:eastAsia="微软雅黑" w:cs="微软雅黑"/>
          <w:b/>
          <w:bCs/>
          <w:color w:val="005D97"/>
          <w:spacing w:val="-22"/>
          <w:sz w:val="48"/>
          <w:szCs w:val="48"/>
          <w:lang w:eastAsia="zh-CN"/>
        </w:rPr>
        <w:t>年</w:t>
      </w:r>
      <w:r>
        <w:rPr>
          <w:rFonts w:hint="eastAsia" w:ascii="微软雅黑" w:hAnsi="微软雅黑" w:eastAsia="微软雅黑" w:cs="微软雅黑"/>
          <w:b/>
          <w:bCs/>
          <w:color w:val="005D97"/>
          <w:spacing w:val="-22"/>
          <w:sz w:val="48"/>
          <w:szCs w:val="48"/>
          <w:lang w:eastAsia="zh-CN"/>
        </w:rPr>
        <w:t>12</w:t>
      </w:r>
      <w:r>
        <w:rPr>
          <w:rFonts w:ascii="微软雅黑" w:hAnsi="微软雅黑" w:eastAsia="微软雅黑" w:cs="微软雅黑"/>
          <w:b/>
          <w:bCs/>
          <w:color w:val="005D97"/>
          <w:spacing w:val="-22"/>
          <w:sz w:val="48"/>
          <w:szCs w:val="48"/>
          <w:lang w:eastAsia="zh-CN"/>
        </w:rPr>
        <w:t>月</w:t>
      </w:r>
      <w:r>
        <w:rPr>
          <w:rFonts w:hint="eastAsia" w:ascii="微软雅黑" w:hAnsi="微软雅黑" w:eastAsia="微软雅黑" w:cs="微软雅黑"/>
          <w:b/>
          <w:bCs/>
          <w:color w:val="005D97"/>
          <w:spacing w:val="-22"/>
          <w:sz w:val="48"/>
          <w:szCs w:val="48"/>
          <w:lang w:eastAsia="zh-CN"/>
        </w:rPr>
        <w:t>1</w:t>
      </w:r>
      <w:r>
        <w:rPr>
          <w:rFonts w:ascii="微软雅黑" w:hAnsi="微软雅黑" w:eastAsia="微软雅黑" w:cs="微软雅黑"/>
          <w:b/>
          <w:bCs/>
          <w:color w:val="005D97"/>
          <w:spacing w:val="-22"/>
          <w:sz w:val="48"/>
          <w:szCs w:val="48"/>
          <w:lang w:eastAsia="zh-CN"/>
        </w:rPr>
        <w:t>日</w:t>
      </w:r>
      <w:r>
        <w:rPr>
          <w:rFonts w:ascii="微软雅黑" w:hAnsi="微软雅黑" w:eastAsia="微软雅黑" w:cs="微软雅黑"/>
          <w:b/>
          <w:bCs/>
          <w:color w:val="005D97"/>
          <w:spacing w:val="38"/>
          <w:sz w:val="48"/>
          <w:szCs w:val="48"/>
          <w:lang w:eastAsia="zh-CN"/>
        </w:rPr>
        <w:t xml:space="preserve"> </w:t>
      </w:r>
      <w:r>
        <w:rPr>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14:paraId="792B9045">
      <w:pPr>
        <w:spacing w:line="204" w:lineRule="auto"/>
        <w:rPr>
          <w:sz w:val="48"/>
          <w:szCs w:val="48"/>
          <w:lang w:eastAsia="zh-CN"/>
        </w:rPr>
        <w:sectPr>
          <w:headerReference r:id="rId3" w:type="default"/>
          <w:pgSz w:w="11906" w:h="16838"/>
          <w:pgMar w:top="400" w:right="0" w:bottom="0" w:left="0" w:header="0" w:footer="340" w:gutter="0"/>
          <w:cols w:space="720" w:num="1"/>
        </w:sectPr>
      </w:pPr>
    </w:p>
    <w:p w14:paraId="174AA553">
      <w:pPr>
        <w:pStyle w:val="3"/>
        <w:spacing w:line="253" w:lineRule="auto"/>
        <w:rPr>
          <w:lang w:eastAsia="zh-CN"/>
        </w:rPr>
      </w:pPr>
      <w:r>
        <w:rPr>
          <w:lang w:eastAsia="zh-CN"/>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pPr>
                              <w:jc w:val="center"/>
                              <w:rPr>
                                <w:rFonts w:ascii="思源黑体 CN Bold" w:hAnsi="思源黑体 CN Bold" w:eastAsia="思源黑体 CN Bold" w:cs="思源黑体 CN Bold"/>
                                <w:color w:val="FFFFFF" w:themeColor="background1"/>
                                <w:sz w:val="40"/>
                                <w:szCs w:val="40"/>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0.1pt;margin-top:10.1pt;height:38.45pt;width:132.85pt;z-index:251661312;v-text-anchor:middle;mso-width-relative:page;mso-height-relative:page;" fillcolor="#4F80BD" filled="t" stroked="f" coordsize="21600,21600" o:gfxdata="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yO3AdYAAAAHAQAADwAAAAAAAAABACAAAAAi&#10;AAAAZHJzL2Rvd25yZXYueG1sUEsBAhQAFAAAAAgAh07iQPuqOyhFAgAAcgQAAA4AAAAAAAAAAQAg&#10;AAAAJQEAAGRycy9lMm9Eb2MueG1sUEsFBgAAAAAGAAYAWQEAANwFAAAAAA==&#10;" adj="18475">
                <v:fill on="t" focussize="0,0"/>
                <v:stroke on="f"/>
                <v:imagedata o:title=""/>
                <o:lock v:ext="edit" aspectratio="f"/>
                <v:textbox>
                  <w:txbxContent>
                    <w:p w14:paraId="5F4AE6DF">
                      <w:pPr>
                        <w:jc w:val="center"/>
                        <w:rPr>
                          <w:rFonts w:ascii="思源黑体 CN Bold" w:hAnsi="思源黑体 CN Bold" w:eastAsia="思源黑体 CN Bold" w:cs="思源黑体 CN Bold"/>
                          <w:color w:val="FFFFFF" w:themeColor="background1"/>
                          <w:sz w:val="40"/>
                          <w:szCs w:val="40"/>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eastAsia="zh-CN"/>
                          <w14:textFill>
                            <w14:solidFill>
                              <w14:schemeClr w14:val="bg1"/>
                            </w14:solidFill>
                          </w14:textFill>
                        </w:rPr>
                        <w:t>市场综述</w:t>
                      </w:r>
                    </w:p>
                  </w:txbxContent>
                </v:textbox>
              </v:shape>
            </w:pict>
          </mc:Fallback>
        </mc:AlternateContent>
      </w:r>
    </w:p>
    <w:p w14:paraId="25B5172D">
      <w:pPr>
        <w:pStyle w:val="3"/>
        <w:spacing w:line="253" w:lineRule="auto"/>
        <w:rPr>
          <w:lang w:eastAsia="zh-CN"/>
        </w:rPr>
      </w:pPr>
    </w:p>
    <w:p w14:paraId="2F46F1C4">
      <w:pPr>
        <w:spacing w:before="103" w:line="256" w:lineRule="auto"/>
        <w:ind w:right="584"/>
        <w:jc w:val="both"/>
        <w:rPr>
          <w:rFonts w:ascii="思源黑体 CN Bold" w:hAnsi="思源黑体 CN Bold" w:eastAsia="思源黑体 CN Bold" w:cs="思源黑体 CN Bold"/>
          <w:color w:val="FFFFFF" w:themeColor="background1"/>
          <w:spacing w:val="4"/>
          <w:sz w:val="24"/>
          <w:szCs w:val="24"/>
          <w:lang w:eastAsia="zh-CN"/>
          <w14:textFill>
            <w14:solidFill>
              <w14:schemeClr w14:val="bg1"/>
            </w14:solidFill>
          </w14:textFill>
        </w:rPr>
      </w:pPr>
    </w:p>
    <w:p w14:paraId="386AAD85">
      <w:pPr>
        <w:spacing w:before="102" w:line="257" w:lineRule="auto"/>
        <w:ind w:right="646" w:firstLine="436" w:firstLineChars="200"/>
        <w:rPr>
          <w:rFonts w:hint="eastAsia" w:ascii="微软雅黑" w:hAnsi="微软雅黑" w:eastAsia="微软雅黑" w:cs="微软雅黑"/>
          <w:spacing w:val="4"/>
          <w:lang w:eastAsia="zh-CN"/>
        </w:rPr>
      </w:pPr>
      <w:r>
        <w:rPr>
          <w:rFonts w:hint="eastAsia" w:ascii="微软雅黑" w:hAnsi="微软雅黑" w:eastAsia="微软雅黑" w:cs="微软雅黑"/>
          <w:spacing w:val="4"/>
          <w:lang w:eastAsia="zh-CN"/>
        </w:rPr>
        <w:t>上周富时中国A50指数周涨1.34%，标准普尔500指数周涨3.73%。美元兑离岸人民币周跌0.48% LME铜周涨3.69%，COMEX黄金周涨4.34%，COMEX白银周涨14.37%。WTI原油周涨0.72%。ICE原糖期货主力合约周涨2.91%，ICE棉主力合约周涨1.38%，MB铁矿石周涨1.39%。</w:t>
      </w:r>
    </w:p>
    <w:p w14:paraId="07AA11A4">
      <w:pPr>
        <w:spacing w:before="235" w:line="176" w:lineRule="auto"/>
        <w:ind w:firstLine="224" w:firstLineChars="100"/>
        <w:rPr>
          <w:rFonts w:hint="eastAsia" w:ascii="微软雅黑" w:hAnsi="微软雅黑" w:eastAsia="微软雅黑" w:cs="微软雅黑"/>
          <w:spacing w:val="7"/>
          <w:sz w:val="24"/>
          <w:szCs w:val="24"/>
          <w:lang w:eastAsia="zh-CN"/>
        </w:rPr>
      </w:pPr>
      <w:r>
        <w:rPr>
          <w:rFonts w:ascii="微软雅黑" w:hAnsi="微软雅黑" w:eastAsia="微软雅黑" w:cs="微软雅黑"/>
          <w:spacing w:val="7"/>
          <w:lang w:eastAsia="zh-CN"/>
        </w:rPr>
        <w:t>图表1</w:t>
      </w:r>
      <w:r>
        <w:rPr>
          <w:rFonts w:hint="eastAsia" w:ascii="微软雅黑" w:hAnsi="微软雅黑" w:eastAsia="微软雅黑" w:cs="微软雅黑"/>
          <w:spacing w:val="7"/>
          <w:lang w:eastAsia="zh-CN"/>
        </w:rPr>
        <w:t>：</w:t>
      </w:r>
      <w:r>
        <w:rPr>
          <w:rFonts w:ascii="微软雅黑" w:hAnsi="微软雅黑" w:eastAsia="微软雅黑" w:cs="微软雅黑"/>
          <w:spacing w:val="7"/>
          <w:lang w:eastAsia="zh-CN"/>
        </w:rPr>
        <w:t>全球</w:t>
      </w:r>
      <w:r>
        <w:rPr>
          <w:rFonts w:hint="eastAsia" w:ascii="微软雅黑" w:hAnsi="微软雅黑" w:eastAsia="微软雅黑" w:cs="微软雅黑"/>
          <w:spacing w:val="7"/>
          <w:lang w:eastAsia="zh-CN"/>
        </w:rPr>
        <w:t>资产</w:t>
      </w:r>
      <w:r>
        <w:rPr>
          <w:rFonts w:ascii="微软雅黑" w:hAnsi="微软雅黑" w:eastAsia="微软雅黑" w:cs="微软雅黑"/>
          <w:spacing w:val="7"/>
          <w:lang w:eastAsia="zh-CN"/>
        </w:rPr>
        <w:t>涨跌幅</w:t>
      </w:r>
    </w:p>
    <w:p w14:paraId="227387B0">
      <w:pPr>
        <w:spacing w:before="235" w:line="176" w:lineRule="auto"/>
        <w:ind w:firstLine="240" w:firstLineChars="100"/>
        <w:jc w:val="center"/>
        <w:rPr>
          <w:rFonts w:hint="eastAsia" w:ascii="微软雅黑" w:hAnsi="微软雅黑" w:eastAsia="微软雅黑" w:cs="微软雅黑"/>
          <w:spacing w:val="7"/>
          <w:sz w:val="24"/>
          <w:szCs w:val="24"/>
          <w:lang w:eastAsia="zh-CN"/>
        </w:rPr>
      </w:pPr>
      <w:r>
        <w:rPr>
          <w:rFonts w:ascii="Times New Roman" w:hAnsi="Times New Roman" w:eastAsia="Times New Roman" w:cs="Times New Roman"/>
          <w:snapToGrid/>
          <w:color w:val="auto"/>
          <w:sz w:val="24"/>
          <w:szCs w:val="24"/>
          <w:lang w:val="en-CA" w:eastAsia="zh-CN"/>
        </w:rPr>
        <w:object>
          <v:shape id="_x0000_i1025" o:spt="75" type="#_x0000_t75" style="height:324.9pt;width:500.85pt;" o:ole="t" filled="f" coordsize="21600,21600">
            <v:path/>
            <v:fill on="f" focussize="0,0"/>
            <v:stroke/>
            <v:imagedata r:id="rId9" o:title=""/>
            <o:lock v:ext="edit" aspectratio="t"/>
            <w10:wrap type="none"/>
            <w10:anchorlock/>
          </v:shape>
          <o:OLEObject Type="Link" ProgID="Excel.Sheet.12" ShapeID="_x0000_i1025" UpdateMode="Always" DrawAspect="Content" ObjectID="_1468075725" r:id="rId10">
            <o:LinkType>EnhancedMetaFile</o:LinkType>
            <o:LockedField>false</o:LockedField>
          </o:OLEObject>
        </w:object>
      </w:r>
      <w:r>
        <w:rPr>
          <w:rFonts w:ascii="Times New Roman" w:hAnsi="Times New Roman" w:eastAsia="Times New Roman" w:cs="Times New Roman"/>
          <w:snapToGrid/>
          <w:color w:val="auto"/>
          <w:sz w:val="24"/>
          <w:szCs w:val="24"/>
          <w:lang w:val="en-CA" w:eastAsia="zh-CN"/>
        </w:rPr>
        <w:fldChar w:fldCharType="begin"/>
      </w:r>
      <w:r>
        <w:rPr>
          <w:rFonts w:ascii="Times New Roman" w:hAnsi="Times New Roman" w:eastAsia="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Pr>
          <w:rFonts w:ascii="Times New Roman" w:hAnsi="Times New Roman" w:eastAsia="Times New Roman" w:cs="Times New Roman"/>
          <w:snapToGrid/>
          <w:color w:val="auto"/>
          <w:sz w:val="24"/>
          <w:szCs w:val="24"/>
          <w:lang w:val="en-CA" w:eastAsia="zh-CN"/>
        </w:rPr>
        <w:fldChar w:fldCharType="end"/>
      </w:r>
    </w:p>
    <w:p w14:paraId="57AB6138">
      <w:pPr>
        <w:spacing w:before="235" w:line="176" w:lineRule="auto"/>
        <w:ind w:firstLine="224" w:firstLineChars="100"/>
        <w:rPr>
          <w:rFonts w:hint="eastAsia" w:ascii="微软雅黑" w:hAnsi="微软雅黑" w:eastAsia="微软雅黑" w:cs="微软雅黑"/>
          <w:lang w:eastAsia="zh-CN"/>
        </w:rPr>
      </w:pPr>
      <w:r>
        <w:rPr>
          <w:rFonts w:hint="eastAsia" w:ascii="微软雅黑" w:hAnsi="微软雅黑" w:eastAsia="微软雅黑" w:cs="微软雅黑"/>
          <w:spacing w:val="7"/>
          <w:lang w:eastAsia="zh-CN"/>
        </w:rPr>
        <w:t>资料来源：公开资料整理，瑞达国际</w:t>
      </w:r>
    </w:p>
    <w:p w14:paraId="2DF3CE5D">
      <w:pPr>
        <w:pStyle w:val="3"/>
        <w:spacing w:line="282" w:lineRule="auto"/>
        <w:rPr>
          <w:rFonts w:eastAsiaTheme="minorEastAsia"/>
          <w:lang w:eastAsia="zh-CN"/>
        </w:rPr>
      </w:pPr>
    </w:p>
    <w:p w14:paraId="115759EA">
      <w:pPr>
        <w:pStyle w:val="13"/>
        <w:numPr>
          <w:ilvl w:val="0"/>
          <w:numId w:val="1"/>
        </w:numPr>
        <w:spacing w:before="120" w:line="190" w:lineRule="auto"/>
        <w:ind w:firstLineChars="0"/>
        <w:rPr>
          <w:rFonts w:hint="eastAsia" w:ascii="微软雅黑" w:hAnsi="微软雅黑" w:eastAsia="微软雅黑" w:cs="微软雅黑"/>
          <w:b/>
          <w:bCs/>
          <w:color w:val="036EB8"/>
          <w:spacing w:val="10"/>
          <w:sz w:val="28"/>
          <w:szCs w:val="28"/>
          <w:lang w:eastAsia="zh-CN"/>
        </w:rPr>
      </w:pPr>
      <w:r>
        <w:rPr>
          <w:rFonts w:ascii="微软雅黑" w:hAnsi="微软雅黑" w:eastAsia="微软雅黑" w:cs="微软雅黑"/>
          <w:b/>
          <w:bCs/>
          <w:color w:val="036EB8"/>
          <w:spacing w:val="10"/>
          <w:sz w:val="28"/>
          <w:szCs w:val="28"/>
          <w:lang w:eastAsia="zh-CN"/>
        </w:rPr>
        <w:t>周度事件汇总</w:t>
      </w:r>
    </w:p>
    <w:p w14:paraId="23FBFC0F">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美国和乌克兰完成一份新的19点和平协议草案，但领土安排、乌克兰与北约及俄美关系等最敏感议题仍留待特朗普与泽连斯基决定。欧洲多国警告，短期内无法迅速达成协议。俄方表示，欧洲就结束乌克兰危机所提出的和平方案对俄方不具建设性，也不符合俄方利益。】</w:t>
      </w:r>
    </w:p>
    <w:p w14:paraId="761FFCE7">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美国经济分析局宣布取消第三季度美国国内生产总值(GDP)预估值的发布计划。该数据原定于10月30日发布，但由于联邦政府停摆而被推迟。美联储看重的通胀指标PCE价格指数，以及收入和支出报告将于华盛顿当地时间12月5日上午10点发布。】</w:t>
      </w:r>
    </w:p>
    <w:p w14:paraId="0FDE8836">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【美联储理事沃勒表示，最新数据显示劳动力市场依然疲软，因此他主张在12月进行降息。沃勒指出，12月会议后将密集发布的延迟经济报告，可能让1月的决定“更棘手”。】</w:t>
      </w:r>
    </w:p>
    <w:p w14:paraId="617826C3">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美国总统特朗普表示，过去一周，他的团队在结束俄乌冲突方面取得了巨大进展，最初由美国起草的28点和平计划已经经过完善，目前仅剩少数分歧。为了最终敲定这项和平计划，特朗普称其已经指示特使史蒂夫·威特科夫前往莫斯科与俄罗斯总统普京会面磋商。乌克兰国家安全与国防委员会秘书乌梅罗夫称，乌方期待乌总统泽连斯基能在11月尽早访美，以完成最后步骤并与美国总统特朗普达成协议。】</w:t>
      </w:r>
    </w:p>
    <w:p w14:paraId="29482138">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美国9月PPI环比上涨0.3%，核心PPI环比上涨0.1%，均较前值明显加速，显示美国通胀在9月重新升温。同时，美国9月零售销售环比增长0.2%，连续四个月正增长但显著放缓，且低于市场预期，汽车销售四个月来首次下滑。】</w:t>
      </w:r>
    </w:p>
    <w:p w14:paraId="58638A97">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【自动数据处理公司（ADP）报告显示，美国劳动力市场正显现进一步疲软迹象。数据显示，过去四周私营企业每周平均减少13500个工作岗位，较一周前公布的每周减少2500个岗位呈现加速恶化趋势。】</w:t>
      </w:r>
    </w:p>
    <w:p w14:paraId="25658365">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美联储发布褐皮书显示，根据美联储12个辖区中的大部分报告，自上次报告以来，经济活动基本持平；不过有2个辖区指出经济小幅下滑，1个辖区报告经济小幅增长。整体前景基本未变，部分人士指出未来几个月经济活动放缓的风险加大。】</w:t>
      </w:r>
    </w:p>
    <w:p w14:paraId="0C897D14">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【美国上周初请失业金人数减少6000人至21.6万人，为4月中旬以来新低，低于预期值22.5万人。此前一周的续申请失业金人数小幅上升至196万人。】</w:t>
      </w:r>
    </w:p>
    <w:p w14:paraId="4F2F1BDD">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俄罗斯总统普京表示，美方代表团将于下周到访莫斯科。普京重申俄方总体上同意将美方解决乌克兰问题的清单作为未来谈判的基础。普京表示，如果乌克兰武装力量从其目前控制地区撤离，俄方将停止武装行动；如果乌方不撤离，俄方将采用军事手段达成目标。】</w:t>
      </w:r>
    </w:p>
    <w:p w14:paraId="030F3F47">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乌克兰外交部长瑟比加表示，乌克兰与美国的谈判团队预计于近期举行会晤。瑟比加说，实现停火对乌方来说极其重要，希望谈判能取得实际成果。此外，乌方希望促成乌总统泽连斯基与美总统特朗普的会晤，因为部分敏感议题需由两国领导人直接商讨。】</w:t>
      </w:r>
    </w:p>
    <w:p w14:paraId="29736617">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欧洲央行发布10月会议纪要，详解其在该次会议上按兵不动的依据，进一步强化了市场对本轮降息周期终结的预期。欧洲央行管委卡扎克斯最新表示，鉴于欧元区通胀仍可能高于预期，目前讨论再次降息为时尚早。】</w:t>
      </w:r>
    </w:p>
    <w:p w14:paraId="0914C499">
      <w:pPr>
        <w:pStyle w:val="13"/>
        <w:rPr>
          <w:rFonts w:hint="eastAsia" w:ascii="微软雅黑" w:hAnsi="微软雅黑" w:eastAsia="微软雅黑" w:cs="微软雅黑"/>
          <w:lang w:eastAsia="zh-CN"/>
        </w:rPr>
      </w:pPr>
      <w:r>
        <w:rPr>
          <w:rFonts w:hint="eastAsia" w:ascii="微软雅黑" w:hAnsi="微软雅黑" w:eastAsia="微软雅黑" w:cs="微软雅黑"/>
          <w:lang w:eastAsia="zh-CN"/>
        </w:rPr>
        <w:t>【日本内阁批准了18.3万亿日元（合1170亿美元）的额外预算，为自放松疫情限制以来规模最大的一轮刺激计划提供资金。</w:t>
      </w:r>
      <w:r>
        <w:rPr>
          <w:rFonts w:ascii="微软雅黑" w:hAnsi="微软雅黑" w:eastAsia="微软雅黑" w:cs="微软雅黑"/>
          <w:lang w:eastAsia="zh-CN"/>
        </w:rPr>
        <w:t>日本财务省</w:t>
      </w:r>
      <w:r>
        <w:rPr>
          <w:rFonts w:hint="eastAsia" w:ascii="微软雅黑" w:hAnsi="微软雅黑" w:eastAsia="微软雅黑" w:cs="微软雅黑"/>
          <w:lang w:eastAsia="zh-CN"/>
        </w:rPr>
        <w:t>称，其中11.7万亿日元将由</w:t>
      </w:r>
      <w:r>
        <w:rPr>
          <w:rFonts w:ascii="微软雅黑" w:hAnsi="微软雅黑" w:eastAsia="微软雅黑" w:cs="微软雅黑"/>
          <w:lang w:eastAsia="zh-CN"/>
        </w:rPr>
        <w:t>新债</w:t>
      </w:r>
      <w:r>
        <w:rPr>
          <w:rFonts w:hint="eastAsia" w:ascii="微软雅黑" w:hAnsi="微软雅黑" w:eastAsia="微软雅黑" w:cs="微软雅黑"/>
          <w:lang w:eastAsia="zh-CN"/>
        </w:rPr>
        <w:t>填补。为了反映这一变化，政府修改了本财年的债券发行计划。日本两年期和五年期国债发行分别增加了3000亿日元，国库券发行增加了6.3万亿日元。】</w:t>
      </w:r>
    </w:p>
    <w:p w14:paraId="7D9C634E">
      <w:pPr>
        <w:pStyle w:val="13"/>
        <w:rPr>
          <w:rFonts w:hint="eastAsia" w:ascii="微软雅黑" w:hAnsi="微软雅黑" w:eastAsia="微软雅黑" w:cs="微软雅黑"/>
          <w:lang w:eastAsia="zh-CN"/>
        </w:rPr>
      </w:pPr>
    </w:p>
    <w:p w14:paraId="5676F9EB">
      <w:pPr>
        <w:spacing w:before="120" w:line="190" w:lineRule="auto"/>
        <w:rPr>
          <w:rFonts w:hint="eastAsia" w:ascii="微软雅黑" w:hAnsi="微软雅黑" w:eastAsia="微软雅黑" w:cs="微软雅黑"/>
          <w:b/>
          <w:bCs/>
          <w:color w:val="036EB8"/>
          <w:spacing w:val="10"/>
          <w:sz w:val="28"/>
          <w:szCs w:val="28"/>
          <w:lang w:eastAsia="zh-CN"/>
        </w:rPr>
      </w:pPr>
      <w:r>
        <w:rPr>
          <w:lang w:eastAsia="zh-CN"/>
        </w:rPr>
        <w:drawing>
          <wp:inline distT="0" distB="0" distL="0" distR="0">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55291" name="IM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微软雅黑" w:hAnsi="微软雅黑" w:eastAsia="微软雅黑" w:cs="微软雅黑"/>
          <w:b/>
          <w:bCs/>
          <w:color w:val="036EB8"/>
          <w:spacing w:val="15"/>
          <w:sz w:val="28"/>
          <w:szCs w:val="28"/>
          <w:lang w:eastAsia="zh-CN"/>
        </w:rPr>
        <w:t xml:space="preserve"> </w:t>
      </w:r>
      <w:r>
        <w:rPr>
          <w:rFonts w:ascii="微软雅黑" w:hAnsi="微软雅黑" w:eastAsia="微软雅黑" w:cs="微软雅黑"/>
          <w:b/>
          <w:bCs/>
          <w:color w:val="036EB8"/>
          <w:spacing w:val="10"/>
          <w:sz w:val="28"/>
          <w:szCs w:val="28"/>
          <w:lang w:eastAsia="zh-CN"/>
        </w:rPr>
        <w:t>周度</w:t>
      </w:r>
      <w:r>
        <w:rPr>
          <w:rFonts w:hint="eastAsia" w:ascii="微软雅黑" w:hAnsi="微软雅黑" w:eastAsia="微软雅黑" w:cs="微软雅黑"/>
          <w:b/>
          <w:bCs/>
          <w:color w:val="036EB8"/>
          <w:spacing w:val="10"/>
          <w:sz w:val="28"/>
          <w:szCs w:val="28"/>
          <w:lang w:eastAsia="zh-CN"/>
        </w:rPr>
        <w:t xml:space="preserve">品种观点 </w:t>
      </w:r>
    </w:p>
    <w:tbl>
      <w:tblPr>
        <w:tblStyle w:val="8"/>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14:paraId="46EC9CB6">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14:paraId="2D5E8AB5">
            <w:pPr>
              <w:pStyle w:val="11"/>
              <w:widowControl w:val="0"/>
              <w:spacing w:before="221" w:line="182" w:lineRule="auto"/>
              <w:jc w:val="center"/>
              <w:rPr>
                <w:rFonts w:hint="eastAsia"/>
                <w:color w:val="FFFFFF" w:themeColor="background1"/>
                <w:sz w:val="24"/>
                <w:szCs w:val="24"/>
                <w:lang w:eastAsia="zh-CN"/>
                <w14:textFill>
                  <w14:solidFill>
                    <w14:schemeClr w14:val="bg1"/>
                  </w14:solidFill>
                </w14:textFill>
              </w:rPr>
            </w:pPr>
            <w:r>
              <w:rPr>
                <w:rFonts w:hint="eastAsia"/>
                <w:b/>
                <w:bCs/>
                <w:color w:val="FFFFFF" w:themeColor="background1"/>
                <w:spacing w:val="10"/>
                <w:sz w:val="28"/>
                <w:szCs w:val="28"/>
                <w:lang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14:paraId="1EFC0F88">
            <w:pPr>
              <w:widowControl w:val="0"/>
              <w:spacing w:before="120" w:line="190" w:lineRule="auto"/>
              <w:jc w:val="center"/>
              <w:rPr>
                <w:rFonts w:hint="eastAsia" w:ascii="微软雅黑" w:hAnsi="微软雅黑" w:eastAsia="微软雅黑" w:cs="微软雅黑"/>
                <w:b/>
                <w:bCs/>
                <w:color w:val="FFFFFF" w:themeColor="background1"/>
                <w:spacing w:val="10"/>
                <w:sz w:val="28"/>
                <w:szCs w:val="28"/>
                <w:lang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lang w:eastAsia="zh-CN"/>
                <w14:textFill>
                  <w14:solidFill>
                    <w14:schemeClr w14:val="bg1"/>
                  </w14:solidFill>
                </w14:textFill>
              </w:rPr>
              <w:t>观点</w:t>
            </w:r>
          </w:p>
        </w:tc>
      </w:tr>
      <w:tr w14:paraId="0207ECA9">
        <w:trPr>
          <w:trHeight w:val="346"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14:paraId="7E44D6D1">
            <w:pPr>
              <w:pStyle w:val="11"/>
              <w:widowControl w:val="0"/>
              <w:spacing w:before="228" w:line="191" w:lineRule="auto"/>
              <w:jc w:val="center"/>
              <w:rPr>
                <w:rFonts w:hint="eastAsia"/>
                <w:b/>
                <w:bCs/>
                <w:sz w:val="19"/>
                <w:szCs w:val="19"/>
                <w:lang w:eastAsia="zh-CN"/>
              </w:rPr>
            </w:pPr>
            <w:r>
              <w:rPr>
                <w:b/>
                <w:bCs/>
                <w:sz w:val="19"/>
                <w:szCs w:val="19"/>
                <w:lang w:eastAsia="zh-CN"/>
              </w:rPr>
              <w:t>S&amp;P500</w:t>
            </w:r>
          </w:p>
          <w:p w14:paraId="31F214ED">
            <w:pPr>
              <w:pStyle w:val="11"/>
              <w:widowControl w:val="0"/>
              <w:spacing w:before="228" w:line="191" w:lineRule="auto"/>
              <w:ind w:left="449" w:firstLine="190" w:firstLineChars="100"/>
              <w:jc w:val="center"/>
              <w:rPr>
                <w:rFonts w:hint="eastAsia"/>
                <w:sz w:val="19"/>
                <w:szCs w:val="19"/>
                <w:lang w:eastAsia="zh-CN"/>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14:paraId="2F198B76">
            <w:pPr>
              <w:widowControl w:val="0"/>
              <w:jc w:val="both"/>
              <w:rPr>
                <w:rFonts w:hint="eastAsia" w:ascii="微软雅黑" w:hAnsi="微软雅黑" w:eastAsia="微软雅黑" w:cs="Helvetica"/>
                <w:shd w:val="clear" w:color="auto" w:fill="FFFFFF"/>
                <w:lang w:eastAsia="zh-CN"/>
              </w:rPr>
            </w:pPr>
            <w:r>
              <w:rPr>
                <w:rFonts w:ascii="微软雅黑" w:hAnsi="微软雅黑" w:eastAsia="微软雅黑"/>
                <w:lang w:eastAsia="zh-CN"/>
              </w:rPr>
              <w:t>11</w:t>
            </w:r>
            <w:r>
              <w:rPr>
                <w:rFonts w:hint="eastAsia" w:ascii="微软雅黑" w:hAnsi="微软雅黑" w:eastAsia="微软雅黑"/>
                <w:lang w:eastAsia="zh-CN"/>
              </w:rPr>
              <w:t>月</w:t>
            </w:r>
            <w:r>
              <w:rPr>
                <w:rFonts w:ascii="微软雅黑" w:hAnsi="微软雅黑" w:eastAsia="微软雅黑"/>
                <w:lang w:eastAsia="zh-CN"/>
              </w:rPr>
              <w:t>28</w:t>
            </w:r>
            <w:r>
              <w:rPr>
                <w:rFonts w:hint="eastAsia" w:ascii="微软雅黑" w:hAnsi="微软雅黑" w:eastAsia="微软雅黑"/>
                <w:lang w:eastAsia="zh-CN"/>
              </w:rPr>
              <w:t>日当周，标普</w:t>
            </w:r>
            <w:r>
              <w:rPr>
                <w:rFonts w:ascii="微软雅黑" w:hAnsi="微软雅黑" w:eastAsia="微软雅黑"/>
                <w:lang w:eastAsia="zh-CN"/>
              </w:rPr>
              <w:t>500</w:t>
            </w:r>
            <w:r>
              <w:rPr>
                <w:rFonts w:hint="eastAsia" w:ascii="微软雅黑" w:hAnsi="微软雅黑" w:eastAsia="微软雅黑"/>
                <w:lang w:eastAsia="zh-CN"/>
              </w:rPr>
              <w:t>指数上涨</w:t>
            </w:r>
            <w:r>
              <w:rPr>
                <w:rFonts w:ascii="微软雅黑" w:hAnsi="微软雅黑" w:eastAsia="微软雅黑"/>
                <w:lang w:eastAsia="zh-CN"/>
              </w:rPr>
              <w:t>3.73%</w:t>
            </w:r>
            <w:r>
              <w:rPr>
                <w:rFonts w:hint="eastAsia" w:ascii="微软雅黑" w:hAnsi="微软雅黑" w:eastAsia="微软雅黑"/>
                <w:lang w:eastAsia="zh-CN"/>
              </w:rPr>
              <w:t>至</w:t>
            </w:r>
            <w:r>
              <w:rPr>
                <w:rFonts w:ascii="微软雅黑" w:hAnsi="微软雅黑" w:eastAsia="微软雅黑"/>
                <w:lang w:eastAsia="zh-CN"/>
              </w:rPr>
              <w:t>6849.09</w:t>
            </w:r>
            <w:r>
              <w:rPr>
                <w:rFonts w:hint="eastAsia" w:ascii="微软雅黑" w:hAnsi="微软雅黑" w:eastAsia="微软雅黑"/>
                <w:lang w:eastAsia="zh-CN"/>
              </w:rPr>
              <w:t>点；迷你标普</w:t>
            </w:r>
            <w:r>
              <w:rPr>
                <w:rFonts w:ascii="微软雅黑" w:hAnsi="微软雅黑" w:eastAsia="微软雅黑"/>
                <w:lang w:eastAsia="zh-CN"/>
              </w:rPr>
              <w:t>500</w:t>
            </w:r>
            <w:r>
              <w:rPr>
                <w:rFonts w:hint="eastAsia" w:ascii="微软雅黑" w:hAnsi="微软雅黑" w:eastAsia="微软雅黑"/>
                <w:lang w:eastAsia="zh-CN"/>
              </w:rPr>
              <w:t>主力合约上涨</w:t>
            </w:r>
            <w:r>
              <w:rPr>
                <w:rFonts w:ascii="微软雅黑" w:hAnsi="微软雅黑" w:eastAsia="微软雅黑"/>
                <w:lang w:eastAsia="zh-CN"/>
              </w:rPr>
              <w:t>3.4%</w:t>
            </w:r>
            <w:r>
              <w:rPr>
                <w:rFonts w:hint="eastAsia" w:ascii="微软雅黑" w:hAnsi="微软雅黑" w:eastAsia="微软雅黑"/>
                <w:lang w:eastAsia="zh-CN"/>
              </w:rPr>
              <w:t>至</w:t>
            </w:r>
            <w:r>
              <w:rPr>
                <w:rFonts w:ascii="微软雅黑" w:hAnsi="微软雅黑" w:eastAsia="微软雅黑"/>
                <w:lang w:eastAsia="zh-CN"/>
              </w:rPr>
              <w:t>6857.25</w:t>
            </w:r>
            <w:r>
              <w:rPr>
                <w:rFonts w:hint="eastAsia" w:ascii="微软雅黑" w:hAnsi="微软雅黑" w:eastAsia="微软雅黑"/>
                <w:lang w:eastAsia="zh-CN"/>
              </w:rPr>
              <w:t>点。美国</w:t>
            </w:r>
            <w:r>
              <w:rPr>
                <w:rFonts w:ascii="微软雅黑" w:hAnsi="微软雅黑" w:eastAsia="微软雅黑"/>
                <w:lang w:eastAsia="zh-CN"/>
              </w:rPr>
              <w:t>11</w:t>
            </w:r>
            <w:r>
              <w:rPr>
                <w:rFonts w:hint="eastAsia" w:ascii="微软雅黑" w:hAnsi="微软雅黑" w:eastAsia="微软雅黑"/>
                <w:lang w:eastAsia="zh-CN"/>
              </w:rPr>
              <w:t>月</w:t>
            </w:r>
            <w:r>
              <w:rPr>
                <w:rFonts w:ascii="微软雅黑" w:hAnsi="微软雅黑" w:eastAsia="微软雅黑"/>
                <w:lang w:eastAsia="zh-CN"/>
              </w:rPr>
              <w:t>23</w:t>
            </w:r>
            <w:r>
              <w:rPr>
                <w:rFonts w:hint="eastAsia" w:ascii="微软雅黑" w:hAnsi="微软雅黑" w:eastAsia="微软雅黑"/>
                <w:lang w:eastAsia="zh-CN"/>
              </w:rPr>
              <w:t>日当周初请失业金人数超市场预期减少，并创下</w:t>
            </w:r>
            <w:r>
              <w:rPr>
                <w:rFonts w:ascii="微软雅黑" w:hAnsi="微软雅黑" w:eastAsia="微软雅黑"/>
                <w:lang w:eastAsia="zh-CN"/>
              </w:rPr>
              <w:t>4</w:t>
            </w:r>
            <w:r>
              <w:rPr>
                <w:rFonts w:hint="eastAsia" w:ascii="微软雅黑" w:hAnsi="微软雅黑" w:eastAsia="微软雅黑"/>
                <w:lang w:eastAsia="zh-CN"/>
              </w:rPr>
              <w:t>月中旬以来新低，劳动市场保持一定韧性。但受到此前多位美联储官员的鸽派表态，市场对美联储</w:t>
            </w:r>
            <w:r>
              <w:rPr>
                <w:rFonts w:ascii="微软雅黑" w:hAnsi="微软雅黑" w:eastAsia="微软雅黑"/>
                <w:lang w:eastAsia="zh-CN"/>
              </w:rPr>
              <w:t>12</w:t>
            </w:r>
            <w:r>
              <w:rPr>
                <w:rFonts w:hint="eastAsia" w:ascii="微软雅黑" w:hAnsi="微软雅黑" w:eastAsia="微软雅黑"/>
                <w:lang w:eastAsia="zh-CN"/>
              </w:rPr>
              <w:t>月降息预期依旧保持高位，目前，芝商所联储观察工具显示，</w:t>
            </w:r>
            <w:r>
              <w:rPr>
                <w:rFonts w:ascii="微软雅黑" w:hAnsi="微软雅黑" w:eastAsia="微软雅黑"/>
                <w:lang w:eastAsia="zh-CN"/>
              </w:rPr>
              <w:t>12</w:t>
            </w:r>
            <w:r>
              <w:rPr>
                <w:rFonts w:hint="eastAsia" w:ascii="微软雅黑" w:hAnsi="微软雅黑" w:eastAsia="微软雅黑"/>
                <w:lang w:eastAsia="zh-CN"/>
              </w:rPr>
              <w:t>月美联储降息概率达</w:t>
            </w:r>
            <w:r>
              <w:rPr>
                <w:rFonts w:ascii="微软雅黑" w:hAnsi="微软雅黑" w:eastAsia="微软雅黑"/>
                <w:lang w:eastAsia="zh-CN"/>
              </w:rPr>
              <w:t>87.4%</w:t>
            </w:r>
            <w:r>
              <w:rPr>
                <w:rFonts w:hint="eastAsia" w:ascii="微软雅黑" w:hAnsi="微软雅黑" w:eastAsia="微软雅黑"/>
                <w:lang w:eastAsia="zh-CN"/>
              </w:rPr>
              <w:t>。整体来看，美联储</w:t>
            </w:r>
            <w:r>
              <w:rPr>
                <w:rFonts w:ascii="微软雅黑" w:hAnsi="微软雅黑" w:eastAsia="微软雅黑"/>
                <w:lang w:eastAsia="zh-CN"/>
              </w:rPr>
              <w:t>12</w:t>
            </w:r>
            <w:r>
              <w:rPr>
                <w:rFonts w:hint="eastAsia" w:ascii="微软雅黑" w:hAnsi="微软雅黑" w:eastAsia="微软雅黑"/>
                <w:lang w:eastAsia="zh-CN"/>
              </w:rPr>
              <w:t>月降息预期升温推动美股反弹，但降息预期并非来自经济基本面，而是对新任美联储主席鸽派立场的预期，且建立在美联储独立性受政治因素干扰的基础上，需警惕市场情绪变化带来的负面冲击。</w:t>
            </w:r>
          </w:p>
        </w:tc>
      </w:tr>
      <w:tr w14:paraId="77BED494">
        <w:trPr>
          <w:trHeight w:val="47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14:paraId="050ECB1E">
            <w:pPr>
              <w:pStyle w:val="11"/>
              <w:widowControl w:val="0"/>
              <w:spacing w:before="230" w:line="191" w:lineRule="auto"/>
              <w:jc w:val="center"/>
              <w:rPr>
                <w:rFonts w:hint="eastAsia"/>
                <w:b/>
                <w:bCs/>
                <w:sz w:val="19"/>
                <w:szCs w:val="19"/>
              </w:rPr>
            </w:pPr>
            <w:r>
              <w:rPr>
                <w:rFonts w:hint="eastAsia"/>
                <w:b/>
                <w:bCs/>
                <w:sz w:val="19"/>
                <w:szCs w:val="19"/>
              </w:rPr>
              <w:t>富时中国</w:t>
            </w:r>
            <w:r>
              <w:rPr>
                <w:b/>
                <w:bCs/>
                <w:sz w:val="19"/>
                <w:szCs w:val="19"/>
              </w:rPr>
              <w:t>A50</w:t>
            </w:r>
          </w:p>
          <w:p w14:paraId="2392E876">
            <w:pPr>
              <w:pStyle w:val="11"/>
              <w:widowControl w:val="0"/>
              <w:spacing w:before="230" w:line="191" w:lineRule="auto"/>
              <w:jc w:val="center"/>
              <w:rPr>
                <w:rFonts w:hint="eastAsia"/>
                <w:sz w:val="19"/>
                <w:szCs w:val="19"/>
                <w:lang w:eastAsia="zh-CN"/>
              </w:rPr>
            </w:pPr>
          </w:p>
        </w:tc>
        <w:tc>
          <w:tcPr>
            <w:tcW w:w="9039" w:type="dxa"/>
            <w:tcBorders>
              <w:top w:val="dotted" w:color="auto" w:sz="4" w:space="0"/>
              <w:left w:val="dotted" w:color="auto" w:sz="4" w:space="0"/>
              <w:bottom w:val="dotted" w:color="auto" w:sz="4" w:space="0"/>
              <w:right w:val="single" w:color="FFFFFF" w:sz="4" w:space="0"/>
            </w:tcBorders>
            <w:shd w:val="clear" w:color="auto" w:fill="DAE3F4" w:themeFill="accent1" w:themeFillTint="33"/>
          </w:tcPr>
          <w:p w14:paraId="55ECC7EE">
            <w:pPr>
              <w:widowControl w:val="0"/>
              <w:jc w:val="both"/>
              <w:rPr>
                <w:rFonts w:hint="eastAsia" w:ascii="微软雅黑" w:hAnsi="微软雅黑" w:eastAsia="微软雅黑"/>
                <w:lang w:eastAsia="zh-CN"/>
              </w:rPr>
            </w:pPr>
            <w:r>
              <w:rPr>
                <w:rFonts w:ascii="微软雅黑" w:hAnsi="微软雅黑" w:eastAsia="微软雅黑" w:cs="微软雅黑"/>
                <w:lang w:eastAsia="zh-CN"/>
              </w:rPr>
              <w:t>11</w:t>
            </w:r>
            <w:r>
              <w:rPr>
                <w:rFonts w:hint="eastAsia" w:ascii="微软雅黑" w:hAnsi="微软雅黑" w:eastAsia="微软雅黑" w:cs="微软雅黑"/>
                <w:lang w:eastAsia="zh-CN"/>
              </w:rPr>
              <w:t>月</w:t>
            </w:r>
            <w:r>
              <w:rPr>
                <w:rFonts w:ascii="微软雅黑" w:hAnsi="微软雅黑" w:eastAsia="微软雅黑" w:cs="微软雅黑"/>
                <w:lang w:eastAsia="zh-CN"/>
              </w:rPr>
              <w:t>28</w:t>
            </w:r>
            <w:r>
              <w:rPr>
                <w:rFonts w:hint="eastAsia" w:ascii="微软雅黑" w:hAnsi="微软雅黑" w:eastAsia="微软雅黑" w:cs="微软雅黑"/>
                <w:lang w:eastAsia="zh-CN"/>
              </w:rPr>
              <w:t>日当周，富时中国</w:t>
            </w:r>
            <w:r>
              <w:rPr>
                <w:rFonts w:ascii="微软雅黑" w:hAnsi="微软雅黑" w:eastAsia="微软雅黑" w:cs="微软雅黑"/>
                <w:lang w:eastAsia="zh-CN"/>
              </w:rPr>
              <w:t>A50</w:t>
            </w:r>
            <w:r>
              <w:rPr>
                <w:rFonts w:hint="eastAsia" w:ascii="微软雅黑" w:hAnsi="微软雅黑" w:eastAsia="微软雅黑" w:cs="微软雅黑"/>
                <w:lang w:eastAsia="zh-CN"/>
              </w:rPr>
              <w:t>指数上涨</w:t>
            </w:r>
            <w:r>
              <w:rPr>
                <w:rFonts w:ascii="微软雅黑" w:hAnsi="微软雅黑" w:eastAsia="微软雅黑" w:cs="微软雅黑"/>
                <w:lang w:eastAsia="zh-CN"/>
              </w:rPr>
              <w:t>1.11%</w:t>
            </w:r>
            <w:r>
              <w:rPr>
                <w:rFonts w:hint="eastAsia" w:ascii="微软雅黑" w:hAnsi="微软雅黑" w:eastAsia="微软雅黑" w:cs="微软雅黑"/>
                <w:lang w:eastAsia="zh-CN"/>
              </w:rPr>
              <w:t>至</w:t>
            </w:r>
            <w:r>
              <w:rPr>
                <w:rFonts w:ascii="微软雅黑" w:hAnsi="微软雅黑" w:eastAsia="微软雅黑" w:cs="微软雅黑"/>
                <w:lang w:eastAsia="zh-CN"/>
              </w:rPr>
              <w:t>15111.42</w:t>
            </w:r>
            <w:r>
              <w:rPr>
                <w:rFonts w:hint="eastAsia" w:ascii="微软雅黑" w:hAnsi="微软雅黑" w:eastAsia="微软雅黑" w:cs="微软雅黑"/>
                <w:lang w:eastAsia="zh-CN"/>
              </w:rPr>
              <w:t>；新交所富时</w:t>
            </w:r>
            <w:r>
              <w:rPr>
                <w:rFonts w:ascii="微软雅黑" w:hAnsi="微软雅黑" w:eastAsia="微软雅黑" w:cs="微软雅黑"/>
                <w:lang w:eastAsia="zh-CN"/>
              </w:rPr>
              <w:t>A50</w:t>
            </w:r>
            <w:r>
              <w:rPr>
                <w:rFonts w:hint="eastAsia" w:ascii="微软雅黑" w:hAnsi="微软雅黑" w:eastAsia="微软雅黑" w:cs="微软雅黑"/>
                <w:lang w:eastAsia="zh-CN"/>
              </w:rPr>
              <w:t>期指主力合约（</w:t>
            </w:r>
            <w:r>
              <w:rPr>
                <w:rFonts w:ascii="微软雅黑" w:hAnsi="微软雅黑" w:eastAsia="微软雅黑" w:cs="微软雅黑"/>
                <w:lang w:eastAsia="zh-CN"/>
              </w:rPr>
              <w:t>12</w:t>
            </w:r>
            <w:r>
              <w:rPr>
                <w:rFonts w:hint="eastAsia" w:ascii="微软雅黑" w:hAnsi="微软雅黑" w:eastAsia="微软雅黑" w:cs="微软雅黑"/>
                <w:lang w:eastAsia="zh-CN"/>
              </w:rPr>
              <w:t>月合约）上涨</w:t>
            </w:r>
            <w:r>
              <w:rPr>
                <w:rFonts w:ascii="微软雅黑" w:hAnsi="微软雅黑" w:eastAsia="微软雅黑" w:cs="微软雅黑"/>
                <w:lang w:eastAsia="zh-CN"/>
              </w:rPr>
              <w:t>1.64%</w:t>
            </w:r>
            <w:r>
              <w:rPr>
                <w:rFonts w:hint="eastAsia" w:ascii="微软雅黑" w:hAnsi="微软雅黑" w:eastAsia="微软雅黑" w:cs="微软雅黑"/>
                <w:lang w:eastAsia="zh-CN"/>
              </w:rPr>
              <w:t>至</w:t>
            </w:r>
            <w:r>
              <w:rPr>
                <w:rFonts w:ascii="微软雅黑" w:hAnsi="微软雅黑" w:eastAsia="微软雅黑" w:cs="微软雅黑"/>
                <w:lang w:eastAsia="zh-CN"/>
              </w:rPr>
              <w:t>15066</w:t>
            </w:r>
            <w:r>
              <w:rPr>
                <w:rFonts w:hint="eastAsia" w:ascii="微软雅黑" w:hAnsi="微软雅黑" w:eastAsia="微软雅黑" w:cs="微软雅黑"/>
                <w:lang w:eastAsia="zh-CN"/>
              </w:rPr>
              <w:t>。国内方面，经济基本面，</w:t>
            </w:r>
            <w:r>
              <w:rPr>
                <w:rFonts w:ascii="微软雅黑" w:hAnsi="微软雅黑" w:eastAsia="微软雅黑" w:cs="微软雅黑"/>
                <w:lang w:eastAsia="zh-CN"/>
              </w:rPr>
              <w:t>11</w:t>
            </w:r>
            <w:r>
              <w:rPr>
                <w:rFonts w:hint="eastAsia" w:ascii="微软雅黑" w:hAnsi="微软雅黑" w:eastAsia="微软雅黑" w:cs="微软雅黑"/>
                <w:lang w:eastAsia="zh-CN"/>
              </w:rPr>
              <w:t>月份我国制造业</w:t>
            </w:r>
            <w:r>
              <w:rPr>
                <w:rFonts w:ascii="微软雅黑" w:hAnsi="微软雅黑" w:eastAsia="微软雅黑" w:cs="微软雅黑"/>
                <w:lang w:eastAsia="zh-CN"/>
              </w:rPr>
              <w:t>PMI</w:t>
            </w:r>
            <w:r>
              <w:rPr>
                <w:rFonts w:hint="eastAsia" w:ascii="微软雅黑" w:hAnsi="微软雅黑" w:eastAsia="微软雅黑" w:cs="微软雅黑"/>
                <w:lang w:eastAsia="zh-CN"/>
              </w:rPr>
              <w:t>为</w:t>
            </w:r>
            <w:r>
              <w:rPr>
                <w:rFonts w:ascii="微软雅黑" w:hAnsi="微软雅黑" w:eastAsia="微软雅黑" w:cs="微软雅黑"/>
                <w:lang w:eastAsia="zh-CN"/>
              </w:rPr>
              <w:t>49.2%</w:t>
            </w:r>
            <w:r>
              <w:rPr>
                <w:rFonts w:hint="eastAsia" w:ascii="微软雅黑" w:hAnsi="微软雅黑" w:eastAsia="微软雅黑" w:cs="微软雅黑"/>
                <w:lang w:eastAsia="zh-CN"/>
              </w:rPr>
              <w:t>，比上月上升</w:t>
            </w:r>
            <w:r>
              <w:rPr>
                <w:rFonts w:ascii="微软雅黑" w:hAnsi="微软雅黑" w:eastAsia="微软雅黑" w:cs="微软雅黑"/>
                <w:lang w:eastAsia="zh-CN"/>
              </w:rPr>
              <w:t>0.2</w:t>
            </w:r>
            <w:r>
              <w:rPr>
                <w:rFonts w:hint="eastAsia" w:ascii="微软雅黑" w:hAnsi="微软雅黑" w:eastAsia="微软雅黑" w:cs="微软雅黑"/>
                <w:lang w:eastAsia="zh-CN"/>
              </w:rPr>
              <w:t>个百分点；非制造业</w:t>
            </w:r>
            <w:r>
              <w:rPr>
                <w:rFonts w:ascii="微软雅黑" w:hAnsi="微软雅黑" w:eastAsia="微软雅黑" w:cs="微软雅黑"/>
                <w:lang w:eastAsia="zh-CN"/>
              </w:rPr>
              <w:t>PMI</w:t>
            </w:r>
            <w:r>
              <w:rPr>
                <w:rFonts w:hint="eastAsia" w:ascii="微软雅黑" w:hAnsi="微软雅黑" w:eastAsia="微软雅黑" w:cs="微软雅黑"/>
                <w:lang w:eastAsia="zh-CN"/>
              </w:rPr>
              <w:t>为</w:t>
            </w:r>
            <w:r>
              <w:rPr>
                <w:rFonts w:ascii="微软雅黑" w:hAnsi="微软雅黑" w:eastAsia="微软雅黑" w:cs="微软雅黑"/>
                <w:lang w:eastAsia="zh-CN"/>
              </w:rPr>
              <w:t>49.5%</w:t>
            </w:r>
            <w:r>
              <w:rPr>
                <w:rFonts w:hint="eastAsia" w:ascii="微软雅黑" w:hAnsi="微软雅黑" w:eastAsia="微软雅黑" w:cs="微软雅黑"/>
                <w:lang w:eastAsia="zh-CN"/>
              </w:rPr>
              <w:t>，比上月下降</w:t>
            </w:r>
            <w:r>
              <w:rPr>
                <w:rFonts w:ascii="微软雅黑" w:hAnsi="微软雅黑" w:eastAsia="微软雅黑" w:cs="微软雅黑"/>
                <w:lang w:eastAsia="zh-CN"/>
              </w:rPr>
              <w:t>0.6</w:t>
            </w:r>
            <w:r>
              <w:rPr>
                <w:rFonts w:hint="eastAsia" w:ascii="微软雅黑" w:hAnsi="微软雅黑" w:eastAsia="微软雅黑" w:cs="微软雅黑"/>
                <w:lang w:eastAsia="zh-CN"/>
              </w:rPr>
              <w:t>个百分点；综合</w:t>
            </w:r>
            <w:r>
              <w:rPr>
                <w:rFonts w:ascii="微软雅黑" w:hAnsi="微软雅黑" w:eastAsia="微软雅黑" w:cs="微软雅黑"/>
                <w:lang w:eastAsia="zh-CN"/>
              </w:rPr>
              <w:t>PMI</w:t>
            </w:r>
            <w:r>
              <w:rPr>
                <w:rFonts w:hint="eastAsia" w:ascii="微软雅黑" w:hAnsi="微软雅黑" w:eastAsia="微软雅黑" w:cs="微软雅黑"/>
                <w:lang w:eastAsia="zh-CN"/>
              </w:rPr>
              <w:t>产出指数为</w:t>
            </w:r>
            <w:r>
              <w:rPr>
                <w:rFonts w:ascii="微软雅黑" w:hAnsi="微软雅黑" w:eastAsia="微软雅黑" w:cs="微软雅黑"/>
                <w:lang w:eastAsia="zh-CN"/>
              </w:rPr>
              <w:t>49.7%</w:t>
            </w:r>
            <w:r>
              <w:rPr>
                <w:rFonts w:hint="eastAsia" w:ascii="微软雅黑" w:hAnsi="微软雅黑" w:eastAsia="微软雅黑" w:cs="微软雅黑"/>
                <w:lang w:eastAsia="zh-CN"/>
              </w:rPr>
              <w:t>，比上月下降</w:t>
            </w:r>
            <w:r>
              <w:rPr>
                <w:rFonts w:ascii="微软雅黑" w:hAnsi="微软雅黑" w:eastAsia="微软雅黑" w:cs="微软雅黑"/>
                <w:lang w:eastAsia="zh-CN"/>
              </w:rPr>
              <w:t>0.3</w:t>
            </w:r>
            <w:r>
              <w:rPr>
                <w:rFonts w:hint="eastAsia" w:ascii="微软雅黑" w:hAnsi="微软雅黑" w:eastAsia="微软雅黑" w:cs="微软雅黑"/>
                <w:lang w:eastAsia="zh-CN"/>
              </w:rPr>
              <w:t>个百分点，三大指数均处于收缩区间，经济整体景气水平回落对市场形成一定压力。整体来看，</w:t>
            </w:r>
            <w:r>
              <w:rPr>
                <w:rFonts w:ascii="微软雅黑" w:hAnsi="微软雅黑" w:eastAsia="微软雅黑" w:cs="微软雅黑"/>
                <w:lang w:eastAsia="zh-CN"/>
              </w:rPr>
              <w:t>11</w:t>
            </w:r>
            <w:r>
              <w:rPr>
                <w:rFonts w:hint="eastAsia" w:ascii="微软雅黑" w:hAnsi="微软雅黑" w:eastAsia="微软雅黑" w:cs="微软雅黑"/>
                <w:lang w:eastAsia="zh-CN"/>
              </w:rPr>
              <w:t>月国内三大</w:t>
            </w:r>
            <w:r>
              <w:rPr>
                <w:rFonts w:ascii="微软雅黑" w:hAnsi="微软雅黑" w:eastAsia="微软雅黑" w:cs="微软雅黑"/>
                <w:lang w:eastAsia="zh-CN"/>
              </w:rPr>
              <w:t>PMI</w:t>
            </w:r>
            <w:r>
              <w:rPr>
                <w:rFonts w:hint="eastAsia" w:ascii="微软雅黑" w:hAnsi="微软雅黑" w:eastAsia="微软雅黑" w:cs="微软雅黑"/>
                <w:lang w:eastAsia="zh-CN"/>
              </w:rPr>
              <w:t>均处于收缩区间，尤其是制造业</w:t>
            </w:r>
            <w:r>
              <w:rPr>
                <w:rFonts w:ascii="微软雅黑" w:hAnsi="微软雅黑" w:eastAsia="微软雅黑" w:cs="微软雅黑"/>
                <w:lang w:eastAsia="zh-CN"/>
              </w:rPr>
              <w:t>PMI</w:t>
            </w:r>
            <w:r>
              <w:rPr>
                <w:rFonts w:hint="eastAsia" w:ascii="微软雅黑" w:hAnsi="微软雅黑" w:eastAsia="微软雅黑" w:cs="微软雅黑"/>
                <w:lang w:eastAsia="zh-CN"/>
              </w:rPr>
              <w:t>已连续</w:t>
            </w:r>
            <w:r>
              <w:rPr>
                <w:rFonts w:ascii="微软雅黑" w:hAnsi="微软雅黑" w:eastAsia="微软雅黑" w:cs="微软雅黑"/>
                <w:lang w:eastAsia="zh-CN"/>
              </w:rPr>
              <w:t>8</w:t>
            </w:r>
            <w:r>
              <w:rPr>
                <w:rFonts w:hint="eastAsia" w:ascii="微软雅黑" w:hAnsi="微软雅黑" w:eastAsia="微软雅黑" w:cs="微软雅黑"/>
                <w:lang w:eastAsia="zh-CN"/>
              </w:rPr>
              <w:t>个月处于收缩区间，对市场情绪或将产生一定负面影响。进入</w:t>
            </w:r>
            <w:r>
              <w:rPr>
                <w:rFonts w:ascii="微软雅黑" w:hAnsi="微软雅黑" w:eastAsia="微软雅黑" w:cs="微软雅黑"/>
                <w:lang w:eastAsia="zh-CN"/>
              </w:rPr>
              <w:t>12</w:t>
            </w:r>
            <w:r>
              <w:rPr>
                <w:rFonts w:hint="eastAsia" w:ascii="微软雅黑" w:hAnsi="微软雅黑" w:eastAsia="微软雅黑" w:cs="微软雅黑"/>
                <w:lang w:eastAsia="zh-CN"/>
              </w:rPr>
              <w:t>月上旬，市场短期仍将处于宏观数据、业绩、政策多重真空期，在缺乏明确交易指引的环境下，市场预计还将保持随机游走的态势，股指将维持震荡</w:t>
            </w:r>
          </w:p>
        </w:tc>
      </w:tr>
      <w:tr w14:paraId="4FC40DE8">
        <w:trPr>
          <w:trHeight w:val="70"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14:paraId="5ED862A0">
            <w:pPr>
              <w:pStyle w:val="11"/>
              <w:widowControl w:val="0"/>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FFFFFF" w:themeFill="background1"/>
          </w:tcPr>
          <w:p w14:paraId="7EF11656">
            <w:pPr>
              <w:widowControl w:val="0"/>
              <w:jc w:val="both"/>
              <w:rPr>
                <w:rFonts w:ascii="微软雅黑" w:hAnsi="微软雅黑" w:eastAsia="微软雅黑"/>
                <w:color w:val="000000" w:themeColor="text1"/>
                <w:lang w:eastAsia="zh-CN"/>
                <w14:textFill>
                  <w14:solidFill>
                    <w14:schemeClr w14:val="tx1"/>
                  </w14:solidFill>
                </w14:textFill>
              </w:rPr>
            </w:pPr>
            <w:r>
              <w:rPr>
                <w:rFonts w:hint="eastAsia" w:ascii="微软雅黑" w:hAnsi="微软雅黑" w:eastAsia="微软雅黑"/>
                <w:color w:val="000000" w:themeColor="text1"/>
                <w:lang w:eastAsia="zh-CN"/>
                <w14:textFill>
                  <w14:solidFill>
                    <w14:schemeClr w14:val="tx1"/>
                  </w14:solidFill>
                </w14:textFill>
              </w:rPr>
              <w:t>国际方面，高盛表示，美联储将在</w:t>
            </w:r>
            <w:r>
              <w:rPr>
                <w:rFonts w:ascii="微软雅黑" w:hAnsi="微软雅黑" w:eastAsia="微软雅黑"/>
                <w:color w:val="000000" w:themeColor="text1"/>
                <w:lang w:eastAsia="zh-CN"/>
                <w14:textFill>
                  <w14:solidFill>
                    <w14:schemeClr w14:val="tx1"/>
                  </w14:solidFill>
                </w14:textFill>
              </w:rPr>
              <w:t>12</w:t>
            </w:r>
            <w:r>
              <w:rPr>
                <w:rFonts w:hint="eastAsia" w:ascii="微软雅黑" w:hAnsi="微软雅黑" w:eastAsia="微软雅黑"/>
                <w:color w:val="000000" w:themeColor="text1"/>
                <w:lang w:eastAsia="zh-CN"/>
                <w14:textFill>
                  <w14:solidFill>
                    <w14:schemeClr w14:val="tx1"/>
                  </w14:solidFill>
                </w14:textFill>
              </w:rPr>
              <w:t>月</w:t>
            </w:r>
            <w:r>
              <w:rPr>
                <w:rFonts w:ascii="微软雅黑" w:hAnsi="微软雅黑" w:eastAsia="微软雅黑"/>
                <w:color w:val="000000" w:themeColor="text1"/>
                <w:lang w:eastAsia="zh-CN"/>
                <w14:textFill>
                  <w14:solidFill>
                    <w14:schemeClr w14:val="tx1"/>
                  </w14:solidFill>
                </w14:textFill>
              </w:rPr>
              <w:t>9—10</w:t>
            </w:r>
            <w:r>
              <w:rPr>
                <w:rFonts w:hint="eastAsia" w:ascii="微软雅黑" w:hAnsi="微软雅黑" w:eastAsia="微软雅黑"/>
                <w:color w:val="000000" w:themeColor="text1"/>
                <w:lang w:eastAsia="zh-CN"/>
                <w14:textFill>
                  <w14:solidFill>
                    <w14:schemeClr w14:val="tx1"/>
                  </w14:solidFill>
                </w14:textFill>
              </w:rPr>
              <w:t>日议息会议上下调利率，几乎已无悬念。当前市场对</w:t>
            </w:r>
            <w:r>
              <w:rPr>
                <w:rFonts w:ascii="微软雅黑" w:hAnsi="微软雅黑" w:eastAsia="微软雅黑"/>
                <w:color w:val="000000" w:themeColor="text1"/>
                <w:lang w:eastAsia="zh-CN"/>
                <w14:textFill>
                  <w14:solidFill>
                    <w14:schemeClr w14:val="tx1"/>
                  </w14:solidFill>
                </w14:textFill>
              </w:rPr>
              <w:t>25</w:t>
            </w:r>
            <w:r>
              <w:rPr>
                <w:rFonts w:hint="eastAsia" w:ascii="微软雅黑" w:hAnsi="微软雅黑" w:eastAsia="微软雅黑"/>
                <w:color w:val="000000" w:themeColor="text1"/>
                <w:lang w:eastAsia="zh-CN"/>
                <w14:textFill>
                  <w14:solidFill>
                    <w14:schemeClr w14:val="tx1"/>
                  </w14:solidFill>
                </w14:textFill>
              </w:rPr>
              <w:t>个基点降息的定价概率已达到约</w:t>
            </w:r>
            <w:r>
              <w:rPr>
                <w:rFonts w:ascii="微软雅黑" w:hAnsi="微软雅黑" w:eastAsia="微软雅黑"/>
                <w:color w:val="000000" w:themeColor="text1"/>
                <w:lang w:eastAsia="zh-CN"/>
                <w14:textFill>
                  <w14:solidFill>
                    <w14:schemeClr w14:val="tx1"/>
                  </w14:solidFill>
                </w14:textFill>
              </w:rPr>
              <w:t>85%—86%</w:t>
            </w:r>
            <w:r>
              <w:rPr>
                <w:rFonts w:hint="eastAsia" w:ascii="微软雅黑" w:hAnsi="微软雅黑" w:eastAsia="微软雅黑"/>
                <w:color w:val="000000" w:themeColor="text1"/>
                <w:lang w:eastAsia="zh-CN"/>
                <w14:textFill>
                  <w14:solidFill>
                    <w14:schemeClr w14:val="tx1"/>
                  </w14:solidFill>
                </w14:textFill>
              </w:rPr>
              <w:t>。</w:t>
            </w:r>
          </w:p>
          <w:p w14:paraId="01F2D6E2">
            <w:pPr>
              <w:widowControl w:val="0"/>
              <w:jc w:val="both"/>
              <w:rPr>
                <w:rFonts w:ascii="微软雅黑" w:hAnsi="微软雅黑" w:eastAsia="微软雅黑"/>
                <w:color w:val="000000" w:themeColor="text1"/>
                <w:lang w:eastAsia="zh-CN"/>
                <w14:textFill>
                  <w14:solidFill>
                    <w14:schemeClr w14:val="tx1"/>
                  </w14:solidFill>
                </w14:textFill>
              </w:rPr>
            </w:pPr>
            <w:r>
              <w:rPr>
                <w:rFonts w:hint="eastAsia" w:ascii="微软雅黑" w:hAnsi="微软雅黑" w:eastAsia="微软雅黑"/>
                <w:color w:val="000000" w:themeColor="text1"/>
                <w:lang w:eastAsia="zh-CN"/>
                <w14:textFill>
                  <w14:solidFill>
                    <w14:schemeClr w14:val="tx1"/>
                  </w14:solidFill>
                </w14:textFill>
              </w:rPr>
              <w:t>国内方面，国家统计局发布数据显示，</w:t>
            </w:r>
            <w:r>
              <w:rPr>
                <w:rFonts w:ascii="微软雅黑" w:hAnsi="微软雅黑" w:eastAsia="微软雅黑"/>
                <w:color w:val="000000" w:themeColor="text1"/>
                <w:lang w:eastAsia="zh-CN"/>
                <w14:textFill>
                  <w14:solidFill>
                    <w14:schemeClr w14:val="tx1"/>
                  </w14:solidFill>
                </w14:textFill>
              </w:rPr>
              <w:t>11</w:t>
            </w:r>
            <w:r>
              <w:rPr>
                <w:rFonts w:hint="eastAsia" w:ascii="微软雅黑" w:hAnsi="微软雅黑" w:eastAsia="微软雅黑"/>
                <w:color w:val="000000" w:themeColor="text1"/>
                <w:lang w:eastAsia="zh-CN"/>
                <w14:textFill>
                  <w14:solidFill>
                    <w14:schemeClr w14:val="tx1"/>
                  </w14:solidFill>
                </w14:textFill>
              </w:rPr>
              <w:t>月份我国制造业</w:t>
            </w:r>
            <w:r>
              <w:rPr>
                <w:rFonts w:ascii="微软雅黑" w:hAnsi="微软雅黑" w:eastAsia="微软雅黑"/>
                <w:color w:val="000000" w:themeColor="text1"/>
                <w:lang w:eastAsia="zh-CN"/>
                <w14:textFill>
                  <w14:solidFill>
                    <w14:schemeClr w14:val="tx1"/>
                  </w14:solidFill>
                </w14:textFill>
              </w:rPr>
              <w:t>PMI</w:t>
            </w:r>
            <w:r>
              <w:rPr>
                <w:rFonts w:hint="eastAsia" w:ascii="微软雅黑" w:hAnsi="微软雅黑" w:eastAsia="微软雅黑"/>
                <w:color w:val="000000" w:themeColor="text1"/>
                <w:lang w:eastAsia="zh-CN"/>
                <w14:textFill>
                  <w14:solidFill>
                    <w14:schemeClr w14:val="tx1"/>
                  </w14:solidFill>
                </w14:textFill>
              </w:rPr>
              <w:t>为</w:t>
            </w:r>
            <w:r>
              <w:rPr>
                <w:rFonts w:ascii="微软雅黑" w:hAnsi="微软雅黑" w:eastAsia="微软雅黑"/>
                <w:color w:val="000000" w:themeColor="text1"/>
                <w:lang w:eastAsia="zh-CN"/>
                <w14:textFill>
                  <w14:solidFill>
                    <w14:schemeClr w14:val="tx1"/>
                  </w14:solidFill>
                </w14:textFill>
              </w:rPr>
              <w:t>49.2%</w:t>
            </w:r>
            <w:r>
              <w:rPr>
                <w:rFonts w:hint="eastAsia" w:ascii="微软雅黑" w:hAnsi="微软雅黑" w:eastAsia="微软雅黑"/>
                <w:color w:val="000000" w:themeColor="text1"/>
                <w:lang w:eastAsia="zh-CN"/>
                <w14:textFill>
                  <w14:solidFill>
                    <w14:schemeClr w14:val="tx1"/>
                  </w14:solidFill>
                </w14:textFill>
              </w:rPr>
              <w:t>，比上月上升</w:t>
            </w:r>
            <w:r>
              <w:rPr>
                <w:rFonts w:ascii="微软雅黑" w:hAnsi="微软雅黑" w:eastAsia="微软雅黑"/>
                <w:color w:val="000000" w:themeColor="text1"/>
                <w:lang w:eastAsia="zh-CN"/>
                <w14:textFill>
                  <w14:solidFill>
                    <w14:schemeClr w14:val="tx1"/>
                  </w14:solidFill>
                </w14:textFill>
              </w:rPr>
              <w:t>0.2</w:t>
            </w:r>
            <w:r>
              <w:rPr>
                <w:rFonts w:hint="eastAsia" w:ascii="微软雅黑" w:hAnsi="微软雅黑" w:eastAsia="微软雅黑"/>
                <w:color w:val="000000" w:themeColor="text1"/>
                <w:lang w:eastAsia="zh-CN"/>
                <w14:textFill>
                  <w14:solidFill>
                    <w14:schemeClr w14:val="tx1"/>
                  </w14:solidFill>
                </w14:textFill>
              </w:rPr>
              <w:t>个百分点；非制造业</w:t>
            </w:r>
            <w:r>
              <w:rPr>
                <w:rFonts w:ascii="微软雅黑" w:hAnsi="微软雅黑" w:eastAsia="微软雅黑"/>
                <w:color w:val="000000" w:themeColor="text1"/>
                <w:lang w:eastAsia="zh-CN"/>
                <w14:textFill>
                  <w14:solidFill>
                    <w14:schemeClr w14:val="tx1"/>
                  </w14:solidFill>
                </w14:textFill>
              </w:rPr>
              <w:t>PMI</w:t>
            </w:r>
            <w:r>
              <w:rPr>
                <w:rFonts w:hint="eastAsia" w:ascii="微软雅黑" w:hAnsi="微软雅黑" w:eastAsia="微软雅黑"/>
                <w:color w:val="000000" w:themeColor="text1"/>
                <w:lang w:eastAsia="zh-CN"/>
                <w14:textFill>
                  <w14:solidFill>
                    <w14:schemeClr w14:val="tx1"/>
                  </w14:solidFill>
                </w14:textFill>
              </w:rPr>
              <w:t>为</w:t>
            </w:r>
            <w:r>
              <w:rPr>
                <w:rFonts w:ascii="微软雅黑" w:hAnsi="微软雅黑" w:eastAsia="微软雅黑"/>
                <w:color w:val="000000" w:themeColor="text1"/>
                <w:lang w:eastAsia="zh-CN"/>
                <w14:textFill>
                  <w14:solidFill>
                    <w14:schemeClr w14:val="tx1"/>
                  </w14:solidFill>
                </w14:textFill>
              </w:rPr>
              <w:t>49.5%</w:t>
            </w:r>
            <w:r>
              <w:rPr>
                <w:rFonts w:hint="eastAsia" w:ascii="微软雅黑" w:hAnsi="微软雅黑" w:eastAsia="微软雅黑"/>
                <w:color w:val="000000" w:themeColor="text1"/>
                <w:lang w:eastAsia="zh-CN"/>
                <w14:textFill>
                  <w14:solidFill>
                    <w14:schemeClr w14:val="tx1"/>
                  </w14:solidFill>
                </w14:textFill>
              </w:rPr>
              <w:t>，比上月下降</w:t>
            </w:r>
            <w:r>
              <w:rPr>
                <w:rFonts w:ascii="微软雅黑" w:hAnsi="微软雅黑" w:eastAsia="微软雅黑"/>
                <w:color w:val="000000" w:themeColor="text1"/>
                <w:lang w:eastAsia="zh-CN"/>
                <w14:textFill>
                  <w14:solidFill>
                    <w14:schemeClr w14:val="tx1"/>
                  </w14:solidFill>
                </w14:textFill>
              </w:rPr>
              <w:t>0.6</w:t>
            </w:r>
            <w:r>
              <w:rPr>
                <w:rFonts w:hint="eastAsia" w:ascii="微软雅黑" w:hAnsi="微软雅黑" w:eastAsia="微软雅黑"/>
                <w:color w:val="000000" w:themeColor="text1"/>
                <w:lang w:eastAsia="zh-CN"/>
                <w14:textFill>
                  <w14:solidFill>
                    <w14:schemeClr w14:val="tx1"/>
                  </w14:solidFill>
                </w14:textFill>
              </w:rPr>
              <w:t>个百分点；综合</w:t>
            </w:r>
            <w:r>
              <w:rPr>
                <w:rFonts w:ascii="微软雅黑" w:hAnsi="微软雅黑" w:eastAsia="微软雅黑"/>
                <w:color w:val="000000" w:themeColor="text1"/>
                <w:lang w:eastAsia="zh-CN"/>
                <w14:textFill>
                  <w14:solidFill>
                    <w14:schemeClr w14:val="tx1"/>
                  </w14:solidFill>
                </w14:textFill>
              </w:rPr>
              <w:t>PMI</w:t>
            </w:r>
            <w:r>
              <w:rPr>
                <w:rFonts w:hint="eastAsia" w:ascii="微软雅黑" w:hAnsi="微软雅黑" w:eastAsia="微软雅黑"/>
                <w:color w:val="000000" w:themeColor="text1"/>
                <w:lang w:eastAsia="zh-CN"/>
                <w14:textFill>
                  <w14:solidFill>
                    <w14:schemeClr w14:val="tx1"/>
                  </w14:solidFill>
                </w14:textFill>
              </w:rPr>
              <w:t>产出指数为</w:t>
            </w:r>
            <w:r>
              <w:rPr>
                <w:rFonts w:ascii="微软雅黑" w:hAnsi="微软雅黑" w:eastAsia="微软雅黑"/>
                <w:color w:val="000000" w:themeColor="text1"/>
                <w:lang w:eastAsia="zh-CN"/>
                <w14:textFill>
                  <w14:solidFill>
                    <w14:schemeClr w14:val="tx1"/>
                  </w14:solidFill>
                </w14:textFill>
              </w:rPr>
              <w:t>49.7%</w:t>
            </w:r>
            <w:r>
              <w:rPr>
                <w:rFonts w:hint="eastAsia" w:ascii="微软雅黑" w:hAnsi="微软雅黑" w:eastAsia="微软雅黑"/>
                <w:color w:val="000000" w:themeColor="text1"/>
                <w:lang w:eastAsia="zh-CN"/>
                <w14:textFill>
                  <w14:solidFill>
                    <w14:schemeClr w14:val="tx1"/>
                  </w14:solidFill>
                </w14:textFill>
              </w:rPr>
              <w:t>，比上月下降</w:t>
            </w:r>
            <w:r>
              <w:rPr>
                <w:rFonts w:ascii="微软雅黑" w:hAnsi="微软雅黑" w:eastAsia="微软雅黑"/>
                <w:color w:val="000000" w:themeColor="text1"/>
                <w:lang w:eastAsia="zh-CN"/>
                <w14:textFill>
                  <w14:solidFill>
                    <w14:schemeClr w14:val="tx1"/>
                  </w14:solidFill>
                </w14:textFill>
              </w:rPr>
              <w:t>0.3</w:t>
            </w:r>
            <w:r>
              <w:rPr>
                <w:rFonts w:hint="eastAsia" w:ascii="微软雅黑" w:hAnsi="微软雅黑" w:eastAsia="微软雅黑"/>
                <w:color w:val="000000" w:themeColor="text1"/>
                <w:lang w:eastAsia="zh-CN"/>
                <w14:textFill>
                  <w14:solidFill>
                    <w14:schemeClr w14:val="tx1"/>
                  </w14:solidFill>
                </w14:textFill>
              </w:rPr>
              <w:t>个百分点，我国经济景气水平总体平稳。</w:t>
            </w:r>
          </w:p>
          <w:p w14:paraId="5C2A5678">
            <w:pPr>
              <w:widowControl w:val="0"/>
              <w:jc w:val="both"/>
              <w:rPr>
                <w:rFonts w:ascii="微软雅黑" w:hAnsi="微软雅黑" w:eastAsia="微软雅黑"/>
                <w:color w:val="000000" w:themeColor="text1"/>
                <w:lang w:eastAsia="zh-CN"/>
                <w14:textFill>
                  <w14:solidFill>
                    <w14:schemeClr w14:val="tx1"/>
                  </w14:solidFill>
                </w14:textFill>
              </w:rPr>
            </w:pPr>
            <w:r>
              <w:rPr>
                <w:rFonts w:hint="eastAsia" w:ascii="微软雅黑" w:hAnsi="微软雅黑" w:eastAsia="微软雅黑"/>
                <w:color w:val="000000" w:themeColor="text1"/>
                <w:lang w:eastAsia="zh-CN"/>
                <w14:textFill>
                  <w14:solidFill>
                    <w14:schemeClr w14:val="tx1"/>
                  </w14:solidFill>
                </w14:textFill>
              </w:rPr>
              <w:t>美元美债方面，由于投资者加大美联储在</w:t>
            </w:r>
            <w:r>
              <w:rPr>
                <w:rFonts w:ascii="微软雅黑" w:hAnsi="微软雅黑" w:eastAsia="微软雅黑"/>
                <w:color w:val="000000" w:themeColor="text1"/>
                <w:lang w:eastAsia="zh-CN"/>
                <w14:textFill>
                  <w14:solidFill>
                    <w14:schemeClr w14:val="tx1"/>
                  </w14:solidFill>
                </w14:textFill>
              </w:rPr>
              <w:t>12</w:t>
            </w:r>
            <w:r>
              <w:rPr>
                <w:rFonts w:hint="eastAsia" w:ascii="微软雅黑" w:hAnsi="微软雅黑" w:eastAsia="微软雅黑"/>
                <w:color w:val="000000" w:themeColor="text1"/>
                <w:lang w:eastAsia="zh-CN"/>
                <w14:textFill>
                  <w14:solidFill>
                    <w14:schemeClr w14:val="tx1"/>
                  </w14:solidFill>
                </w14:textFill>
              </w:rPr>
              <w:t>月降息的押注，而美国假期又使流动性趋于稀缺，美元指数最终收跌</w:t>
            </w:r>
            <w:r>
              <w:rPr>
                <w:rFonts w:ascii="微软雅黑" w:hAnsi="微软雅黑" w:eastAsia="微软雅黑"/>
                <w:color w:val="000000" w:themeColor="text1"/>
                <w:lang w:eastAsia="zh-CN"/>
                <w14:textFill>
                  <w14:solidFill>
                    <w14:schemeClr w14:val="tx1"/>
                  </w14:solidFill>
                </w14:textFill>
              </w:rPr>
              <w:t>0.05%</w:t>
            </w:r>
            <w:r>
              <w:rPr>
                <w:rFonts w:hint="eastAsia" w:ascii="微软雅黑" w:hAnsi="微软雅黑" w:eastAsia="微软雅黑"/>
                <w:color w:val="000000" w:themeColor="text1"/>
                <w:lang w:eastAsia="zh-CN"/>
                <w14:textFill>
                  <w14:solidFill>
                    <w14:schemeClr w14:val="tx1"/>
                  </w14:solidFill>
                </w14:textFill>
              </w:rPr>
              <w:t>，报</w:t>
            </w:r>
            <w:r>
              <w:rPr>
                <w:rFonts w:ascii="微软雅黑" w:hAnsi="微软雅黑" w:eastAsia="微软雅黑"/>
                <w:color w:val="000000" w:themeColor="text1"/>
                <w:lang w:eastAsia="zh-CN"/>
                <w14:textFill>
                  <w14:solidFill>
                    <w14:schemeClr w14:val="tx1"/>
                  </w14:solidFill>
                </w14:textFill>
              </w:rPr>
              <w:t>99.48</w:t>
            </w:r>
            <w:r>
              <w:rPr>
                <w:rFonts w:hint="eastAsia" w:ascii="微软雅黑" w:hAnsi="微软雅黑" w:eastAsia="微软雅黑"/>
                <w:color w:val="000000" w:themeColor="text1"/>
                <w:lang w:eastAsia="zh-CN"/>
                <w14:textFill>
                  <w14:solidFill>
                    <w14:schemeClr w14:val="tx1"/>
                  </w14:solidFill>
                </w14:textFill>
              </w:rPr>
              <w:t>点，创下了自</w:t>
            </w:r>
            <w:r>
              <w:rPr>
                <w:rFonts w:ascii="微软雅黑" w:hAnsi="微软雅黑" w:eastAsia="微软雅黑"/>
                <w:color w:val="000000" w:themeColor="text1"/>
                <w:lang w:eastAsia="zh-CN"/>
                <w14:textFill>
                  <w14:solidFill>
                    <w14:schemeClr w14:val="tx1"/>
                  </w14:solidFill>
                </w14:textFill>
              </w:rPr>
              <w:t>7</w:t>
            </w:r>
            <w:r>
              <w:rPr>
                <w:rFonts w:hint="eastAsia" w:ascii="微软雅黑" w:hAnsi="微软雅黑" w:eastAsia="微软雅黑"/>
                <w:color w:val="000000" w:themeColor="text1"/>
                <w:lang w:eastAsia="zh-CN"/>
                <w14:textFill>
                  <w14:solidFill>
                    <w14:schemeClr w14:val="tx1"/>
                  </w14:solidFill>
                </w14:textFill>
              </w:rPr>
              <w:t>月底以来的最差单周表现；基准的</w:t>
            </w:r>
            <w:r>
              <w:rPr>
                <w:rFonts w:ascii="微软雅黑" w:hAnsi="微软雅黑" w:eastAsia="微软雅黑"/>
                <w:color w:val="000000" w:themeColor="text1"/>
                <w:lang w:eastAsia="zh-CN"/>
                <w14:textFill>
                  <w14:solidFill>
                    <w14:schemeClr w14:val="tx1"/>
                  </w14:solidFill>
                </w14:textFill>
              </w:rPr>
              <w:t>10</w:t>
            </w:r>
            <w:r>
              <w:rPr>
                <w:rFonts w:hint="eastAsia" w:ascii="微软雅黑" w:hAnsi="微软雅黑" w:eastAsia="微软雅黑"/>
                <w:color w:val="000000" w:themeColor="text1"/>
                <w:lang w:eastAsia="zh-CN"/>
                <w14:textFill>
                  <w14:solidFill>
                    <w14:schemeClr w14:val="tx1"/>
                  </w14:solidFill>
                </w14:textFill>
              </w:rPr>
              <w:t>年期美债收益率最终收报</w:t>
            </w:r>
            <w:r>
              <w:rPr>
                <w:rFonts w:ascii="微软雅黑" w:hAnsi="微软雅黑" w:eastAsia="微软雅黑"/>
                <w:color w:val="000000" w:themeColor="text1"/>
                <w:lang w:eastAsia="zh-CN"/>
                <w14:textFill>
                  <w14:solidFill>
                    <w14:schemeClr w14:val="tx1"/>
                  </w14:solidFill>
                </w14:textFill>
              </w:rPr>
              <w:t>4.0180%</w:t>
            </w:r>
            <w:r>
              <w:rPr>
                <w:rFonts w:hint="eastAsia" w:ascii="微软雅黑" w:hAnsi="微软雅黑" w:eastAsia="微软雅黑"/>
                <w:color w:val="000000" w:themeColor="text1"/>
                <w:lang w:eastAsia="zh-CN"/>
                <w14:textFill>
                  <w14:solidFill>
                    <w14:schemeClr w14:val="tx1"/>
                  </w14:solidFill>
                </w14:textFill>
              </w:rPr>
              <w:t>，对美联储政策利率敏感的</w:t>
            </w:r>
            <w:r>
              <w:rPr>
                <w:rFonts w:ascii="微软雅黑" w:hAnsi="微软雅黑" w:eastAsia="微软雅黑"/>
                <w:color w:val="000000" w:themeColor="text1"/>
                <w:lang w:eastAsia="zh-CN"/>
                <w14:textFill>
                  <w14:solidFill>
                    <w14:schemeClr w14:val="tx1"/>
                  </w14:solidFill>
                </w14:textFill>
              </w:rPr>
              <w:t>2</w:t>
            </w:r>
            <w:r>
              <w:rPr>
                <w:rFonts w:hint="eastAsia" w:ascii="微软雅黑" w:hAnsi="微软雅黑" w:eastAsia="微软雅黑"/>
                <w:color w:val="000000" w:themeColor="text1"/>
                <w:lang w:eastAsia="zh-CN"/>
                <w14:textFill>
                  <w14:solidFill>
                    <w14:schemeClr w14:val="tx1"/>
                  </w14:solidFill>
                </w14:textFill>
              </w:rPr>
              <w:t>年期美债收益率收报</w:t>
            </w:r>
            <w:r>
              <w:rPr>
                <w:rFonts w:ascii="微软雅黑" w:hAnsi="微软雅黑" w:eastAsia="微软雅黑"/>
                <w:color w:val="000000" w:themeColor="text1"/>
                <w:lang w:eastAsia="zh-CN"/>
                <w14:textFill>
                  <w14:solidFill>
                    <w14:schemeClr w14:val="tx1"/>
                  </w14:solidFill>
                </w14:textFill>
              </w:rPr>
              <w:t>3.5020%</w:t>
            </w:r>
            <w:r>
              <w:rPr>
                <w:rFonts w:hint="eastAsia" w:ascii="微软雅黑" w:hAnsi="微软雅黑" w:eastAsia="微软雅黑"/>
                <w:color w:val="000000" w:themeColor="text1"/>
                <w:lang w:eastAsia="zh-CN"/>
                <w14:textFill>
                  <w14:solidFill>
                    <w14:schemeClr w14:val="tx1"/>
                  </w14:solidFill>
                </w14:textFill>
              </w:rPr>
              <w:t>。</w:t>
            </w:r>
          </w:p>
          <w:p w14:paraId="5F44268A">
            <w:pPr>
              <w:widowControl w:val="0"/>
              <w:jc w:val="both"/>
              <w:rPr>
                <w:rFonts w:ascii="微软雅黑" w:hAnsi="微软雅黑" w:eastAsia="微软雅黑"/>
                <w:color w:val="000000" w:themeColor="text1"/>
                <w:lang w:eastAsia="zh-CN"/>
                <w14:textFill>
                  <w14:solidFill>
                    <w14:schemeClr w14:val="tx1"/>
                  </w14:solidFill>
                </w14:textFill>
              </w:rPr>
            </w:pPr>
            <w:r>
              <w:rPr>
                <w:rFonts w:hint="eastAsia" w:ascii="微软雅黑" w:hAnsi="微软雅黑" w:eastAsia="微软雅黑"/>
                <w:color w:val="000000" w:themeColor="text1"/>
                <w:lang w:eastAsia="zh-CN"/>
                <w14:textFill>
                  <w14:solidFill>
                    <w14:schemeClr w14:val="tx1"/>
                  </w14:solidFill>
                </w14:textFill>
              </w:rPr>
              <w:t>库存方面，截止</w:t>
            </w:r>
            <w:r>
              <w:rPr>
                <w:rFonts w:ascii="微软雅黑" w:hAnsi="微软雅黑" w:eastAsia="微软雅黑"/>
                <w:color w:val="000000" w:themeColor="text1"/>
                <w:lang w:eastAsia="zh-CN"/>
                <w14:textFill>
                  <w14:solidFill>
                    <w14:schemeClr w14:val="tx1"/>
                  </w14:solidFill>
                </w14:textFill>
              </w:rPr>
              <w:t>11</w:t>
            </w:r>
            <w:r>
              <w:rPr>
                <w:rFonts w:hint="eastAsia" w:ascii="微软雅黑" w:hAnsi="微软雅黑" w:eastAsia="微软雅黑"/>
                <w:color w:val="000000" w:themeColor="text1"/>
                <w:lang w:eastAsia="zh-CN"/>
                <w14:textFill>
                  <w14:solidFill>
                    <w14:schemeClr w14:val="tx1"/>
                  </w14:solidFill>
                </w14:textFill>
              </w:rPr>
              <w:t>月</w:t>
            </w:r>
            <w:r>
              <w:rPr>
                <w:rFonts w:ascii="微软雅黑" w:hAnsi="微软雅黑" w:eastAsia="微软雅黑"/>
                <w:color w:val="000000" w:themeColor="text1"/>
                <w:lang w:eastAsia="zh-CN"/>
                <w14:textFill>
                  <w14:solidFill>
                    <w14:schemeClr w14:val="tx1"/>
                  </w14:solidFill>
                </w14:textFill>
              </w:rPr>
              <w:t>28</w:t>
            </w:r>
            <w:r>
              <w:rPr>
                <w:rFonts w:hint="eastAsia" w:ascii="微软雅黑" w:hAnsi="微软雅黑" w:eastAsia="微软雅黑"/>
                <w:color w:val="000000" w:themeColor="text1"/>
                <w:lang w:eastAsia="zh-CN"/>
                <w14:textFill>
                  <w14:solidFill>
                    <w14:schemeClr w14:val="tx1"/>
                  </w14:solidFill>
                </w14:textFill>
              </w:rPr>
              <w:t>日，</w:t>
            </w:r>
            <w:r>
              <w:rPr>
                <w:rFonts w:ascii="微软雅黑" w:hAnsi="微软雅黑" w:eastAsia="微软雅黑"/>
                <w:color w:val="000000" w:themeColor="text1"/>
                <w:lang w:eastAsia="zh-CN"/>
                <w14:textFill>
                  <w14:solidFill>
                    <w14:schemeClr w14:val="tx1"/>
                  </w14:solidFill>
                </w14:textFill>
              </w:rPr>
              <w:t>LME</w:t>
            </w:r>
            <w:r>
              <w:rPr>
                <w:rFonts w:hint="eastAsia" w:ascii="微软雅黑" w:hAnsi="微软雅黑" w:eastAsia="微软雅黑"/>
                <w:color w:val="000000" w:themeColor="text1"/>
                <w:lang w:eastAsia="zh-CN"/>
                <w14:textFill>
                  <w14:solidFill>
                    <w14:schemeClr w14:val="tx1"/>
                  </w14:solidFill>
                </w14:textFill>
              </w:rPr>
              <w:t>总库存为</w:t>
            </w:r>
            <w:r>
              <w:rPr>
                <w:rFonts w:ascii="微软雅黑" w:hAnsi="微软雅黑" w:eastAsia="微软雅黑"/>
                <w:color w:val="000000" w:themeColor="text1"/>
                <w:lang w:eastAsia="zh-CN"/>
                <w14:textFill>
                  <w14:solidFill>
                    <w14:schemeClr w14:val="tx1"/>
                  </w14:solidFill>
                </w14:textFill>
              </w:rPr>
              <w:t>159425</w:t>
            </w:r>
            <w:r>
              <w:rPr>
                <w:rFonts w:hint="eastAsia" w:ascii="微软雅黑" w:hAnsi="微软雅黑" w:eastAsia="微软雅黑"/>
                <w:color w:val="000000" w:themeColor="text1"/>
                <w:lang w:eastAsia="zh-CN"/>
                <w14:textFill>
                  <w14:solidFill>
                    <w14:schemeClr w14:val="tx1"/>
                  </w14:solidFill>
                </w14:textFill>
              </w:rPr>
              <w:t>吨，较上周环比</w:t>
            </w:r>
            <w:r>
              <w:rPr>
                <w:rFonts w:ascii="微软雅黑" w:hAnsi="微软雅黑" w:eastAsia="微软雅黑"/>
                <w:color w:val="000000" w:themeColor="text1"/>
                <w:lang w:eastAsia="zh-CN"/>
                <w14:textFill>
                  <w14:solidFill>
                    <w14:schemeClr w14:val="tx1"/>
                  </w14:solidFill>
                </w14:textFill>
              </w:rPr>
              <w:t>+2150</w:t>
            </w:r>
            <w:r>
              <w:rPr>
                <w:rFonts w:hint="eastAsia" w:ascii="微软雅黑" w:hAnsi="微软雅黑" w:eastAsia="微软雅黑"/>
                <w:color w:val="000000" w:themeColor="text1"/>
                <w:lang w:eastAsia="zh-CN"/>
                <w14:textFill>
                  <w14:solidFill>
                    <w14:schemeClr w14:val="tx1"/>
                  </w14:solidFill>
                </w14:textFill>
              </w:rPr>
              <w:t>吨；</w:t>
            </w:r>
            <w:r>
              <w:rPr>
                <w:rFonts w:ascii="微软雅黑" w:hAnsi="微软雅黑" w:eastAsia="微软雅黑"/>
                <w:color w:val="000000" w:themeColor="text1"/>
                <w:lang w:eastAsia="zh-CN"/>
                <w14:textFill>
                  <w14:solidFill>
                    <w14:schemeClr w14:val="tx1"/>
                  </w14:solidFill>
                </w14:textFill>
              </w:rPr>
              <w:t>COMEX</w:t>
            </w:r>
            <w:r>
              <w:rPr>
                <w:rFonts w:hint="eastAsia" w:ascii="微软雅黑" w:hAnsi="微软雅黑" w:eastAsia="微软雅黑"/>
                <w:color w:val="000000" w:themeColor="text1"/>
                <w:lang w:eastAsia="zh-CN"/>
                <w14:textFill>
                  <w14:solidFill>
                    <w14:schemeClr w14:val="tx1"/>
                  </w14:solidFill>
                </w14:textFill>
              </w:rPr>
              <w:t>总库为</w:t>
            </w:r>
            <w:r>
              <w:rPr>
                <w:rFonts w:ascii="微软雅黑" w:hAnsi="微软雅黑" w:eastAsia="微软雅黑"/>
                <w:color w:val="000000" w:themeColor="text1"/>
                <w:lang w:eastAsia="zh-CN"/>
                <w14:textFill>
                  <w14:solidFill>
                    <w14:schemeClr w14:val="tx1"/>
                  </w14:solidFill>
                </w14:textFill>
              </w:rPr>
              <w:t>418727</w:t>
            </w:r>
            <w:r>
              <w:rPr>
                <w:rFonts w:hint="eastAsia" w:ascii="微软雅黑" w:hAnsi="微软雅黑" w:eastAsia="微软雅黑"/>
                <w:color w:val="000000" w:themeColor="text1"/>
                <w:lang w:eastAsia="zh-CN"/>
                <w14:textFill>
                  <w14:solidFill>
                    <w14:schemeClr w14:val="tx1"/>
                  </w14:solidFill>
                </w14:textFill>
              </w:rPr>
              <w:t>短吨，较上周环比</w:t>
            </w:r>
            <w:r>
              <w:rPr>
                <w:rFonts w:ascii="微软雅黑" w:hAnsi="微软雅黑" w:eastAsia="微软雅黑"/>
                <w:color w:val="000000" w:themeColor="text1"/>
                <w:lang w:eastAsia="zh-CN"/>
                <w14:textFill>
                  <w14:solidFill>
                    <w14:schemeClr w14:val="tx1"/>
                  </w14:solidFill>
                </w14:textFill>
              </w:rPr>
              <w:t>+15851</w:t>
            </w:r>
            <w:r>
              <w:rPr>
                <w:rFonts w:hint="eastAsia" w:ascii="微软雅黑" w:hAnsi="微软雅黑" w:eastAsia="微软雅黑"/>
                <w:color w:val="000000" w:themeColor="text1"/>
                <w:lang w:eastAsia="zh-CN"/>
                <w14:textFill>
                  <w14:solidFill>
                    <w14:schemeClr w14:val="tx1"/>
                  </w14:solidFill>
                </w14:textFill>
              </w:rPr>
              <w:t>短吨；</w:t>
            </w:r>
            <w:r>
              <w:rPr>
                <w:rFonts w:ascii="微软雅黑" w:hAnsi="微软雅黑" w:eastAsia="微软雅黑"/>
                <w:color w:val="000000" w:themeColor="text1"/>
                <w:lang w:eastAsia="zh-CN"/>
                <w14:textFill>
                  <w14:solidFill>
                    <w14:schemeClr w14:val="tx1"/>
                  </w14:solidFill>
                </w14:textFill>
              </w:rPr>
              <w:t>SHFE</w:t>
            </w:r>
            <w:r>
              <w:rPr>
                <w:rFonts w:hint="eastAsia" w:ascii="微软雅黑" w:hAnsi="微软雅黑" w:eastAsia="微软雅黑"/>
                <w:color w:val="000000" w:themeColor="text1"/>
                <w:lang w:eastAsia="zh-CN"/>
                <w14:textFill>
                  <w14:solidFill>
                    <w14:schemeClr w14:val="tx1"/>
                  </w14:solidFill>
                </w14:textFill>
              </w:rPr>
              <w:t>库存为</w:t>
            </w:r>
            <w:r>
              <w:rPr>
                <w:rFonts w:ascii="微软雅黑" w:hAnsi="微软雅黑" w:eastAsia="微软雅黑"/>
                <w:color w:val="000000" w:themeColor="text1"/>
                <w:lang w:eastAsia="zh-CN"/>
                <w14:textFill>
                  <w14:solidFill>
                    <w14:schemeClr w14:val="tx1"/>
                  </w14:solidFill>
                </w14:textFill>
              </w:rPr>
              <w:t>97930</w:t>
            </w:r>
            <w:r>
              <w:rPr>
                <w:rFonts w:hint="eastAsia" w:ascii="微软雅黑" w:hAnsi="微软雅黑" w:eastAsia="微软雅黑"/>
                <w:color w:val="000000" w:themeColor="text1"/>
                <w:lang w:eastAsia="zh-CN"/>
                <w14:textFill>
                  <w14:solidFill>
                    <w14:schemeClr w14:val="tx1"/>
                  </w14:solidFill>
                </w14:textFill>
              </w:rPr>
              <w:t>吨，较上周环比</w:t>
            </w:r>
            <w:r>
              <w:rPr>
                <w:rFonts w:ascii="微软雅黑" w:hAnsi="微软雅黑" w:eastAsia="微软雅黑"/>
                <w:color w:val="000000" w:themeColor="text1"/>
                <w:lang w:eastAsia="zh-CN"/>
                <w14:textFill>
                  <w14:solidFill>
                    <w14:schemeClr w14:val="tx1"/>
                  </w14:solidFill>
                </w14:textFill>
              </w:rPr>
              <w:t>-12673</w:t>
            </w:r>
            <w:r>
              <w:rPr>
                <w:rFonts w:hint="eastAsia" w:ascii="微软雅黑" w:hAnsi="微软雅黑" w:eastAsia="微软雅黑"/>
                <w:color w:val="000000" w:themeColor="text1"/>
                <w:lang w:eastAsia="zh-CN"/>
                <w14:textFill>
                  <w14:solidFill>
                    <w14:schemeClr w14:val="tx1"/>
                  </w14:solidFill>
                </w14:textFill>
              </w:rPr>
              <w:t>吨。</w:t>
            </w:r>
          </w:p>
          <w:p w14:paraId="46769F24">
            <w:pPr>
              <w:widowControl w:val="0"/>
              <w:jc w:val="both"/>
              <w:rPr>
                <w:rFonts w:hint="eastAsia" w:ascii="微软雅黑" w:hAnsi="微软雅黑" w:eastAsia="微软雅黑"/>
                <w:color w:val="000000" w:themeColor="text1"/>
                <w:lang w:eastAsia="zh-CN"/>
                <w14:textFill>
                  <w14:solidFill>
                    <w14:schemeClr w14:val="tx1"/>
                  </w14:solidFill>
                </w14:textFill>
              </w:rPr>
            </w:pPr>
            <w:r>
              <w:rPr>
                <w:rFonts w:hint="eastAsia" w:ascii="微软雅黑" w:hAnsi="微软雅黑" w:eastAsia="微软雅黑"/>
                <w:color w:val="000000" w:themeColor="text1"/>
                <w:lang w:eastAsia="zh-CN"/>
                <w14:textFill>
                  <w14:solidFill>
                    <w14:schemeClr w14:val="tx1"/>
                  </w14:solidFill>
                </w14:textFill>
              </w:rPr>
              <w:t>走势方面，隔夜</w:t>
            </w:r>
            <w:r>
              <w:rPr>
                <w:rFonts w:ascii="微软雅黑" w:hAnsi="微软雅黑" w:eastAsia="微软雅黑"/>
                <w:color w:val="000000" w:themeColor="text1"/>
                <w:lang w:eastAsia="zh-CN"/>
                <w14:textFill>
                  <w14:solidFill>
                    <w14:schemeClr w14:val="tx1"/>
                  </w14:solidFill>
                </w14:textFill>
              </w:rPr>
              <w:t>COMEX</w:t>
            </w:r>
            <w:r>
              <w:rPr>
                <w:rFonts w:hint="eastAsia" w:ascii="微软雅黑" w:hAnsi="微软雅黑" w:eastAsia="微软雅黑"/>
                <w:color w:val="000000" w:themeColor="text1"/>
                <w:lang w:eastAsia="zh-CN"/>
                <w14:textFill>
                  <w14:solidFill>
                    <w14:schemeClr w14:val="tx1"/>
                  </w14:solidFill>
                </w14:textFill>
              </w:rPr>
              <w:t>铜主力合约震荡走强，涨跌幅</w:t>
            </w:r>
            <w:r>
              <w:rPr>
                <w:rFonts w:ascii="微软雅黑" w:hAnsi="微软雅黑" w:eastAsia="微软雅黑"/>
                <w:color w:val="000000" w:themeColor="text1"/>
                <w:lang w:eastAsia="zh-CN"/>
                <w14:textFill>
                  <w14:solidFill>
                    <w14:schemeClr w14:val="tx1"/>
                  </w14:solidFill>
                </w14:textFill>
              </w:rPr>
              <w:t>+1.62%</w:t>
            </w:r>
            <w:r>
              <w:rPr>
                <w:rFonts w:hint="eastAsia" w:ascii="微软雅黑" w:hAnsi="微软雅黑" w:eastAsia="微软雅黑"/>
                <w:color w:val="000000" w:themeColor="text1"/>
                <w:lang w:eastAsia="zh-CN"/>
                <w14:textFill>
                  <w14:solidFill>
                    <w14:schemeClr w14:val="tx1"/>
                  </w14:solidFill>
                </w14:textFill>
              </w:rPr>
              <w:t>，报收</w:t>
            </w:r>
            <w:r>
              <w:rPr>
                <w:rFonts w:ascii="微软雅黑" w:hAnsi="微软雅黑" w:eastAsia="微软雅黑"/>
                <w:color w:val="000000" w:themeColor="text1"/>
                <w:lang w:eastAsia="zh-CN"/>
                <w14:textFill>
                  <w14:solidFill>
                    <w14:schemeClr w14:val="tx1"/>
                  </w14:solidFill>
                </w14:textFill>
              </w:rPr>
              <w:t>5.278</w:t>
            </w:r>
            <w:r>
              <w:rPr>
                <w:rFonts w:hint="eastAsia" w:ascii="微软雅黑" w:hAnsi="微软雅黑" w:eastAsia="微软雅黑"/>
                <w:color w:val="000000" w:themeColor="text1"/>
                <w:lang w:eastAsia="zh-CN"/>
                <w14:textFill>
                  <w14:solidFill>
                    <w14:schemeClr w14:val="tx1"/>
                  </w14:solidFill>
                </w14:textFill>
              </w:rPr>
              <w:t>美元</w:t>
            </w:r>
            <w:r>
              <w:rPr>
                <w:rFonts w:ascii="微软雅黑" w:hAnsi="微软雅黑" w:eastAsia="微软雅黑"/>
                <w:color w:val="000000" w:themeColor="text1"/>
                <w:lang w:eastAsia="zh-CN"/>
                <w14:textFill>
                  <w14:solidFill>
                    <w14:schemeClr w14:val="tx1"/>
                  </w14:solidFill>
                </w14:textFill>
              </w:rPr>
              <w:t>/</w:t>
            </w:r>
            <w:r>
              <w:rPr>
                <w:rFonts w:hint="eastAsia" w:ascii="微软雅黑" w:hAnsi="微软雅黑" w:eastAsia="微软雅黑"/>
                <w:color w:val="000000" w:themeColor="text1"/>
                <w:lang w:eastAsia="zh-CN"/>
                <w14:textFill>
                  <w14:solidFill>
                    <w14:schemeClr w14:val="tx1"/>
                  </w14:solidFill>
                </w14:textFill>
              </w:rPr>
              <w:t>磅。操作建议，轻仓逢低短多交易，仅供参考。</w:t>
            </w:r>
          </w:p>
        </w:tc>
      </w:tr>
      <w:tr w14:paraId="4FBB74F1">
        <w:trPr>
          <w:trHeight w:val="70"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14:paraId="63EDAE1F">
            <w:pPr>
              <w:pStyle w:val="11"/>
              <w:widowControl w:val="0"/>
              <w:spacing w:before="234" w:line="191" w:lineRule="auto"/>
              <w:jc w:val="center"/>
              <w:rPr>
                <w:rFonts w:hint="eastAsia"/>
                <w:sz w:val="19"/>
                <w:szCs w:val="19"/>
                <w:lang w:eastAsia="zh-CN"/>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DAE3F4" w:themeFill="accent1" w:themeFillTint="33"/>
          </w:tcPr>
          <w:p w14:paraId="7D8FD3E7">
            <w:pPr>
              <w:widowControl w:val="0"/>
              <w:jc w:val="both"/>
              <w:rPr>
                <w:rFonts w:ascii="微软雅黑" w:hAnsi="微软雅黑" w:eastAsia="微软雅黑" w:cs="微软雅黑"/>
                <w:lang w:eastAsia="zh-CN"/>
              </w:rPr>
            </w:pPr>
            <w:r>
              <w:rPr>
                <w:rFonts w:ascii="微软雅黑" w:hAnsi="微软雅黑" w:eastAsia="微软雅黑"/>
                <w:lang w:eastAsia="zh-CN"/>
              </w:rPr>
              <w:t>11</w:t>
            </w:r>
            <w:r>
              <w:rPr>
                <w:rFonts w:hint="eastAsia" w:ascii="微软雅黑" w:hAnsi="微软雅黑" w:eastAsia="微软雅黑"/>
                <w:lang w:eastAsia="zh-CN"/>
              </w:rPr>
              <w:t>月</w:t>
            </w:r>
            <w:r>
              <w:rPr>
                <w:rFonts w:ascii="微软雅黑" w:hAnsi="微软雅黑" w:eastAsia="微软雅黑"/>
                <w:lang w:eastAsia="zh-CN"/>
              </w:rPr>
              <w:t>28</w:t>
            </w:r>
            <w:r>
              <w:rPr>
                <w:rFonts w:hint="eastAsia" w:ascii="微软雅黑" w:hAnsi="微软雅黑" w:eastAsia="微软雅黑"/>
                <w:lang w:eastAsia="zh-CN"/>
              </w:rPr>
              <w:t>日当周</w:t>
            </w:r>
            <w:r>
              <w:rPr>
                <w:rFonts w:hint="eastAsia" w:ascii="微软雅黑" w:hAnsi="微软雅黑" w:eastAsia="微软雅黑" w:cs="微软雅黑"/>
                <w:lang w:eastAsia="zh-CN"/>
              </w:rPr>
              <w:t>美糖</w:t>
            </w:r>
            <w:r>
              <w:rPr>
                <w:rFonts w:ascii="微软雅黑" w:hAnsi="微软雅黑" w:eastAsia="微软雅黑" w:cs="微软雅黑"/>
                <w:lang w:eastAsia="zh-CN"/>
              </w:rPr>
              <w:t>3</w:t>
            </w:r>
            <w:r>
              <w:rPr>
                <w:rFonts w:hint="eastAsia" w:ascii="微软雅黑" w:hAnsi="微软雅黑" w:eastAsia="微软雅黑" w:cs="微软雅黑"/>
                <w:lang w:eastAsia="zh-CN"/>
              </w:rPr>
              <w:t>月合约期价上涨，周度涨幅约</w:t>
            </w:r>
            <w:r>
              <w:rPr>
                <w:rFonts w:ascii="微软雅黑" w:hAnsi="微软雅黑" w:eastAsia="微软雅黑" w:cs="微软雅黑"/>
                <w:lang w:eastAsia="zh-CN"/>
              </w:rPr>
              <w:t>2.98%</w:t>
            </w:r>
            <w:r>
              <w:rPr>
                <w:rFonts w:hint="eastAsia" w:ascii="微软雅黑" w:hAnsi="微软雅黑" w:eastAsia="微软雅黑" w:cs="微软雅黑"/>
                <w:lang w:eastAsia="zh-CN"/>
              </w:rPr>
              <w:t>，部分机构开始调降</w:t>
            </w:r>
            <w:r>
              <w:rPr>
                <w:rFonts w:ascii="微软雅黑" w:hAnsi="微软雅黑" w:eastAsia="微软雅黑" w:cs="微软雅黑"/>
                <w:lang w:eastAsia="zh-CN"/>
              </w:rPr>
              <w:t>2025/26</w:t>
            </w:r>
            <w:r>
              <w:rPr>
                <w:rFonts w:hint="eastAsia" w:ascii="微软雅黑" w:hAnsi="微软雅黑" w:eastAsia="微软雅黑" w:cs="微软雅黑"/>
                <w:lang w:eastAsia="zh-CN"/>
              </w:rPr>
              <w:t>年度全球食糖供需过剩规模的预期。</w:t>
            </w:r>
          </w:p>
          <w:p w14:paraId="4A4838E5">
            <w:pPr>
              <w:widowControl w:val="0"/>
              <w:jc w:val="both"/>
              <w:rPr>
                <w:rFonts w:hint="eastAsia" w:ascii="微软雅黑" w:hAnsi="微软雅黑" w:eastAsia="微软雅黑"/>
                <w:lang w:eastAsia="zh-CN"/>
              </w:rPr>
            </w:pPr>
            <w:r>
              <w:rPr>
                <w:rFonts w:hint="eastAsia" w:ascii="微软雅黑" w:hAnsi="微软雅黑" w:eastAsia="微软雅黑" w:cs="微软雅黑"/>
                <w:lang w:eastAsia="zh-CN"/>
              </w:rPr>
              <w:t>国际方面，巴西航运机构</w:t>
            </w:r>
            <w:r>
              <w:rPr>
                <w:rFonts w:ascii="微软雅黑" w:hAnsi="微软雅黑" w:eastAsia="微软雅黑" w:cs="微软雅黑"/>
                <w:lang w:eastAsia="zh-CN"/>
              </w:rPr>
              <w:t>Williams</w:t>
            </w:r>
            <w:r>
              <w:rPr>
                <w:rFonts w:hint="eastAsia" w:ascii="微软雅黑" w:hAnsi="微软雅黑" w:eastAsia="微软雅黑" w:cs="微软雅黑"/>
                <w:lang w:eastAsia="zh-CN"/>
              </w:rPr>
              <w:t>发布的数据显示，截至</w:t>
            </w:r>
            <w:r>
              <w:rPr>
                <w:rFonts w:ascii="微软雅黑" w:hAnsi="微软雅黑" w:eastAsia="微软雅黑" w:cs="微软雅黑"/>
                <w:lang w:eastAsia="zh-CN"/>
              </w:rPr>
              <w:t>11</w:t>
            </w:r>
            <w:r>
              <w:rPr>
                <w:rFonts w:hint="eastAsia" w:ascii="微软雅黑" w:hAnsi="微软雅黑" w:eastAsia="微软雅黑" w:cs="微软雅黑"/>
                <w:lang w:eastAsia="zh-CN"/>
              </w:rPr>
              <w:t>月</w:t>
            </w:r>
            <w:r>
              <w:rPr>
                <w:rFonts w:ascii="微软雅黑" w:hAnsi="微软雅黑" w:eastAsia="微软雅黑" w:cs="微软雅黑"/>
                <w:lang w:eastAsia="zh-CN"/>
              </w:rPr>
              <w:t>26</w:t>
            </w:r>
            <w:r>
              <w:rPr>
                <w:rFonts w:hint="eastAsia" w:ascii="微软雅黑" w:hAnsi="微软雅黑" w:eastAsia="微软雅黑" w:cs="微软雅黑"/>
                <w:lang w:eastAsia="zh-CN"/>
              </w:rPr>
              <w:t>日当周巴西港口等待装运食糖的船只数量为</w:t>
            </w:r>
            <w:r>
              <w:rPr>
                <w:rFonts w:ascii="微软雅黑" w:hAnsi="微软雅黑" w:eastAsia="微软雅黑" w:cs="微软雅黑"/>
                <w:lang w:eastAsia="zh-CN"/>
              </w:rPr>
              <w:t>56</w:t>
            </w:r>
            <w:r>
              <w:rPr>
                <w:rFonts w:hint="eastAsia" w:ascii="微软雅黑" w:hAnsi="微软雅黑" w:eastAsia="微软雅黑" w:cs="微软雅黑"/>
                <w:lang w:eastAsia="zh-CN"/>
              </w:rPr>
              <w:t>艘，此前一周为</w:t>
            </w:r>
            <w:r>
              <w:rPr>
                <w:rFonts w:ascii="微软雅黑" w:hAnsi="微软雅黑" w:eastAsia="微软雅黑" w:cs="微软雅黑"/>
                <w:lang w:eastAsia="zh-CN"/>
              </w:rPr>
              <w:t>61</w:t>
            </w:r>
            <w:r>
              <w:rPr>
                <w:rFonts w:hint="eastAsia" w:ascii="微软雅黑" w:hAnsi="微软雅黑" w:eastAsia="微软雅黑" w:cs="微软雅黑"/>
                <w:lang w:eastAsia="zh-CN"/>
              </w:rPr>
              <w:t>艘。港口等待装运的食糖数量为</w:t>
            </w:r>
            <w:r>
              <w:rPr>
                <w:rFonts w:ascii="微软雅黑" w:hAnsi="微软雅黑" w:eastAsia="微软雅黑" w:cs="微软雅黑"/>
                <w:lang w:eastAsia="zh-CN"/>
              </w:rPr>
              <w:t>206.72</w:t>
            </w:r>
            <w:r>
              <w:rPr>
                <w:rFonts w:hint="eastAsia" w:ascii="微软雅黑" w:hAnsi="微软雅黑" w:eastAsia="微软雅黑" w:cs="微软雅黑"/>
                <w:lang w:eastAsia="zh-CN"/>
              </w:rPr>
              <w:t>万吨，此前一周</w:t>
            </w:r>
            <w:r>
              <w:rPr>
                <w:rFonts w:ascii="微软雅黑" w:hAnsi="微软雅黑" w:eastAsia="微软雅黑" w:cs="微软雅黑"/>
                <w:lang w:eastAsia="zh-CN"/>
              </w:rPr>
              <w:t>229.94</w:t>
            </w:r>
            <w:r>
              <w:rPr>
                <w:rFonts w:hint="eastAsia" w:ascii="微软雅黑" w:hAnsi="微软雅黑" w:eastAsia="微软雅黑" w:cs="微软雅黑"/>
                <w:lang w:eastAsia="zh-CN"/>
              </w:rPr>
              <w:t>万吨下降</w:t>
            </w:r>
            <w:r>
              <w:rPr>
                <w:rFonts w:ascii="微软雅黑" w:hAnsi="微软雅黑" w:eastAsia="微软雅黑" w:cs="微软雅黑"/>
                <w:lang w:eastAsia="zh-CN"/>
              </w:rPr>
              <w:t>10.1%</w:t>
            </w:r>
            <w:r>
              <w:rPr>
                <w:rFonts w:hint="eastAsia" w:ascii="微软雅黑" w:hAnsi="微软雅黑" w:eastAsia="微软雅黑" w:cs="微软雅黑"/>
                <w:lang w:eastAsia="zh-CN"/>
              </w:rPr>
              <w:t>。当周等待装运出口的食糖船只数量减少</w:t>
            </w:r>
          </w:p>
        </w:tc>
      </w:tr>
      <w:tr w14:paraId="710456DB">
        <w:trPr>
          <w:trHeight w:val="332"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14:paraId="658233E4">
            <w:pPr>
              <w:pStyle w:val="11"/>
              <w:widowControl w:val="0"/>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FFFFFF" w:themeFill="background1"/>
          </w:tcPr>
          <w:p w14:paraId="560716F2">
            <w:pPr>
              <w:widowControl w:val="0"/>
              <w:jc w:val="both"/>
              <w:rPr>
                <w:rFonts w:ascii="微软雅黑" w:hAnsi="微软雅黑" w:eastAsia="微软雅黑" w:cs="微软雅黑"/>
                <w:lang w:eastAsia="zh-CN"/>
              </w:rPr>
            </w:pPr>
            <w:r>
              <w:rPr>
                <w:rFonts w:ascii="微软雅黑" w:hAnsi="微软雅黑" w:eastAsia="微软雅黑"/>
                <w:lang w:eastAsia="zh-CN"/>
              </w:rPr>
              <w:t>11</w:t>
            </w:r>
            <w:r>
              <w:rPr>
                <w:rFonts w:hint="eastAsia" w:ascii="微软雅黑" w:hAnsi="微软雅黑" w:eastAsia="微软雅黑"/>
                <w:lang w:eastAsia="zh-CN"/>
              </w:rPr>
              <w:t>月</w:t>
            </w:r>
            <w:r>
              <w:rPr>
                <w:rFonts w:ascii="微软雅黑" w:hAnsi="微软雅黑" w:eastAsia="微软雅黑"/>
                <w:lang w:eastAsia="zh-CN"/>
              </w:rPr>
              <w:t>28</w:t>
            </w:r>
            <w:r>
              <w:rPr>
                <w:rFonts w:hint="eastAsia" w:ascii="微软雅黑" w:hAnsi="微软雅黑" w:eastAsia="微软雅黑"/>
                <w:lang w:eastAsia="zh-CN"/>
              </w:rPr>
              <w:t>日当周</w:t>
            </w:r>
            <w:r>
              <w:rPr>
                <w:rFonts w:hint="eastAsia" w:ascii="微软雅黑" w:hAnsi="微软雅黑" w:eastAsia="微软雅黑" w:cs="微软雅黑"/>
                <w:lang w:eastAsia="zh-CN"/>
              </w:rPr>
              <w:t>美棉</w:t>
            </w:r>
            <w:r>
              <w:rPr>
                <w:rFonts w:ascii="微软雅黑" w:hAnsi="微软雅黑" w:eastAsia="微软雅黑" w:cs="微软雅黑"/>
                <w:lang w:eastAsia="zh-CN"/>
              </w:rPr>
              <w:t>12</w:t>
            </w:r>
            <w:r>
              <w:rPr>
                <w:rFonts w:hint="eastAsia" w:ascii="微软雅黑" w:hAnsi="微软雅黑" w:eastAsia="微软雅黑" w:cs="微软雅黑"/>
                <w:lang w:eastAsia="zh-CN"/>
              </w:rPr>
              <w:t>月合约价格上涨，周度涨幅约</w:t>
            </w:r>
            <w:r>
              <w:rPr>
                <w:rFonts w:ascii="微软雅黑" w:hAnsi="微软雅黑" w:eastAsia="微软雅黑" w:cs="微软雅黑"/>
                <w:lang w:eastAsia="zh-CN"/>
              </w:rPr>
              <w:t>1.25%</w:t>
            </w:r>
            <w:r>
              <w:rPr>
                <w:rFonts w:hint="eastAsia" w:ascii="微软雅黑" w:hAnsi="微软雅黑" w:eastAsia="微软雅黑" w:cs="微软雅黑"/>
                <w:lang w:eastAsia="zh-CN"/>
              </w:rPr>
              <w:t>，主要因为美农相关数据报告开始逐步发布后交易商回补空头头寸，美元走软也提供额外支撑。另外市场对美联储将再次降息的押注。</w:t>
            </w:r>
          </w:p>
          <w:p w14:paraId="56C224A3">
            <w:pPr>
              <w:widowControl w:val="0"/>
              <w:jc w:val="both"/>
              <w:rPr>
                <w:rFonts w:hint="eastAsia" w:ascii="微软雅黑" w:hAnsi="微软雅黑" w:eastAsia="微软雅黑"/>
                <w:lang w:eastAsia="zh-CN"/>
              </w:rPr>
            </w:pPr>
            <w:r>
              <w:rPr>
                <w:rFonts w:hint="eastAsia" w:ascii="微软雅黑" w:hAnsi="微软雅黑" w:eastAsia="微软雅黑" w:cs="微软雅黑"/>
                <w:lang w:eastAsia="zh-CN"/>
              </w:rPr>
              <w:t>国际方面，据美国农业部</w:t>
            </w:r>
            <w:r>
              <w:rPr>
                <w:rFonts w:ascii="微软雅黑" w:hAnsi="微软雅黑" w:eastAsia="微软雅黑" w:cs="微软雅黑"/>
                <w:lang w:eastAsia="zh-CN"/>
              </w:rPr>
              <w:t>(USDA)</w:t>
            </w:r>
            <w:r>
              <w:rPr>
                <w:rFonts w:hint="eastAsia" w:ascii="微软雅黑" w:hAnsi="微软雅黑" w:eastAsia="微软雅黑" w:cs="微软雅黑"/>
                <w:lang w:eastAsia="zh-CN"/>
              </w:rPr>
              <w:t>每周作物生长报告显示</w:t>
            </w:r>
            <w:r>
              <w:rPr>
                <w:rFonts w:ascii="微软雅黑" w:hAnsi="微软雅黑" w:eastAsia="微软雅黑" w:cs="微软雅黑"/>
                <w:lang w:eastAsia="zh-CN"/>
              </w:rPr>
              <w:t xml:space="preserve"> </w:t>
            </w:r>
            <w:r>
              <w:rPr>
                <w:rFonts w:hint="eastAsia" w:ascii="微软雅黑" w:hAnsi="微软雅黑" w:eastAsia="微软雅黑" w:cs="微软雅黑"/>
                <w:lang w:eastAsia="zh-CN"/>
              </w:rPr>
              <w:t>，截至</w:t>
            </w:r>
            <w:r>
              <w:rPr>
                <w:rFonts w:ascii="微软雅黑" w:hAnsi="微软雅黑" w:eastAsia="微软雅黑" w:cs="微软雅黑"/>
                <w:lang w:eastAsia="zh-CN"/>
              </w:rPr>
              <w:t>2025</w:t>
            </w:r>
            <w:r>
              <w:rPr>
                <w:rFonts w:hint="eastAsia" w:ascii="微软雅黑" w:hAnsi="微软雅黑" w:eastAsia="微软雅黑" w:cs="微软雅黑"/>
                <w:lang w:eastAsia="zh-CN"/>
              </w:rPr>
              <w:t>年</w:t>
            </w:r>
            <w:r>
              <w:rPr>
                <w:rFonts w:ascii="微软雅黑" w:hAnsi="微软雅黑" w:eastAsia="微软雅黑" w:cs="微软雅黑"/>
                <w:lang w:eastAsia="zh-CN"/>
              </w:rPr>
              <w:t>11</w:t>
            </w:r>
            <w:r>
              <w:rPr>
                <w:rFonts w:hint="eastAsia" w:ascii="微软雅黑" w:hAnsi="微软雅黑" w:eastAsia="微软雅黑" w:cs="微软雅黑"/>
                <w:lang w:eastAsia="zh-CN"/>
              </w:rPr>
              <w:t>月</w:t>
            </w:r>
            <w:r>
              <w:rPr>
                <w:rFonts w:ascii="微软雅黑" w:hAnsi="微软雅黑" w:eastAsia="微软雅黑" w:cs="微软雅黑"/>
                <w:lang w:eastAsia="zh-CN"/>
              </w:rPr>
              <w:t>23</w:t>
            </w:r>
            <w:r>
              <w:rPr>
                <w:rFonts w:hint="eastAsia" w:ascii="微软雅黑" w:hAnsi="微软雅黑" w:eastAsia="微软雅黑" w:cs="微软雅黑"/>
                <w:lang w:eastAsia="zh-CN"/>
              </w:rPr>
              <w:t>日当周，美国棉花收割率为</w:t>
            </w:r>
            <w:r>
              <w:rPr>
                <w:rFonts w:ascii="微软雅黑" w:hAnsi="微软雅黑" w:eastAsia="微软雅黑" w:cs="微软雅黑"/>
                <w:lang w:eastAsia="zh-CN"/>
              </w:rPr>
              <w:t>79%</w:t>
            </w:r>
            <w:r>
              <w:rPr>
                <w:rFonts w:hint="eastAsia" w:ascii="微软雅黑" w:hAnsi="微软雅黑" w:eastAsia="微软雅黑" w:cs="微软雅黑"/>
                <w:lang w:eastAsia="zh-CN"/>
              </w:rPr>
              <w:t>，前一周为</w:t>
            </w:r>
            <w:r>
              <w:rPr>
                <w:rFonts w:ascii="微软雅黑" w:hAnsi="微软雅黑" w:eastAsia="微软雅黑" w:cs="微软雅黑"/>
                <w:lang w:eastAsia="zh-CN"/>
              </w:rPr>
              <w:t>71%</w:t>
            </w:r>
            <w:r>
              <w:rPr>
                <w:rFonts w:hint="eastAsia" w:ascii="微软雅黑" w:hAnsi="微软雅黑" w:eastAsia="微软雅黑" w:cs="微软雅黑"/>
                <w:lang w:eastAsia="zh-CN"/>
              </w:rPr>
              <w:t>，去年同期为</w:t>
            </w:r>
            <w:r>
              <w:rPr>
                <w:rFonts w:ascii="微软雅黑" w:hAnsi="微软雅黑" w:eastAsia="微软雅黑" w:cs="微软雅黑"/>
                <w:lang w:eastAsia="zh-CN"/>
              </w:rPr>
              <w:t>83%</w:t>
            </w:r>
            <w:r>
              <w:rPr>
                <w:rFonts w:hint="eastAsia" w:ascii="微软雅黑" w:hAnsi="微软雅黑" w:eastAsia="微软雅黑" w:cs="微软雅黑"/>
                <w:lang w:eastAsia="zh-CN"/>
              </w:rPr>
              <w:t>，五年均值为</w:t>
            </w:r>
            <w:r>
              <w:rPr>
                <w:rFonts w:ascii="微软雅黑" w:hAnsi="微软雅黑" w:eastAsia="微软雅黑" w:cs="微软雅黑"/>
                <w:lang w:eastAsia="zh-CN"/>
              </w:rPr>
              <w:t>80%</w:t>
            </w:r>
            <w:r>
              <w:rPr>
                <w:rFonts w:hint="eastAsia" w:ascii="微软雅黑" w:hAnsi="微软雅黑" w:eastAsia="微软雅黑"/>
                <w:lang w:eastAsia="zh-CN"/>
              </w:rPr>
              <w:t>。</w:t>
            </w:r>
          </w:p>
        </w:tc>
      </w:tr>
      <w:tr w14:paraId="6E442742">
        <w:trPr>
          <w:trHeight w:val="340"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vAlign w:val="center"/>
          </w:tcPr>
          <w:p w14:paraId="4E850100">
            <w:pPr>
              <w:pStyle w:val="11"/>
              <w:widowControl w:val="0"/>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DAE3F4" w:themeFill="accent1" w:themeFillTint="33"/>
          </w:tcPr>
          <w:p w14:paraId="7872963E">
            <w:pPr>
              <w:widowControl w:val="0"/>
              <w:jc w:val="both"/>
              <w:rPr>
                <w:rFonts w:ascii="微软雅黑" w:hAnsi="微软雅黑" w:eastAsia="微软雅黑"/>
                <w:lang w:eastAsia="zh"/>
              </w:rPr>
            </w:pPr>
            <w:r>
              <w:rPr>
                <w:rFonts w:hint="eastAsia" w:ascii="微软雅黑" w:hAnsi="微软雅黑" w:eastAsia="微软雅黑"/>
                <w:lang w:eastAsia="zh"/>
              </w:rPr>
              <w:t>截至</w:t>
            </w:r>
            <w:r>
              <w:rPr>
                <w:rFonts w:ascii="微软雅黑" w:hAnsi="微软雅黑" w:eastAsia="微软雅黑"/>
                <w:lang w:eastAsia="zh"/>
              </w:rPr>
              <w:t>11</w:t>
            </w:r>
            <w:r>
              <w:rPr>
                <w:rFonts w:hint="eastAsia" w:ascii="微软雅黑" w:hAnsi="微软雅黑" w:eastAsia="微软雅黑"/>
                <w:lang w:eastAsia="zh"/>
              </w:rPr>
              <w:t>月</w:t>
            </w:r>
            <w:r>
              <w:rPr>
                <w:rFonts w:ascii="微软雅黑" w:hAnsi="微软雅黑" w:eastAsia="微软雅黑"/>
                <w:lang w:eastAsia="zh"/>
              </w:rPr>
              <w:t>28</w:t>
            </w:r>
            <w:r>
              <w:rPr>
                <w:rFonts w:hint="eastAsia" w:ascii="微软雅黑" w:hAnsi="微软雅黑" w:eastAsia="微软雅黑"/>
                <w:lang w:eastAsia="zh"/>
              </w:rPr>
              <w:t>日，美元指数跌</w:t>
            </w:r>
            <w:r>
              <w:rPr>
                <w:rFonts w:ascii="微软雅黑" w:hAnsi="微软雅黑" w:eastAsia="微软雅黑"/>
                <w:lang w:eastAsia="zh"/>
              </w:rPr>
              <w:t>0.12%</w:t>
            </w:r>
            <w:r>
              <w:rPr>
                <w:rFonts w:hint="eastAsia" w:ascii="微软雅黑" w:hAnsi="微软雅黑" w:eastAsia="微软雅黑"/>
                <w:lang w:eastAsia="zh"/>
              </w:rPr>
              <w:t>报</w:t>
            </w:r>
            <w:r>
              <w:rPr>
                <w:rFonts w:ascii="微软雅黑" w:hAnsi="微软雅黑" w:eastAsia="微软雅黑"/>
                <w:lang w:eastAsia="zh"/>
              </w:rPr>
              <w:t>99.44</w:t>
            </w:r>
            <w:r>
              <w:rPr>
                <w:rFonts w:hint="eastAsia" w:ascii="微软雅黑" w:hAnsi="微软雅黑" w:eastAsia="微软雅黑"/>
                <w:lang w:eastAsia="zh"/>
              </w:rPr>
              <w:t>，非美货币多数上涨，欧元兑美元涨</w:t>
            </w:r>
            <w:r>
              <w:rPr>
                <w:rFonts w:ascii="微软雅黑" w:hAnsi="微软雅黑" w:eastAsia="微软雅黑"/>
                <w:lang w:eastAsia="zh"/>
              </w:rPr>
              <w:t>0.04%</w:t>
            </w:r>
            <w:r>
              <w:rPr>
                <w:rFonts w:hint="eastAsia" w:ascii="微软雅黑" w:hAnsi="微软雅黑" w:eastAsia="微软雅黑"/>
                <w:lang w:eastAsia="zh"/>
              </w:rPr>
              <w:t>报</w:t>
            </w:r>
            <w:r>
              <w:rPr>
                <w:rFonts w:ascii="微软雅黑" w:hAnsi="微软雅黑" w:eastAsia="微软雅黑"/>
                <w:lang w:eastAsia="zh"/>
              </w:rPr>
              <w:t>1.1601</w:t>
            </w:r>
            <w:r>
              <w:rPr>
                <w:rFonts w:hint="eastAsia" w:ascii="微软雅黑" w:hAnsi="微软雅黑" w:eastAsia="微软雅黑"/>
                <w:lang w:eastAsia="zh"/>
              </w:rPr>
              <w:t>，英镑兑美元跌</w:t>
            </w:r>
            <w:r>
              <w:rPr>
                <w:rFonts w:ascii="微软雅黑" w:hAnsi="微软雅黑" w:eastAsia="微软雅黑"/>
                <w:lang w:eastAsia="zh"/>
              </w:rPr>
              <w:t>0.06%</w:t>
            </w:r>
            <w:r>
              <w:rPr>
                <w:rFonts w:hint="eastAsia" w:ascii="微软雅黑" w:hAnsi="微软雅黑" w:eastAsia="微软雅黑"/>
                <w:lang w:eastAsia="zh"/>
              </w:rPr>
              <w:t>报</w:t>
            </w:r>
            <w:r>
              <w:rPr>
                <w:rFonts w:ascii="微软雅黑" w:hAnsi="微软雅黑" w:eastAsia="微软雅黑"/>
                <w:lang w:eastAsia="zh"/>
              </w:rPr>
              <w:t>1.3231</w:t>
            </w:r>
            <w:r>
              <w:rPr>
                <w:rFonts w:hint="eastAsia" w:ascii="微软雅黑" w:hAnsi="微软雅黑" w:eastAsia="微软雅黑"/>
                <w:lang w:eastAsia="zh"/>
              </w:rPr>
              <w:t>，美元兑日元跌</w:t>
            </w:r>
            <w:r>
              <w:rPr>
                <w:rFonts w:ascii="微软雅黑" w:hAnsi="微软雅黑" w:eastAsia="微软雅黑"/>
                <w:lang w:eastAsia="zh"/>
              </w:rPr>
              <w:t>0.08%</w:t>
            </w:r>
            <w:r>
              <w:rPr>
                <w:rFonts w:hint="eastAsia" w:ascii="微软雅黑" w:hAnsi="微软雅黑" w:eastAsia="微软雅黑"/>
                <w:lang w:eastAsia="zh"/>
              </w:rPr>
              <w:t>报</w:t>
            </w:r>
            <w:r>
              <w:rPr>
                <w:rFonts w:ascii="微软雅黑" w:hAnsi="微软雅黑" w:eastAsia="微软雅黑"/>
                <w:lang w:eastAsia="zh"/>
              </w:rPr>
              <w:t>156.1675</w:t>
            </w:r>
            <w:r>
              <w:rPr>
                <w:rFonts w:hint="eastAsia" w:ascii="微软雅黑" w:hAnsi="微软雅黑" w:eastAsia="微软雅黑"/>
                <w:lang w:eastAsia="zh"/>
              </w:rPr>
              <w:t>。</w:t>
            </w:r>
          </w:p>
          <w:p w14:paraId="5EFACFC4">
            <w:pPr>
              <w:widowControl w:val="0"/>
              <w:jc w:val="both"/>
              <w:rPr>
                <w:rFonts w:ascii="微软雅黑" w:hAnsi="微软雅黑" w:eastAsia="微软雅黑"/>
                <w:lang w:eastAsia="zh"/>
              </w:rPr>
            </w:pPr>
            <w:r>
              <w:rPr>
                <w:rFonts w:hint="eastAsia" w:ascii="微软雅黑" w:hAnsi="微软雅黑" w:eastAsia="微软雅黑"/>
                <w:lang w:eastAsia="zh"/>
              </w:rPr>
              <w:t>美联储降息预期显著抬升，美元指数上周震荡偏弱。美国</w:t>
            </w:r>
            <w:r>
              <w:rPr>
                <w:rFonts w:ascii="微软雅黑" w:hAnsi="微软雅黑" w:eastAsia="微软雅黑"/>
                <w:lang w:eastAsia="zh"/>
              </w:rPr>
              <w:t>9</w:t>
            </w:r>
            <w:r>
              <w:rPr>
                <w:rFonts w:hint="eastAsia" w:ascii="微软雅黑" w:hAnsi="微软雅黑" w:eastAsia="微软雅黑"/>
                <w:lang w:eastAsia="zh"/>
              </w:rPr>
              <w:t>月</w:t>
            </w:r>
            <w:r>
              <w:rPr>
                <w:rFonts w:ascii="微软雅黑" w:hAnsi="微软雅黑" w:eastAsia="微软雅黑"/>
                <w:lang w:eastAsia="zh"/>
              </w:rPr>
              <w:t>PPI</w:t>
            </w:r>
            <w:r>
              <w:rPr>
                <w:rFonts w:hint="eastAsia" w:ascii="微软雅黑" w:hAnsi="微软雅黑" w:eastAsia="微软雅黑"/>
                <w:lang w:eastAsia="zh"/>
              </w:rPr>
              <w:t>环比上涨</w:t>
            </w:r>
            <w:r>
              <w:rPr>
                <w:rFonts w:ascii="微软雅黑" w:hAnsi="微软雅黑" w:eastAsia="微软雅黑"/>
                <w:lang w:eastAsia="zh"/>
              </w:rPr>
              <w:t>0.3%</w:t>
            </w:r>
            <w:r>
              <w:rPr>
                <w:rFonts w:hint="eastAsia" w:ascii="微软雅黑" w:hAnsi="微软雅黑" w:eastAsia="微软雅黑"/>
                <w:lang w:eastAsia="zh"/>
              </w:rPr>
              <w:t>，核心</w:t>
            </w:r>
            <w:r>
              <w:rPr>
                <w:rFonts w:ascii="微软雅黑" w:hAnsi="微软雅黑" w:eastAsia="微软雅黑"/>
                <w:lang w:eastAsia="zh"/>
              </w:rPr>
              <w:t>PPI</w:t>
            </w:r>
            <w:r>
              <w:rPr>
                <w:rFonts w:hint="eastAsia" w:ascii="微软雅黑" w:hAnsi="微软雅黑" w:eastAsia="微软雅黑"/>
                <w:lang w:eastAsia="zh"/>
              </w:rPr>
              <w:t>环比上涨</w:t>
            </w:r>
            <w:r>
              <w:rPr>
                <w:rFonts w:ascii="微软雅黑" w:hAnsi="微软雅黑" w:eastAsia="微软雅黑"/>
                <w:lang w:eastAsia="zh"/>
              </w:rPr>
              <w:t>0.1%</w:t>
            </w:r>
            <w:r>
              <w:rPr>
                <w:rFonts w:hint="eastAsia" w:ascii="微软雅黑" w:hAnsi="微软雅黑" w:eastAsia="微软雅黑"/>
                <w:lang w:eastAsia="zh"/>
              </w:rPr>
              <w:t>，较前值有所抬升，但主要由食品能源价格上涨驱动，核心商品</w:t>
            </w:r>
            <w:r>
              <w:rPr>
                <w:rFonts w:ascii="微软雅黑" w:hAnsi="微软雅黑" w:eastAsia="微软雅黑"/>
                <w:lang w:eastAsia="zh"/>
              </w:rPr>
              <w:t>PPI</w:t>
            </w:r>
            <w:r>
              <w:rPr>
                <w:rFonts w:hint="eastAsia" w:ascii="微软雅黑" w:hAnsi="微软雅黑" w:eastAsia="微软雅黑"/>
                <w:lang w:eastAsia="zh"/>
              </w:rPr>
              <w:t>增速有所放缓；</w:t>
            </w:r>
            <w:r>
              <w:rPr>
                <w:rFonts w:ascii="微软雅黑" w:hAnsi="微软雅黑" w:eastAsia="微软雅黑"/>
                <w:lang w:eastAsia="zh"/>
              </w:rPr>
              <w:t>ADP</w:t>
            </w:r>
            <w:r>
              <w:rPr>
                <w:rFonts w:hint="eastAsia" w:ascii="微软雅黑" w:hAnsi="微软雅黑" w:eastAsia="微软雅黑"/>
                <w:lang w:eastAsia="zh"/>
              </w:rPr>
              <w:t>就业报告显示，美国私营企业雇主过去一个月平均每周削减</w:t>
            </w:r>
            <w:r>
              <w:rPr>
                <w:rFonts w:ascii="微软雅黑" w:hAnsi="微软雅黑" w:eastAsia="微软雅黑"/>
                <w:lang w:eastAsia="zh"/>
              </w:rPr>
              <w:t>13,500</w:t>
            </w:r>
            <w:r>
              <w:rPr>
                <w:rFonts w:hint="eastAsia" w:ascii="微软雅黑" w:hAnsi="微软雅黑" w:eastAsia="微软雅黑"/>
                <w:lang w:eastAsia="zh"/>
              </w:rPr>
              <w:t>个岗位，较前值每周减少</w:t>
            </w:r>
            <w:r>
              <w:rPr>
                <w:rFonts w:ascii="微软雅黑" w:hAnsi="微软雅黑" w:eastAsia="微软雅黑"/>
                <w:lang w:eastAsia="zh"/>
              </w:rPr>
              <w:t>2,500</w:t>
            </w:r>
            <w:r>
              <w:rPr>
                <w:rFonts w:hint="eastAsia" w:ascii="微软雅黑" w:hAnsi="微软雅黑" w:eastAsia="微软雅黑"/>
                <w:lang w:eastAsia="zh"/>
              </w:rPr>
              <w:t>人的幅度显著扩大，美国就业市场延续降温态势。联储内部表态整体呈鸽派基调，纽约联储主席威廉姆斯表示在劳动力走软背景下存在降息空间，旧金山联储主席戴利支持下次会议降息，理事米兰重申应在通胀尚高时实施更大幅度降息，美联储下月降息概率由上周五的</w:t>
            </w:r>
            <w:r>
              <w:rPr>
                <w:rFonts w:ascii="微软雅黑" w:hAnsi="微软雅黑" w:eastAsia="微软雅黑"/>
                <w:lang w:eastAsia="zh"/>
              </w:rPr>
              <w:t>40%</w:t>
            </w:r>
            <w:r>
              <w:rPr>
                <w:rFonts w:hint="eastAsia" w:ascii="微软雅黑" w:hAnsi="微软雅黑" w:eastAsia="微软雅黑"/>
                <w:lang w:eastAsia="zh"/>
              </w:rPr>
              <w:t>大幅抬升至</w:t>
            </w:r>
            <w:r>
              <w:rPr>
                <w:rFonts w:ascii="微软雅黑" w:hAnsi="微软雅黑" w:eastAsia="微软雅黑"/>
                <w:lang w:eastAsia="zh"/>
              </w:rPr>
              <w:t>86.9%</w:t>
            </w:r>
            <w:r>
              <w:rPr>
                <w:rFonts w:hint="eastAsia" w:ascii="微软雅黑" w:hAnsi="微软雅黑" w:eastAsia="微软雅黑"/>
                <w:lang w:eastAsia="zh"/>
              </w:rPr>
              <w:t>，美元和长端美债收益率或受到降息预期的压制而维持相对疲软态势。</w:t>
            </w:r>
          </w:p>
          <w:p w14:paraId="5F843723">
            <w:pPr>
              <w:widowControl w:val="0"/>
              <w:jc w:val="both"/>
              <w:rPr>
                <w:rFonts w:hint="eastAsia" w:ascii="微软雅黑" w:hAnsi="微软雅黑" w:eastAsia="微软雅黑"/>
                <w:lang w:eastAsia="zh"/>
              </w:rPr>
            </w:pPr>
            <w:r>
              <w:rPr>
                <w:rFonts w:hint="eastAsia" w:ascii="微软雅黑" w:hAnsi="微软雅黑" w:eastAsia="微软雅黑"/>
                <w:lang w:eastAsia="zh"/>
              </w:rPr>
              <w:t>美元近期走软提振欧元走势。欧元区</w:t>
            </w:r>
            <w:r>
              <w:rPr>
                <w:rFonts w:ascii="微软雅黑" w:hAnsi="微软雅黑" w:eastAsia="微软雅黑"/>
                <w:lang w:eastAsia="zh"/>
              </w:rPr>
              <w:t>10</w:t>
            </w:r>
            <w:r>
              <w:rPr>
                <w:rFonts w:hint="eastAsia" w:ascii="微软雅黑" w:hAnsi="微软雅黑" w:eastAsia="微软雅黑"/>
                <w:lang w:eastAsia="zh"/>
              </w:rPr>
              <w:t>月</w:t>
            </w:r>
            <w:r>
              <w:rPr>
                <w:rFonts w:ascii="微软雅黑" w:hAnsi="微软雅黑" w:eastAsia="微软雅黑"/>
                <w:lang w:eastAsia="zh"/>
              </w:rPr>
              <w:t>CPI</w:t>
            </w:r>
            <w:r>
              <w:rPr>
                <w:rFonts w:hint="eastAsia" w:ascii="微软雅黑" w:hAnsi="微软雅黑" w:eastAsia="微软雅黑"/>
                <w:lang w:eastAsia="zh"/>
              </w:rPr>
              <w:t>同比增速延续政策目标，通胀平稳态势支持欧央行维持观望立场，得益于经济增长保持稳定且失业率处于历史低位，欧洲行预计将维持利率不变直至</w:t>
            </w:r>
            <w:r>
              <w:rPr>
                <w:rFonts w:ascii="微软雅黑" w:hAnsi="微软雅黑" w:eastAsia="微软雅黑"/>
                <w:lang w:eastAsia="zh"/>
              </w:rPr>
              <w:t>2026</w:t>
            </w:r>
            <w:r>
              <w:rPr>
                <w:rFonts w:hint="eastAsia" w:ascii="微软雅黑" w:hAnsi="微软雅黑" w:eastAsia="微软雅黑"/>
                <w:lang w:eastAsia="zh"/>
              </w:rPr>
              <w:t>年底，中期或继续支撑欧元走势。日元疲软显著抬高进口商品价格，导致日本</w:t>
            </w:r>
            <w:r>
              <w:rPr>
                <w:rFonts w:ascii="微软雅黑" w:hAnsi="微软雅黑" w:eastAsia="微软雅黑"/>
                <w:lang w:eastAsia="zh"/>
              </w:rPr>
              <w:t>10</w:t>
            </w:r>
            <w:r>
              <w:rPr>
                <w:rFonts w:hint="eastAsia" w:ascii="微软雅黑" w:hAnsi="微软雅黑" w:eastAsia="微软雅黑"/>
                <w:lang w:eastAsia="zh"/>
              </w:rPr>
              <w:t>月</w:t>
            </w:r>
            <w:r>
              <w:rPr>
                <w:rFonts w:ascii="微软雅黑" w:hAnsi="微软雅黑" w:eastAsia="微软雅黑"/>
                <w:lang w:eastAsia="zh"/>
              </w:rPr>
              <w:t>CPI</w:t>
            </w:r>
            <w:r>
              <w:rPr>
                <w:rFonts w:hint="eastAsia" w:ascii="微软雅黑" w:hAnsi="微软雅黑" w:eastAsia="微软雅黑"/>
                <w:lang w:eastAsia="zh"/>
              </w:rPr>
              <w:t>延续反弹，日央行后续放鹰可能性加大。日本第三季度</w:t>
            </w:r>
            <w:r>
              <w:rPr>
                <w:rFonts w:ascii="微软雅黑" w:hAnsi="微软雅黑" w:eastAsia="微软雅黑"/>
                <w:lang w:eastAsia="zh"/>
              </w:rPr>
              <w:t>GDP</w:t>
            </w:r>
            <w:r>
              <w:rPr>
                <w:rFonts w:hint="eastAsia" w:ascii="微软雅黑" w:hAnsi="微软雅黑" w:eastAsia="微软雅黑"/>
                <w:lang w:eastAsia="zh"/>
              </w:rPr>
              <w:t>录得六个季度来首次萎缩，支持日本新政府的财政刺激方案，日本经济结构性问题仍存，日元短期或震荡运行。</w:t>
            </w:r>
          </w:p>
        </w:tc>
      </w:tr>
      <w:tr w14:paraId="563BD292">
        <w:trPr>
          <w:trHeight w:val="70" w:hRule="atLeast"/>
        </w:trPr>
        <w:tc>
          <w:tcPr>
            <w:tcW w:w="1744" w:type="dxa"/>
            <w:tcBorders>
              <w:top w:val="dotted" w:color="auto" w:sz="4" w:space="0"/>
              <w:left w:val="single" w:color="FFFFFF" w:sz="4" w:space="0"/>
              <w:bottom w:val="single" w:color="2169C1" w:sz="4" w:space="0"/>
              <w:right w:val="dotted" w:color="auto" w:sz="4" w:space="0"/>
            </w:tcBorders>
            <w:shd w:val="clear" w:color="auto" w:fill="D6DCE5"/>
            <w:vAlign w:val="center"/>
          </w:tcPr>
          <w:p w14:paraId="47A2FE3F">
            <w:pPr>
              <w:pStyle w:val="11"/>
              <w:widowControl w:val="0"/>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FFFFFF" w:themeFill="background1"/>
          </w:tcPr>
          <w:p w14:paraId="530086AF">
            <w:pPr>
              <w:widowControl w:val="0"/>
              <w:jc w:val="both"/>
              <w:rPr>
                <w:rFonts w:hint="eastAsia" w:ascii="微软雅黑" w:hAnsi="微软雅黑" w:eastAsia="微软雅黑"/>
                <w:lang w:eastAsia="zh"/>
              </w:rPr>
            </w:pPr>
            <w:r>
              <w:rPr>
                <w:rFonts w:hint="eastAsia" w:ascii="微软雅黑" w:hAnsi="微软雅黑" w:eastAsia="微软雅黑"/>
                <w:lang w:eastAsia="zh"/>
              </w:rPr>
              <w:t>截至</w:t>
            </w:r>
            <w:r>
              <w:rPr>
                <w:rFonts w:ascii="微软雅黑" w:hAnsi="微软雅黑" w:eastAsia="微软雅黑"/>
                <w:lang w:eastAsia="zh"/>
              </w:rPr>
              <w:t>11</w:t>
            </w:r>
            <w:r>
              <w:rPr>
                <w:rFonts w:hint="eastAsia" w:ascii="微软雅黑" w:hAnsi="微软雅黑" w:eastAsia="微软雅黑"/>
                <w:lang w:eastAsia="zh"/>
              </w:rPr>
              <w:t>月</w:t>
            </w:r>
            <w:r>
              <w:rPr>
                <w:rFonts w:ascii="微软雅黑" w:hAnsi="微软雅黑" w:eastAsia="微软雅黑"/>
                <w:lang w:eastAsia="zh"/>
              </w:rPr>
              <w:t>28</w:t>
            </w:r>
            <w:r>
              <w:rPr>
                <w:rFonts w:hint="eastAsia" w:ascii="微软雅黑" w:hAnsi="微软雅黑" w:eastAsia="微软雅黑"/>
                <w:lang w:eastAsia="zh"/>
              </w:rPr>
              <w:t>日，国际贵金属期货大幅收涨，</w:t>
            </w:r>
            <w:r>
              <w:rPr>
                <w:rFonts w:ascii="微软雅黑" w:hAnsi="微软雅黑" w:eastAsia="微软雅黑"/>
                <w:lang w:eastAsia="zh"/>
              </w:rPr>
              <w:t>COMEX</w:t>
            </w:r>
            <w:r>
              <w:rPr>
                <w:rFonts w:hint="eastAsia" w:ascii="微软雅黑" w:hAnsi="微软雅黑" w:eastAsia="微软雅黑"/>
                <w:lang w:eastAsia="zh"/>
              </w:rPr>
              <w:t>黄金期货收涨</w:t>
            </w:r>
            <w:r>
              <w:rPr>
                <w:rFonts w:ascii="微软雅黑" w:hAnsi="微软雅黑" w:eastAsia="微软雅黑"/>
                <w:lang w:eastAsia="zh"/>
              </w:rPr>
              <w:t>1.59%</w:t>
            </w:r>
            <w:r>
              <w:rPr>
                <w:rFonts w:hint="eastAsia" w:ascii="微软雅黑" w:hAnsi="微软雅黑" w:eastAsia="微软雅黑"/>
                <w:lang w:eastAsia="zh"/>
              </w:rPr>
              <w:t>报</w:t>
            </w:r>
            <w:r>
              <w:rPr>
                <w:rFonts w:ascii="微软雅黑" w:hAnsi="微软雅黑" w:eastAsia="微软雅黑"/>
                <w:lang w:eastAsia="zh"/>
              </w:rPr>
              <w:t>4256.4</w:t>
            </w:r>
            <w:r>
              <w:rPr>
                <w:rFonts w:hint="eastAsia" w:ascii="微软雅黑" w:hAnsi="微软雅黑" w:eastAsia="微软雅黑"/>
                <w:lang w:eastAsia="zh"/>
              </w:rPr>
              <w:t>美元</w:t>
            </w:r>
            <w:r>
              <w:rPr>
                <w:rFonts w:ascii="微软雅黑" w:hAnsi="微软雅黑" w:eastAsia="微软雅黑"/>
                <w:lang w:eastAsia="zh"/>
              </w:rPr>
              <w:t>/</w:t>
            </w:r>
            <w:r>
              <w:rPr>
                <w:rFonts w:hint="eastAsia" w:ascii="微软雅黑" w:hAnsi="微软雅黑" w:eastAsia="微软雅黑"/>
                <w:lang w:eastAsia="zh"/>
              </w:rPr>
              <w:t>盎司，周涨</w:t>
            </w:r>
            <w:r>
              <w:rPr>
                <w:rFonts w:ascii="微软雅黑" w:hAnsi="微软雅黑" w:eastAsia="微软雅黑"/>
                <w:lang w:eastAsia="zh"/>
              </w:rPr>
              <w:t>4.34%</w:t>
            </w:r>
            <w:r>
              <w:rPr>
                <w:rFonts w:hint="eastAsia" w:ascii="微软雅黑" w:hAnsi="微软雅黑" w:eastAsia="微软雅黑"/>
                <w:lang w:eastAsia="zh"/>
              </w:rPr>
              <w:t>，月涨</w:t>
            </w:r>
            <w:r>
              <w:rPr>
                <w:rFonts w:ascii="微软雅黑" w:hAnsi="微软雅黑" w:eastAsia="微软雅黑"/>
                <w:lang w:eastAsia="zh"/>
              </w:rPr>
              <w:t>5.51%</w:t>
            </w:r>
            <w:r>
              <w:rPr>
                <w:rFonts w:hint="eastAsia" w:ascii="微软雅黑" w:hAnsi="微软雅黑" w:eastAsia="微软雅黑"/>
                <w:lang w:eastAsia="zh"/>
              </w:rPr>
              <w:t>。</w:t>
            </w:r>
            <w:r>
              <w:rPr>
                <w:rFonts w:ascii="微软雅黑" w:hAnsi="微软雅黑" w:eastAsia="微软雅黑"/>
                <w:lang w:eastAsia="zh"/>
              </w:rPr>
              <w:t>COMEX</w:t>
            </w:r>
            <w:r>
              <w:rPr>
                <w:rFonts w:hint="eastAsia" w:ascii="微软雅黑" w:hAnsi="微软雅黑" w:eastAsia="微软雅黑"/>
                <w:lang w:eastAsia="zh"/>
              </w:rPr>
              <w:t>白银期货收涨</w:t>
            </w:r>
            <w:r>
              <w:rPr>
                <w:rFonts w:ascii="微软雅黑" w:hAnsi="微软雅黑" w:eastAsia="微软雅黑"/>
                <w:lang w:eastAsia="zh"/>
              </w:rPr>
              <w:t>6.06%</w:t>
            </w:r>
            <w:r>
              <w:rPr>
                <w:rFonts w:hint="eastAsia" w:ascii="微软雅黑" w:hAnsi="微软雅黑" w:eastAsia="微软雅黑"/>
                <w:lang w:eastAsia="zh"/>
              </w:rPr>
              <w:t>报</w:t>
            </w:r>
            <w:r>
              <w:rPr>
                <w:rFonts w:ascii="微软雅黑" w:hAnsi="微软雅黑" w:eastAsia="微软雅黑"/>
                <w:lang w:eastAsia="zh"/>
              </w:rPr>
              <w:t>57.085</w:t>
            </w:r>
            <w:r>
              <w:rPr>
                <w:rFonts w:hint="eastAsia" w:ascii="微软雅黑" w:hAnsi="微软雅黑" w:eastAsia="微软雅黑"/>
                <w:lang w:eastAsia="zh"/>
              </w:rPr>
              <w:t>美元</w:t>
            </w:r>
            <w:r>
              <w:rPr>
                <w:rFonts w:ascii="微软雅黑" w:hAnsi="微软雅黑" w:eastAsia="微软雅黑"/>
                <w:lang w:eastAsia="zh"/>
              </w:rPr>
              <w:t>/</w:t>
            </w:r>
            <w:r>
              <w:rPr>
                <w:rFonts w:hint="eastAsia" w:ascii="微软雅黑" w:hAnsi="微软雅黑" w:eastAsia="微软雅黑"/>
                <w:lang w:eastAsia="zh"/>
              </w:rPr>
              <w:t>盎司，刷新历史新高，周涨</w:t>
            </w:r>
            <w:r>
              <w:rPr>
                <w:rFonts w:ascii="微软雅黑" w:hAnsi="微软雅黑" w:eastAsia="微软雅黑"/>
                <w:lang w:eastAsia="zh"/>
              </w:rPr>
              <w:t>14.37%</w:t>
            </w:r>
            <w:r>
              <w:rPr>
                <w:rFonts w:hint="eastAsia" w:ascii="微软雅黑" w:hAnsi="微软雅黑" w:eastAsia="微软雅黑"/>
                <w:lang w:eastAsia="zh"/>
              </w:rPr>
              <w:t>，月涨</w:t>
            </w:r>
            <w:r>
              <w:rPr>
                <w:rFonts w:ascii="微软雅黑" w:hAnsi="微软雅黑" w:eastAsia="微软雅黑"/>
                <w:lang w:eastAsia="zh"/>
              </w:rPr>
              <w:t>17%</w:t>
            </w:r>
            <w:r>
              <w:rPr>
                <w:rFonts w:hint="eastAsia" w:ascii="微软雅黑" w:hAnsi="微软雅黑" w:eastAsia="微软雅黑"/>
                <w:lang w:eastAsia="zh"/>
              </w:rPr>
              <w:t>。美联储降息预期大幅抬升，贵金属市场上周偏强运行。宏观数据方面，美国</w:t>
            </w:r>
            <w:r>
              <w:rPr>
                <w:rFonts w:ascii="微软雅黑" w:hAnsi="微软雅黑" w:eastAsia="微软雅黑"/>
                <w:lang w:eastAsia="zh"/>
              </w:rPr>
              <w:t>9</w:t>
            </w:r>
            <w:r>
              <w:rPr>
                <w:rFonts w:hint="eastAsia" w:ascii="微软雅黑" w:hAnsi="微软雅黑" w:eastAsia="微软雅黑"/>
                <w:lang w:eastAsia="zh"/>
              </w:rPr>
              <w:t>月</w:t>
            </w:r>
            <w:r>
              <w:rPr>
                <w:rFonts w:ascii="微软雅黑" w:hAnsi="微软雅黑" w:eastAsia="微软雅黑"/>
                <w:lang w:eastAsia="zh"/>
              </w:rPr>
              <w:t>PPI</w:t>
            </w:r>
            <w:r>
              <w:rPr>
                <w:rFonts w:hint="eastAsia" w:ascii="微软雅黑" w:hAnsi="微软雅黑" w:eastAsia="微软雅黑"/>
                <w:lang w:eastAsia="zh"/>
              </w:rPr>
              <w:t>较前值有所抬升，但主要由食品能源价格上涨驱动，核心商品价格增速趋于放缓；</w:t>
            </w:r>
            <w:r>
              <w:rPr>
                <w:rFonts w:ascii="微软雅黑" w:hAnsi="微软雅黑" w:eastAsia="微软雅黑"/>
                <w:lang w:eastAsia="zh"/>
              </w:rPr>
              <w:t>ADP</w:t>
            </w:r>
            <w:r>
              <w:rPr>
                <w:rFonts w:hint="eastAsia" w:ascii="微软雅黑" w:hAnsi="微软雅黑" w:eastAsia="微软雅黑"/>
                <w:lang w:eastAsia="zh"/>
              </w:rPr>
              <w:t>就业报告显示，美国私营企业雇主削减岗位需求幅度显著扩大，就业市场延续降温态势。联储内部表态整体呈鸽派基调，美联储</w:t>
            </w:r>
            <w:r>
              <w:rPr>
                <w:rFonts w:ascii="微软雅黑" w:hAnsi="微软雅黑" w:eastAsia="微软雅黑"/>
                <w:lang w:eastAsia="zh"/>
              </w:rPr>
              <w:t>12</w:t>
            </w:r>
            <w:r>
              <w:rPr>
                <w:rFonts w:hint="eastAsia" w:ascii="微软雅黑" w:hAnsi="微软雅黑" w:eastAsia="微软雅黑"/>
                <w:lang w:eastAsia="zh"/>
              </w:rPr>
              <w:t>月降息</w:t>
            </w:r>
            <w:r>
              <w:rPr>
                <w:rFonts w:ascii="微软雅黑" w:hAnsi="微软雅黑" w:eastAsia="微软雅黑"/>
                <w:lang w:eastAsia="zh"/>
              </w:rPr>
              <w:t>25</w:t>
            </w:r>
            <w:r>
              <w:rPr>
                <w:rFonts w:hint="eastAsia" w:ascii="微软雅黑" w:hAnsi="微软雅黑" w:eastAsia="微软雅黑"/>
                <w:lang w:eastAsia="zh"/>
              </w:rPr>
              <w:t>个基点的概率大幅抬升至</w:t>
            </w:r>
            <w:r>
              <w:rPr>
                <w:rFonts w:ascii="微软雅黑" w:hAnsi="微软雅黑" w:eastAsia="微软雅黑"/>
                <w:lang w:eastAsia="zh"/>
              </w:rPr>
              <w:t>87.4%</w:t>
            </w:r>
            <w:r>
              <w:rPr>
                <w:rFonts w:hint="eastAsia" w:ascii="微软雅黑" w:hAnsi="微软雅黑" w:eastAsia="微软雅黑"/>
                <w:lang w:eastAsia="zh"/>
              </w:rPr>
              <w:t>，降息预期提振市场乐观交易情绪。地缘方面，美乌完成一份新的和平协议草案，但俄乌间军事交火仍持续展开，达成实质性停火的难度较大。俄罗斯总统普京表示，美方代表团将于本周到访莫斯科，市场风险情绪有所缓和，可能会在一定程度上抑制避险需求，使价格面临回调压力。短期来看，降息预期较前期显著抬升，</w:t>
            </w:r>
            <w:r>
              <w:rPr>
                <w:rFonts w:ascii="微软雅黑" w:hAnsi="微软雅黑" w:eastAsia="微软雅黑"/>
                <w:lang w:eastAsia="zh"/>
              </w:rPr>
              <w:t>12</w:t>
            </w:r>
            <w:r>
              <w:rPr>
                <w:rFonts w:hint="eastAsia" w:ascii="微软雅黑" w:hAnsi="微软雅黑" w:eastAsia="微软雅黑"/>
                <w:lang w:eastAsia="zh"/>
              </w:rPr>
              <w:t>月重启降息重新成为当下市场的基准情形，贵金属市场偏暖情绪或继续带动金银价格上涨，白银价格在货币属性和工业属性的共振作用下有望延续偏强走势。中长期而言，美国债务压力凸显，黄金作为美元信用对冲的首选资产仍具备吸引力，叠加各国央行长期购金信心，对长期金价形成结构性支撑。本周贵金属市场仍维持谨慎偏多观点。</w:t>
            </w:r>
          </w:p>
        </w:tc>
      </w:tr>
    </w:tbl>
    <w:p w14:paraId="26030E47">
      <w:pPr>
        <w:pStyle w:val="3"/>
        <w:spacing w:line="263" w:lineRule="auto"/>
        <w:rPr>
          <w:rFonts w:eastAsiaTheme="minorEastAsia"/>
          <w:lang w:eastAsia="zh-CN"/>
        </w:rPr>
      </w:pPr>
    </w:p>
    <w:p w14:paraId="5E476E51">
      <w:pPr>
        <w:pStyle w:val="3"/>
        <w:spacing w:line="263" w:lineRule="auto"/>
        <w:rPr>
          <w:rFonts w:hint="eastAsia" w:ascii="微软雅黑" w:hAnsi="微软雅黑" w:eastAsia="微软雅黑" w:cs="微软雅黑"/>
          <w:color w:val="036EB8"/>
          <w:sz w:val="28"/>
          <w:szCs w:val="28"/>
          <w:lang w:eastAsia="zh-CN"/>
        </w:rPr>
      </w:pPr>
      <w:r>
        <w:rPr>
          <w:lang w:eastAsia="zh-CN"/>
        </w:rPr>
        <w:drawing>
          <wp:inline distT="0" distB="0" distL="0" distR="0">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eastAsia="zh-CN"/>
        </w:rPr>
        <w:t>品种图表</w:t>
      </w:r>
    </w:p>
    <w:tbl>
      <w:tblPr>
        <w:tblStyle w:val="12"/>
        <w:tblW w:w="9417"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108" w:type="dxa"/>
          <w:bottom w:w="0" w:type="dxa"/>
          <w:right w:w="108" w:type="dxa"/>
        </w:tblCellMar>
      </w:tblPr>
      <w:tblGrid>
        <w:gridCol w:w="9417"/>
      </w:tblGrid>
      <w:tr w14:paraId="00A34FA2">
        <w:trPr>
          <w:trHeight w:val="3516" w:hRule="atLeast"/>
        </w:trPr>
        <w:tc>
          <w:tcPr>
            <w:tcW w:w="9417" w:type="dxa"/>
          </w:tcPr>
          <w:p w14:paraId="75600B6D">
            <w:pPr>
              <w:spacing w:line="4053" w:lineRule="exact"/>
              <w:jc w:val="both"/>
              <w:rPr>
                <w:rFonts w:eastAsia="宋体"/>
                <w:lang w:eastAsia="zh-CN"/>
              </w:rPr>
            </w:pPr>
            <w:r>
              <w:rPr>
                <w:rFonts w:eastAsia="宋体"/>
                <w:lang w:eastAsia="zh-CN"/>
              </w:rPr>
              <w:object>
                <v:shape id="_x0000_i1026" o:spt="75" type="#_x0000_t75" style="height:150.85pt;width:231.55pt;" o:ole="t" filled="f" coordsize="21600,21600">
                  <v:path/>
                  <v:fill on="f" focussize="0,0"/>
                  <v:stroke/>
                  <v:imagedata r:id="rId13" o:title=""/>
                  <o:lock v:ext="edit" aspectratio="t"/>
                  <w10:wrap type="none"/>
                  <w10:anchorlock/>
                </v:shape>
                <o:OLEObject Type="Link" ProgID="Excel.Sheet.12" ShapeID="_x0000_i1026" UpdateMode="Always" DrawAspect="Content" ObjectID="_1468075726" r:id="rId14">
                  <o:LinkType>EnhancedMetaFile</o:LinkType>
                  <o:LockedField>false</o:LockedField>
                </o:OLEObject>
              </w:object>
            </w:r>
            <w:r>
              <w:rPr>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图2：富时中国</w:t>
                                  </w:r>
                                  <w:r>
                                    <w:rPr>
                                      <w:rFonts w:ascii="微软雅黑" w:hAnsi="微软雅黑" w:eastAsia="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15pt;margin-top:164.9pt;height:22.65pt;width:175.6pt;z-index:251663360;mso-width-relative:page;mso-height-relative:page;" fillcolor="#FFFFFF" filled="t" stroked="f" coordsize="21600,21600" o:gfxdata="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q2NS1gAAAAsBAAAPAAAAAAAAAAEAIAAAACIAAABkcnMvZG93bnJldi54bWxQSwECFAAUAAAACACH&#10;TuJA+UuPeV8CAACtBAAADgAAAAAAAAABACAAAAAlAQAAZHJzL2Uyb0RvYy54bWxQSwUGAAAAAAYA&#10;BgBZAQAA9gUAAAAA&#10;">
                      <v:fill on="t" focussize="0,0"/>
                      <v:stroke on="f" weight="0.5pt"/>
                      <v:imagedata o:title=""/>
                      <o:lock v:ext="edit" aspectratio="f"/>
                      <v:textbox>
                        <w:txbxContent>
                          <w:p w14:paraId="3FAF1524">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图2：富时中国</w:t>
                            </w:r>
                            <w:r>
                              <w:rPr>
                                <w:rFonts w:ascii="微软雅黑" w:hAnsi="微软雅黑" w:eastAsia="微软雅黑" w:cs="微软雅黑"/>
                                <w:spacing w:val="25"/>
                                <w:sz w:val="19"/>
                                <w:szCs w:val="19"/>
                                <w:lang w:eastAsia="zh-CN"/>
                              </w:rPr>
                              <w:t>A50</w:t>
                            </w:r>
                          </w:p>
                        </w:txbxContent>
                      </v:textbox>
                    </v:shape>
                  </w:pict>
                </mc:Fallback>
              </mc:AlternateContent>
            </w:r>
            <w:r>
              <w:rPr>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图1 ：标普</w:t>
                                  </w:r>
                                  <w:r>
                                    <w:rPr>
                                      <w:rFonts w:ascii="微软雅黑" w:hAnsi="微软雅黑" w:eastAsia="微软雅黑" w:cs="微软雅黑"/>
                                      <w:spacing w:val="25"/>
                                      <w:sz w:val="19"/>
                                      <w:szCs w:val="19"/>
                                      <w:lang w:eastAsia="zh-CN"/>
                                    </w:rPr>
                                    <w:t>500</w:t>
                                  </w:r>
                                  <w:r>
                                    <w:rPr>
                                      <w:rFonts w:hint="eastAsia" w:ascii="微软雅黑" w:hAnsi="微软雅黑" w:eastAsia="微软雅黑" w:cs="微软雅黑"/>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pt;margin-top:166.5pt;height:22.65pt;width:201.9pt;z-index:251662336;mso-width-relative:page;mso-height-relative:page;" fillcolor="#FFFFFF" filled="t" stroked="t" coordsize="21600,21600" o:gfxdata="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JptrtgAAAAKAQAADwAAAAAAAAABACAAAAAiAAAAZHJzL2Rvd25yZXYueG1sUEsBAhQA&#10;FAAAAAgAh07iQHb8yVhkAgAA5gQAAA4AAAAAAAAAAQAgAAAAJwEAAGRycy9lMm9Eb2MueG1sUEsF&#10;BgAAAAAGAAYAWQEAAP0FAAAAAA==&#10;">
                      <v:fill on="t" focussize="0,0"/>
                      <v:stroke weight="0.5pt" color="#FFFFFF" joinstyle="round"/>
                      <v:imagedata o:title=""/>
                      <o:lock v:ext="edit" aspectratio="f"/>
                      <v:textbox>
                        <w:txbxContent>
                          <w:p w14:paraId="1589BA33">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图1 ：标普</w:t>
                            </w:r>
                            <w:r>
                              <w:rPr>
                                <w:rFonts w:ascii="微软雅黑" w:hAnsi="微软雅黑" w:eastAsia="微软雅黑" w:cs="微软雅黑"/>
                                <w:spacing w:val="25"/>
                                <w:sz w:val="19"/>
                                <w:szCs w:val="19"/>
                                <w:lang w:eastAsia="zh-CN"/>
                              </w:rPr>
                              <w:t>500</w:t>
                            </w:r>
                            <w:r>
                              <w:rPr>
                                <w:rFonts w:hint="eastAsia" w:ascii="微软雅黑" w:hAnsi="微软雅黑" w:eastAsia="微软雅黑" w:cs="微软雅黑"/>
                                <w:spacing w:val="25"/>
                                <w:sz w:val="19"/>
                                <w:szCs w:val="19"/>
                                <w:lang w:eastAsia="zh-CN"/>
                              </w:rPr>
                              <w:t>指数</w:t>
                            </w:r>
                          </w:p>
                        </w:txbxContent>
                      </v:textbox>
                    </v:shape>
                  </w:pict>
                </mc:Fallback>
              </mc:AlternateContent>
            </w:r>
            <w:r>
              <w:rPr>
                <w:rFonts w:eastAsia="宋体"/>
                <w:lang w:eastAsia="zh-CN"/>
              </w:rPr>
              <w:object>
                <v:shape id="_x0000_i1027" o:spt="75" type="#_x0000_t75" style="height:150.8pt;width:224.85pt;" o:ole="t" filled="f" coordsize="21600,21600">
                  <v:path/>
                  <v:fill on="f" focussize="0,0"/>
                  <v:stroke/>
                  <v:imagedata r:id="rId15" o:title=""/>
                  <o:lock v:ext="edit" aspectratio="t"/>
                  <w10:wrap type="none"/>
                  <w10:anchorlock/>
                </v:shape>
                <o:OLEObject Type="Link" ProgID="Excel.Sheet.12" ShapeID="_x0000_i1027" UpdateMode="Always" DrawAspect="Content" ObjectID="_1468075727" r:id="rId16">
                  <o:LinkType>EnhancedMetaFile</o:LinkType>
                  <o:LockedField>false</o:LockedField>
                </o:OLEObject>
              </w:object>
            </w:r>
          </w:p>
        </w:tc>
      </w:tr>
      <w:tr w14:paraId="78ABB01D">
        <w:trPr>
          <w:trHeight w:val="4063" w:hRule="atLeast"/>
        </w:trPr>
        <w:tc>
          <w:tcPr>
            <w:tcW w:w="9417" w:type="dxa"/>
          </w:tcPr>
          <w:p w14:paraId="1432B739">
            <w:pPr>
              <w:spacing w:line="4053" w:lineRule="exact"/>
              <w:jc w:val="both"/>
              <w:rPr>
                <w:rFonts w:eastAsia="宋体"/>
                <w:lang w:eastAsia="zh-CN"/>
              </w:rPr>
            </w:pPr>
            <w:r>
              <w:rPr>
                <w:snapToGrid/>
                <w:lang w:eastAsia="zh-CN"/>
              </w:rPr>
              <w:object>
                <v:shape id="_x0000_i1028" o:spt="75" type="#_x0000_t75" style="height:152.85pt;width:230.95pt;" o:ole="t" filled="f" coordsize="21600,21600">
                  <v:path/>
                  <v:fill on="f" focussize="0,0"/>
                  <v:stroke/>
                  <v:imagedata r:id="rId17" o:title=""/>
                  <o:lock v:ext="edit" aspectratio="t"/>
                  <w10:wrap type="none"/>
                  <w10:anchorlock/>
                </v:shape>
                <o:OLEObject Type="Link" ProgID="Excel.Sheet.12" ShapeID="_x0000_i1028" UpdateMode="Always" DrawAspect="Content" ObjectID="_1468075728" r:id="rId18">
                  <o:LinkType>EnhancedMetaFile</o:LinkType>
                  <o:LockedField>false</o:LockedField>
                </o:OLEObject>
              </w:object>
            </w:r>
            <w:r>
              <w:rPr>
                <w:snapToGrid/>
                <w:lang w:eastAsia="zh-CN"/>
              </w:rPr>
              <w:object>
                <v:shape id="_x0000_i1029" o:spt="75" type="#_x0000_t75" style="height:152.85pt;width:226.2pt;" o:ole="t" filled="f" coordsize="21600,21600">
                  <v:path/>
                  <v:fill on="f" focussize="0,0"/>
                  <v:stroke/>
                  <v:imagedata r:id="rId19" o:title=""/>
                  <o:lock v:ext="edit" aspectratio="t"/>
                  <w10:wrap type="none"/>
                  <w10:anchorlock/>
                </v:shape>
                <o:OLEObject Type="Link" ProgID="Excel.Sheet.12" ShapeID="_x0000_i1029" UpdateMode="Always" DrawAspect="Content" ObjectID="_1468075729" r:id="rId20">
                  <o:LinkType>EnhancedMetaFile</o:LinkType>
                  <o:LockedField>false</o:LockedField>
                </o:OLEObject>
              </w:object>
            </w:r>
            <w:r>
              <w:rPr>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图4：美国原油</w:t>
                                  </w:r>
                                  <w:r>
                                    <w:rPr>
                                      <w:rFonts w:ascii="微软雅黑" w:hAnsi="微软雅黑" w:eastAsia="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6pt;margin-top:164.95pt;height:23.85pt;width:203.2pt;z-index:251671552;mso-width-relative:page;mso-height-relative:page;" fillcolor="#FFFFFF" filled="t" stroked="f" coordsize="21600,21600" o:gfxdata="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wFWttcAAAALAQAADwAAAAAAAAABACAAAAAiAAAAZHJzL2Rvd25yZXYueG1sUEsBAhQAFAAAAAgA&#10;h07iQDFxgaBfAgAArwQAAA4AAAAAAAAAAQAgAAAAJgEAAGRycy9lMm9Eb2MueG1sUEsFBgAAAAAG&#10;AAYAWQEAAPcFAAAAAA==&#10;">
                      <v:fill on="t" focussize="0,0"/>
                      <v:stroke on="f" weight="0.5pt"/>
                      <v:imagedata o:title=""/>
                      <o:lock v:ext="edit" aspectratio="f"/>
                      <v:textbox>
                        <w:txbxContent>
                          <w:p w14:paraId="54E76F2C">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图4：美国原油</w:t>
                            </w:r>
                            <w:r>
                              <w:rPr>
                                <w:rFonts w:ascii="微软雅黑" w:hAnsi="微软雅黑" w:eastAsia="微软雅黑" w:cs="微软雅黑"/>
                                <w:spacing w:val="25"/>
                                <w:sz w:val="19"/>
                                <w:szCs w:val="19"/>
                                <w:lang w:eastAsia="zh-CN"/>
                              </w:rPr>
                              <w:t>价格</w:t>
                            </w:r>
                          </w:p>
                        </w:txbxContent>
                      </v:textbox>
                    </v:shape>
                  </w:pict>
                </mc:Fallback>
              </mc:AlternateContent>
            </w:r>
            <w:r>
              <w:rPr>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图3：</w:t>
                                  </w:r>
                                  <w:r>
                                    <w:rPr>
                                      <w:rFonts w:ascii="微软雅黑" w:hAnsi="微软雅黑" w:eastAsia="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pt;margin-top:165.8pt;height:22.65pt;width:161.3pt;z-index:251664384;mso-width-relative:page;mso-height-relative:page;" fillcolor="#FFFFFF" filled="t" stroked="f" coordsize="21600,21600" o:gfxdata="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Q&#10;MAF11gAAAAoBAAAPAAAAAAAAAAEAIAAAACIAAABkcnMvZG93bnJldi54bWxQSwECFAAUAAAACACH&#10;TuJA3mHnTl8CAACvBAAADgAAAAAAAAABACAAAAAlAQAAZHJzL2Uyb0RvYy54bWxQSwUGAAAAAAYA&#10;BgBZAQAA9gUAAAAA&#10;">
                      <v:fill on="t" focussize="0,0"/>
                      <v:stroke on="f" weight="0.5pt"/>
                      <v:imagedata o:title=""/>
                      <o:lock v:ext="edit" aspectratio="f"/>
                      <v:textbox>
                        <w:txbxContent>
                          <w:p w14:paraId="2B77E6A7">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图3：</w:t>
                            </w:r>
                            <w:r>
                              <w:rPr>
                                <w:rFonts w:ascii="微软雅黑" w:hAnsi="微软雅黑" w:eastAsia="微软雅黑" w:cs="微软雅黑"/>
                                <w:spacing w:val="25"/>
                                <w:sz w:val="19"/>
                                <w:szCs w:val="19"/>
                                <w:lang w:eastAsia="zh-CN"/>
                              </w:rPr>
                              <w:t>LME铜走势图</w:t>
                            </w:r>
                          </w:p>
                        </w:txbxContent>
                      </v:textbox>
                    </v:shape>
                  </w:pict>
                </mc:Fallback>
              </mc:AlternateContent>
            </w:r>
          </w:p>
        </w:tc>
      </w:tr>
      <w:tr w14:paraId="53E2D544">
        <w:trPr>
          <w:trHeight w:val="4063" w:hRule="atLeast"/>
        </w:trPr>
        <w:tc>
          <w:tcPr>
            <w:tcW w:w="9417" w:type="dxa"/>
          </w:tcPr>
          <w:p w14:paraId="6D904CE5">
            <w:pPr>
              <w:spacing w:line="4053" w:lineRule="exact"/>
              <w:rPr>
                <w:rFonts w:eastAsia="宋体"/>
                <w:lang w:eastAsia="zh-CN"/>
              </w:rPr>
            </w:pPr>
            <w:r>
              <w:rPr>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pPr>
                                    <w:spacing w:before="103" w:line="256" w:lineRule="auto"/>
                                    <w:ind w:right="743"/>
                                    <w:jc w:val="center"/>
                                    <w:rPr>
                                      <w:rFonts w:eastAsia="宋体"/>
                                      <w:lang w:eastAsia="zh-CN"/>
                                    </w:rPr>
                                  </w:pPr>
                                  <w:r>
                                    <w:rPr>
                                      <w:rFonts w:hint="eastAsia" w:eastAsia="宋体"/>
                                      <w:lang w:eastAsia="zh-CN"/>
                                    </w:rPr>
                                    <w:t xml:space="preserve"> </w:t>
                                  </w:r>
                                  <w:r>
                                    <w:rPr>
                                      <w:rFonts w:hint="eastAsia" w:ascii="微软雅黑" w:hAnsi="微软雅黑" w:eastAsia="微软雅黑" w:cs="微软雅黑"/>
                                      <w:spacing w:val="25"/>
                                      <w:sz w:val="19"/>
                                      <w:szCs w:val="19"/>
                                      <w:lang w:eastAsia="zh-CN"/>
                                    </w:rPr>
                                    <w:t>图6：ICE棉花</w:t>
                                  </w:r>
                                  <w:r>
                                    <w:rPr>
                                      <w:rFonts w:hint="eastAsia" w:ascii="微软雅黑" w:hAnsi="微软雅黑" w:eastAsia="微软雅黑" w:cs="微软雅黑"/>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8pt;margin-top:166.4pt;height:33.4pt;width:249.75pt;z-index:251666432;mso-width-relative:page;mso-height-relative:page;" filled="f" stroked="f" coordsize="21600,21600" o:gfxdata="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rNzQ7bAAAACwEAAA8AAAAAAAAAAQAg&#10;AAAAIgAAAGRycy9kb3ducmV2LnhtbFBLAQIUABQAAAAIAIdO4kDcrQciRAIAAHYEAAAOAAAAAAAA&#10;AAEAIAAAACoBAABkcnMvZTJvRG9jLnhtbFBLBQYAAAAABgAGAFkBAADgBQAAAAA=&#10;">
                      <v:fill on="f" focussize="0,0"/>
                      <v:stroke on="f" weight="0.5pt"/>
                      <v:imagedata o:title=""/>
                      <o:lock v:ext="edit" aspectratio="f"/>
                      <v:textbox>
                        <w:txbxContent>
                          <w:p w14:paraId="56A14812">
                            <w:pPr>
                              <w:spacing w:before="103" w:line="256" w:lineRule="auto"/>
                              <w:ind w:right="743"/>
                              <w:jc w:val="center"/>
                              <w:rPr>
                                <w:rFonts w:eastAsia="宋体"/>
                                <w:lang w:eastAsia="zh-CN"/>
                              </w:rPr>
                            </w:pPr>
                            <w:r>
                              <w:rPr>
                                <w:rFonts w:hint="eastAsia" w:eastAsia="宋体"/>
                                <w:lang w:eastAsia="zh-CN"/>
                              </w:rPr>
                              <w:t xml:space="preserve"> </w:t>
                            </w:r>
                            <w:r>
                              <w:rPr>
                                <w:rFonts w:hint="eastAsia" w:ascii="微软雅黑" w:hAnsi="微软雅黑" w:eastAsia="微软雅黑" w:cs="微软雅黑"/>
                                <w:spacing w:val="25"/>
                                <w:sz w:val="19"/>
                                <w:szCs w:val="19"/>
                                <w:lang w:eastAsia="zh-CN"/>
                              </w:rPr>
                              <w:t>图6：ICE棉花</w:t>
                            </w:r>
                            <w:r>
                              <w:rPr>
                                <w:rFonts w:hint="eastAsia" w:ascii="微软雅黑" w:hAnsi="微软雅黑" w:eastAsia="微软雅黑" w:cs="微软雅黑"/>
                                <w:spacing w:val="25"/>
                                <w:sz w:val="19"/>
                                <w:szCs w:val="19"/>
                                <w:lang w:val="zh-CN" w:eastAsia="zh-CN"/>
                              </w:rPr>
                              <w:t>期货主力合约日走势图</w:t>
                            </w:r>
                          </w:p>
                        </w:txbxContent>
                      </v:textbox>
                    </v:shape>
                  </w:pict>
                </mc:Fallback>
              </mc:AlternateContent>
            </w:r>
            <w:r>
              <w:rPr>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图5：ICE</w:t>
                                  </w:r>
                                  <w:r>
                                    <w:rPr>
                                      <w:rFonts w:hint="eastAsia" w:ascii="微软雅黑" w:hAnsi="微软雅黑" w:eastAsia="微软雅黑" w:cs="微软雅黑"/>
                                      <w:spacing w:val="25"/>
                                      <w:sz w:val="19"/>
                                      <w:szCs w:val="19"/>
                                      <w:lang w:val="zh-CN" w:eastAsia="zh-CN"/>
                                    </w:rPr>
                                    <w:t>原糖期货主力</w:t>
                                  </w:r>
                                  <w:r>
                                    <w:rPr>
                                      <w:rFonts w:hint="eastAsia" w:ascii="微软雅黑" w:hAnsi="微软雅黑" w:eastAsia="微软雅黑" w:cs="微软雅黑"/>
                                      <w:spacing w:val="25"/>
                                      <w:sz w:val="19"/>
                                      <w:szCs w:val="19"/>
                                      <w:lang w:eastAsia="zh-CN"/>
                                    </w:rPr>
                                    <w:t>合约</w:t>
                                  </w:r>
                                  <w:r>
                                    <w:rPr>
                                      <w:rFonts w:hint="eastAsia" w:ascii="微软雅黑" w:hAnsi="微软雅黑" w:eastAsia="微软雅黑" w:cs="微软雅黑"/>
                                      <w:spacing w:val="25"/>
                                      <w:sz w:val="19"/>
                                      <w:szCs w:val="19"/>
                                      <w:lang w:val="zh-CN" w:eastAsia="zh-CN"/>
                                    </w:rPr>
                                    <w:t>走势</w:t>
                                  </w:r>
                                  <w:r>
                                    <w:rPr>
                                      <w:rFonts w:hint="eastAsia" w:ascii="微软雅黑" w:hAnsi="微软雅黑" w:eastAsia="微软雅黑" w:cs="微软雅黑"/>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5408;mso-width-relative:page;mso-height-relative:page;" fillcolor="#FFFFFF" filled="t" stroked="f" coordsize="21600,21600" o:gfxdata="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JtXE/VAAAACgEAAA8AAAAAAAAAAQAgAAAAIgAAAGRycy9kb3ducmV2LnhtbFBL&#10;AQIUABQAAAAIAIdO4kDAlMNzawIAALoEAAAOAAAAAAAAAAEAIAAAACQBAABkcnMvZTJvRG9jLnht&#10;bFBLBQYAAAAABgAGAFkBAAABBgAAAAA=&#10;">
                      <v:fill on="t" focussize="0,0"/>
                      <v:stroke on="f" weight="0.5pt"/>
                      <v:imagedata o:title=""/>
                      <o:lock v:ext="edit" aspectratio="f"/>
                      <v:textbox>
                        <w:txbxContent>
                          <w:p w14:paraId="0EF66C08">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图5：ICE</w:t>
                            </w:r>
                            <w:r>
                              <w:rPr>
                                <w:rFonts w:hint="eastAsia" w:ascii="微软雅黑" w:hAnsi="微软雅黑" w:eastAsia="微软雅黑" w:cs="微软雅黑"/>
                                <w:spacing w:val="25"/>
                                <w:sz w:val="19"/>
                                <w:szCs w:val="19"/>
                                <w:lang w:val="zh-CN" w:eastAsia="zh-CN"/>
                              </w:rPr>
                              <w:t>原糖期货主力</w:t>
                            </w:r>
                            <w:r>
                              <w:rPr>
                                <w:rFonts w:hint="eastAsia" w:ascii="微软雅黑" w:hAnsi="微软雅黑" w:eastAsia="微软雅黑" w:cs="微软雅黑"/>
                                <w:spacing w:val="25"/>
                                <w:sz w:val="19"/>
                                <w:szCs w:val="19"/>
                                <w:lang w:eastAsia="zh-CN"/>
                              </w:rPr>
                              <w:t>合约</w:t>
                            </w:r>
                            <w:r>
                              <w:rPr>
                                <w:rFonts w:hint="eastAsia" w:ascii="微软雅黑" w:hAnsi="微软雅黑" w:eastAsia="微软雅黑" w:cs="微软雅黑"/>
                                <w:spacing w:val="25"/>
                                <w:sz w:val="19"/>
                                <w:szCs w:val="19"/>
                                <w:lang w:val="zh-CN" w:eastAsia="zh-CN"/>
                              </w:rPr>
                              <w:t>走势</w:t>
                            </w:r>
                            <w:r>
                              <w:rPr>
                                <w:rFonts w:hint="eastAsia" w:ascii="微软雅黑" w:hAnsi="微软雅黑" w:eastAsia="微软雅黑" w:cs="微软雅黑"/>
                                <w:spacing w:val="25"/>
                                <w:sz w:val="19"/>
                                <w:szCs w:val="19"/>
                                <w:lang w:eastAsia="zh-CN"/>
                              </w:rPr>
                              <w:t>图</w:t>
                            </w:r>
                          </w:p>
                        </w:txbxContent>
                      </v:textbox>
                    </v:shape>
                  </w:pict>
                </mc:Fallback>
              </mc:AlternateContent>
            </w:r>
            <w:r>
              <w:rPr>
                <w:snapToGrid/>
                <w:lang w:eastAsia="zh-CN"/>
              </w:rPr>
              <w:object>
                <v:shape id="_x0000_i1030" o:spt="75" type="#_x0000_t75" style="height:146.05pt;width:234.35pt;" o:ole="t" filled="f" coordsize="21600,21600">
                  <v:path/>
                  <v:fill on="f" focussize="0,0"/>
                  <v:stroke/>
                  <v:imagedata r:id="rId21" o:title=""/>
                  <o:lock v:ext="edit" aspectratio="t"/>
                  <w10:wrap type="none"/>
                  <w10:anchorlock/>
                </v:shape>
                <o:OLEObject Type="Link" ProgID="Excel.Sheet.12" ShapeID="_x0000_i1030" UpdateMode="Always" DrawAspect="Content" ObjectID="_1468075730" r:id="rId22">
                  <o:LinkType>EnhancedMetaFile</o:LinkType>
                  <o:LockedField>false</o:LockedField>
                </o:OLEObject>
              </w:object>
            </w:r>
            <w:r>
              <w:rPr>
                <w:rFonts w:eastAsia="宋体"/>
                <w:lang w:eastAsia="zh-CN"/>
              </w:rPr>
              <w:object>
                <v:shape id="_x0000_i1031" o:spt="75" type="#_x0000_t75" style="height:146.05pt;width:216.7pt;" o:ole="t" filled="f" coordsize="21600,21600">
                  <v:path/>
                  <v:fill on="f" focussize="0,0"/>
                  <v:stroke/>
                  <v:imagedata r:id="rId23" o:title=""/>
                  <o:lock v:ext="edit" aspectratio="t"/>
                  <w10:wrap type="none"/>
                  <w10:anchorlock/>
                </v:shape>
                <o:OLEObject Type="Link" ProgID="Excel.Sheet.12" ShapeID="_x0000_i1031" UpdateMode="Always" DrawAspect="Content" ObjectID="_1468075731" r:id="rId24">
                  <o:LinkType>EnhancedMetaFile</o:LinkType>
                  <o:LockedField>false</o:LockedField>
                </o:OLEObject>
              </w:object>
            </w:r>
          </w:p>
        </w:tc>
      </w:tr>
      <w:tr w14:paraId="1F113141">
        <w:trPr>
          <w:trHeight w:val="4063" w:hRule="atLeast"/>
        </w:trPr>
        <w:tc>
          <w:tcPr>
            <w:tcW w:w="9417" w:type="dxa"/>
          </w:tcPr>
          <w:p w14:paraId="401C7715">
            <w:pPr>
              <w:spacing w:line="4053" w:lineRule="exact"/>
              <w:jc w:val="both"/>
              <w:rPr>
                <w:rFonts w:eastAsia="宋体"/>
                <w:lang w:eastAsia="zh-CN"/>
              </w:rPr>
            </w:pPr>
            <w:r>
              <w:rPr>
                <w:snapToGrid/>
                <w:lang w:eastAsia="zh-CN"/>
              </w:rPr>
              <w:object>
                <v:shape id="_x0000_i1032" o:spt="75" type="#_x0000_t75" style="height:151.45pt;width:233.65pt;" o:ole="t" filled="f" coordsize="21600,21600">
                  <v:path/>
                  <v:fill on="f" focussize="0,0"/>
                  <v:stroke/>
                  <v:imagedata r:id="rId25" o:title=""/>
                  <o:lock v:ext="edit" aspectratio="t"/>
                  <w10:wrap type="none"/>
                  <w10:anchorlock/>
                </v:shape>
                <o:OLEObject Type="Link" ProgID="Excel.Sheet.12" ShapeID="_x0000_i1032" UpdateMode="Always" DrawAspect="Content" ObjectID="_1468075732" r:id="rId26">
                  <o:LinkType>EnhancedMetaFile</o:LinkType>
                  <o:LockedField>false</o:LockedField>
                </o:OLEObject>
              </w:object>
            </w:r>
            <w:r>
              <w:rPr>
                <w:lang w:eastAsia="zh-CN"/>
              </w:rPr>
              <mc:AlternateContent>
                <mc:Choice Requires="wps">
                  <w:drawing>
                    <wp:anchor distT="0" distB="0" distL="114300" distR="114300" simplePos="0" relativeHeight="251667456" behindDoc="0" locked="0" layoutInCell="1" allowOverlap="1">
                      <wp:simplePos x="0" y="0"/>
                      <wp:positionH relativeFrom="column">
                        <wp:posOffset>174625</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69pt;height:24.35pt;width:224.25pt;z-index:251667456;mso-width-relative:page;mso-height-relative:page;" fillcolor="#FFFFFF" filled="t" stroked="f" coordsize="21600,21600" o:gfxdata="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BzNdtYAAAAKAQAADwAAAAAAAAABACAAAAAiAAAAZHJzL2Rvd25yZXYueG1sUEsBAhQAFAAAAAgA&#10;h07iQGgH2AtgAgAArwQAAA4AAAAAAAAAAQAgAAAAJQEAAGRycy9lMm9Eb2MueG1sUEsFBgAAAAAG&#10;AAYAWQEAAPcFAAAAAA==&#10;">
                      <v:fill on="t" focussize="0,0"/>
                      <v:stroke on="f" weight="0.5pt"/>
                      <v:imagedata o:title=""/>
                      <o:lock v:ext="edit" aspectratio="f"/>
                      <v:textbox>
                        <w:txbxContent>
                          <w:p w14:paraId="42434719">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图7：铁矿走势图</w:t>
                            </w:r>
                          </w:p>
                        </w:txbxContent>
                      </v:textbox>
                    </v:shape>
                  </w:pict>
                </mc:Fallback>
              </mc:AlternateContent>
            </w:r>
            <w:r>
              <w:rPr>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5pt;margin-top:167.95pt;height:24.35pt;width:208pt;z-index:251668480;mso-width-relative:page;mso-height-relative:page;" fillcolor="#FFFFFF" filled="t" stroked="f" coordsize="21600,21600" o:gfxdata="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Nn6eNYAAAALAQAADwAAAAAAAAABACAAAAAiAAAAZHJzL2Rvd25yZXYueG1sUEsBAhQAFAAAAAgA&#10;h07iQHTChSpgAgAArwQAAA4AAAAAAAAAAQAgAAAAJQEAAGRycy9lMm9Eb2MueG1sUEsFBgAAAAAG&#10;AAYAWQEAAPcFAAAAAA==&#10;">
                      <v:fill on="t" focussize="0,0"/>
                      <v:stroke on="f" weight="0.5pt"/>
                      <v:imagedata o:title=""/>
                      <o:lock v:ext="edit" aspectratio="f"/>
                      <v:textbox>
                        <w:txbxContent>
                          <w:p w14:paraId="13585726">
                            <w:pPr>
                              <w:jc w:val="center"/>
                              <w:rPr>
                                <w:rFonts w:hint="eastAsia" w:ascii="微软雅黑" w:hAnsi="微软雅黑" w:eastAsia="微软雅黑" w:cs="微软雅黑"/>
                                <w:spacing w:val="25"/>
                                <w:sz w:val="19"/>
                                <w:szCs w:val="19"/>
                                <w:lang w:eastAsia="zh-CN"/>
                              </w:rPr>
                            </w:pPr>
                            <w:r>
                              <w:rPr>
                                <w:rFonts w:hint="eastAsia" w:ascii="微软雅黑" w:hAnsi="微软雅黑" w:eastAsia="微软雅黑" w:cs="微软雅黑"/>
                                <w:spacing w:val="25"/>
                                <w:sz w:val="19"/>
                                <w:szCs w:val="19"/>
                                <w:lang w:eastAsia="zh-CN"/>
                              </w:rPr>
                              <w:t>图8：大豆走势图</w:t>
                            </w:r>
                          </w:p>
                        </w:txbxContent>
                      </v:textbox>
                    </v:shape>
                  </w:pict>
                </mc:Fallback>
              </mc:AlternateContent>
            </w:r>
            <w:r>
              <w:rPr>
                <w:snapToGrid/>
                <w:lang w:eastAsia="zh-CN"/>
              </w:rPr>
              <w:object>
                <v:shape id="_x0000_i1033" o:spt="75" type="#_x0000_t75" style="height:152.85pt;width:223.45pt;" o:ole="t" filled="f" coordsize="21600,21600">
                  <v:path/>
                  <v:fill on="f" focussize="0,0"/>
                  <v:stroke/>
                  <v:imagedata r:id="rId27" o:title=""/>
                  <o:lock v:ext="edit" aspectratio="t"/>
                  <w10:wrap type="none"/>
                  <w10:anchorlock/>
                </v:shape>
                <o:OLEObject Type="Link" ProgID="Excel.Sheet.12" ShapeID="_x0000_i1033" UpdateMode="Always" DrawAspect="Content" ObjectID="_1468075733" r:id="rId28">
                  <o:LinkType>EnhancedMetaFile</o:LinkType>
                  <o:LockedField>false</o:LockedField>
                </o:OLEObject>
              </w:object>
            </w:r>
          </w:p>
        </w:tc>
      </w:tr>
      <w:tr w14:paraId="6E392C8A">
        <w:trPr>
          <w:trHeight w:val="4063" w:hRule="atLeast"/>
        </w:trPr>
        <w:tc>
          <w:tcPr>
            <w:tcW w:w="9417" w:type="dxa"/>
          </w:tcPr>
          <w:p w14:paraId="719B4F2C">
            <w:pPr>
              <w:spacing w:line="4053" w:lineRule="exact"/>
              <w:jc w:val="both"/>
              <w:rPr>
                <w:rFonts w:eastAsia="宋体"/>
                <w:sz w:val="20"/>
                <w:lang w:eastAsia="zh-CN"/>
              </w:rPr>
            </w:pPr>
            <w:r>
              <w:rPr>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pPr>
                                    <w:jc w:val="center"/>
                                    <w:rPr>
                                      <w:rFonts w:hint="eastAsia" w:ascii="微软雅黑" w:hAnsi="微软雅黑" w:eastAsia="微软雅黑" w:cs="微软雅黑"/>
                                      <w:spacing w:val="25"/>
                                      <w:sz w:val="19"/>
                                      <w:szCs w:val="19"/>
                                      <w:lang w:eastAsia="zh-CN"/>
                                    </w:rPr>
                                  </w:pPr>
                                  <w:r>
                                    <w:rPr>
                                      <w:rFonts w:hint="eastAsia" w:eastAsia="宋体"/>
                                      <w:lang w:eastAsia="zh-CN"/>
                                    </w:rPr>
                                    <w:t xml:space="preserve"> </w:t>
                                  </w:r>
                                  <w:r>
                                    <w:rPr>
                                      <w:rFonts w:hint="eastAsia" w:ascii="微软雅黑" w:hAnsi="微软雅黑" w:eastAsia="微软雅黑" w:cs="微软雅黑"/>
                                      <w:spacing w:val="25"/>
                                      <w:sz w:val="19"/>
                                      <w:szCs w:val="19"/>
                                      <w:lang w:eastAsia="zh-CN"/>
                                    </w:rPr>
                                    <w:t>图9：</w:t>
                                  </w:r>
                                  <w:r>
                                    <w:rPr>
                                      <w:rFonts w:ascii="微软雅黑" w:hAnsi="微软雅黑" w:eastAsia="微软雅黑" w:cs="微软雅黑"/>
                                      <w:spacing w:val="25"/>
                                      <w:sz w:val="19"/>
                                      <w:szCs w:val="19"/>
                                      <w:lang w:eastAsia="zh-CN"/>
                                    </w:rPr>
                                    <w:t>美元指数走势</w:t>
                                  </w:r>
                                  <w:r>
                                    <w:rPr>
                                      <w:rFonts w:hint="eastAsia" w:ascii="微软雅黑" w:hAnsi="微软雅黑" w:eastAsia="微软雅黑" w:cs="微软雅黑"/>
                                      <w:spacing w:val="25"/>
                                      <w:sz w:val="19"/>
                                      <w:szCs w:val="19"/>
                                      <w:lang w:eastAsia="zh-CN"/>
                                    </w:rPr>
                                    <w:t>图</w:t>
                                  </w:r>
                                </w:p>
                                <w:p w14:paraId="2A781BEA">
                                  <w:pPr>
                                    <w:jc w:val="center"/>
                                    <w:rPr>
                                      <w:rFonts w:hint="eastAsia" w:ascii="宋体" w:hAnsi="宋体" w:eastAsia="宋体" w:cs="宋体"/>
                                      <w:b/>
                                      <w:bCs/>
                                      <w:sz w:val="20"/>
                                      <w:szCs w:val="20"/>
                                      <w:lang w:eastAsia="zh-CN" w:bidi="ar"/>
                                    </w:rPr>
                                  </w:pPr>
                                </w:p>
                                <w:p w14:paraId="5CD39D86">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170.85pt;height:25.1pt;width:172.5pt;z-index:251669504;mso-width-relative:page;mso-height-relative:page;" fillcolor="#FFFFFF" filled="t" stroked="f" coordsize="21600,21600" o:gfxdata="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e&#10;+ojN1QAAAAoBAAAPAAAAAAAAAAEAIAAAACIAAABkcnMvZG93bnJldi54bWxQSwECFAAUAAAACACH&#10;TuJAqt6tv2ACAACvBAAADgAAAAAAAAABACAAAAAkAQAAZHJzL2Uyb0RvYy54bWxQSwUGAAAAAAYA&#10;BgBZAQAA9gUAAAAA&#10;">
                      <v:fill on="t" focussize="0,0"/>
                      <v:stroke on="f" weight="0.5pt"/>
                      <v:imagedata o:title=""/>
                      <o:lock v:ext="edit" aspectratio="f"/>
                      <v:textbox>
                        <w:txbxContent>
                          <w:p w14:paraId="7F278722">
                            <w:pPr>
                              <w:jc w:val="center"/>
                              <w:rPr>
                                <w:rFonts w:hint="eastAsia" w:ascii="微软雅黑" w:hAnsi="微软雅黑" w:eastAsia="微软雅黑" w:cs="微软雅黑"/>
                                <w:spacing w:val="25"/>
                                <w:sz w:val="19"/>
                                <w:szCs w:val="19"/>
                                <w:lang w:eastAsia="zh-CN"/>
                              </w:rPr>
                            </w:pPr>
                            <w:r>
                              <w:rPr>
                                <w:rFonts w:hint="eastAsia" w:eastAsia="宋体"/>
                                <w:lang w:eastAsia="zh-CN"/>
                              </w:rPr>
                              <w:t xml:space="preserve"> </w:t>
                            </w:r>
                            <w:r>
                              <w:rPr>
                                <w:rFonts w:hint="eastAsia" w:ascii="微软雅黑" w:hAnsi="微软雅黑" w:eastAsia="微软雅黑" w:cs="微软雅黑"/>
                                <w:spacing w:val="25"/>
                                <w:sz w:val="19"/>
                                <w:szCs w:val="19"/>
                                <w:lang w:eastAsia="zh-CN"/>
                              </w:rPr>
                              <w:t>图9：</w:t>
                            </w:r>
                            <w:r>
                              <w:rPr>
                                <w:rFonts w:ascii="微软雅黑" w:hAnsi="微软雅黑" w:eastAsia="微软雅黑" w:cs="微软雅黑"/>
                                <w:spacing w:val="25"/>
                                <w:sz w:val="19"/>
                                <w:szCs w:val="19"/>
                                <w:lang w:eastAsia="zh-CN"/>
                              </w:rPr>
                              <w:t>美元指数走势</w:t>
                            </w:r>
                            <w:r>
                              <w:rPr>
                                <w:rFonts w:hint="eastAsia" w:ascii="微软雅黑" w:hAnsi="微软雅黑" w:eastAsia="微软雅黑" w:cs="微软雅黑"/>
                                <w:spacing w:val="25"/>
                                <w:sz w:val="19"/>
                                <w:szCs w:val="19"/>
                                <w:lang w:eastAsia="zh-CN"/>
                              </w:rPr>
                              <w:t>图</w:t>
                            </w:r>
                          </w:p>
                          <w:p w14:paraId="2A781BEA">
                            <w:pPr>
                              <w:jc w:val="center"/>
                              <w:rPr>
                                <w:rFonts w:hint="eastAsia" w:ascii="宋体" w:hAnsi="宋体" w:eastAsia="宋体" w:cs="宋体"/>
                                <w:b/>
                                <w:bCs/>
                                <w:sz w:val="20"/>
                                <w:szCs w:val="20"/>
                                <w:lang w:eastAsia="zh-CN" w:bidi="ar"/>
                              </w:rPr>
                            </w:pPr>
                          </w:p>
                          <w:p w14:paraId="5CD39D86">
                            <w:pPr>
                              <w:jc w:val="center"/>
                              <w:rPr>
                                <w:rFonts w:eastAsia="宋体"/>
                                <w:lang w:eastAsia="zh-CN"/>
                              </w:rPr>
                            </w:pPr>
                          </w:p>
                        </w:txbxContent>
                      </v:textbox>
                    </v:shape>
                  </w:pict>
                </mc:Fallback>
              </mc:AlternateContent>
            </w:r>
            <w:r>
              <w:rPr>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pPr>
                                    <w:jc w:val="center"/>
                                    <w:rPr>
                                      <w:rFonts w:hint="eastAsia" w:ascii="宋体" w:hAnsi="宋体" w:eastAsia="宋体" w:cs="宋体"/>
                                      <w:b/>
                                      <w:bCs/>
                                      <w:sz w:val="20"/>
                                      <w:szCs w:val="20"/>
                                      <w:lang w:eastAsia="zh-CN" w:bidi="ar"/>
                                    </w:rPr>
                                  </w:pPr>
                                  <w:r>
                                    <w:rPr>
                                      <w:rFonts w:hint="eastAsia" w:eastAsia="宋体"/>
                                      <w:lang w:eastAsia="zh-CN"/>
                                    </w:rPr>
                                    <w:t xml:space="preserve"> </w:t>
                                  </w:r>
                                  <w:r>
                                    <w:rPr>
                                      <w:rFonts w:hint="eastAsia" w:ascii="微软雅黑" w:hAnsi="微软雅黑" w:eastAsia="微软雅黑" w:cs="微软雅黑"/>
                                      <w:spacing w:val="25"/>
                                      <w:sz w:val="19"/>
                                      <w:szCs w:val="19"/>
                                      <w:lang w:eastAsia="zh-CN"/>
                                    </w:rPr>
                                    <w:t>图10：黄金走势图</w:t>
                                  </w:r>
                                </w:p>
                                <w:p w14:paraId="0AADF832">
                                  <w:pPr>
                                    <w:jc w:val="center"/>
                                    <w:rPr>
                                      <w:rFonts w:hint="eastAsia" w:ascii="微软雅黑" w:hAnsi="微软雅黑" w:eastAsia="微软雅黑" w:cs="微软雅黑"/>
                                      <w:spacing w:val="25"/>
                                      <w:sz w:val="19"/>
                                      <w:szCs w:val="19"/>
                                      <w:lang w:eastAsia="zh-CN"/>
                                    </w:rPr>
                                  </w:pPr>
                                </w:p>
                                <w:p w14:paraId="4F175661">
                                  <w:pPr>
                                    <w:jc w:val="center"/>
                                    <w:rPr>
                                      <w:rFonts w:hint="eastAsia" w:ascii="宋体" w:hAnsi="宋体" w:eastAsia="宋体" w:cs="宋体"/>
                                      <w:b/>
                                      <w:bCs/>
                                      <w:sz w:val="20"/>
                                      <w:szCs w:val="20"/>
                                      <w:lang w:eastAsia="zh-CN" w:bidi="ar"/>
                                    </w:rPr>
                                  </w:pPr>
                                </w:p>
                                <w:p w14:paraId="4D59944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3pt;margin-top:170.85pt;height:25.1pt;width:195.7pt;z-index:251670528;mso-width-relative:page;mso-height-relative:page;" fillcolor="#FFFFFF" filled="t" stroked="f" coordsize="21600,21600" o:gfxdata="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XTuIXVAAAACwEAAA8AAAAAAAAAAQAgAAAAIgAAAGRycy9kb3ducmV2LnhtbFBLAQIUABQAAAAI&#10;AIdO4kD0XhfUYgIAAK8EAAAOAAAAAAAAAAEAIAAAACQBAABkcnMvZTJvRG9jLnhtbFBLBQYAAAAA&#10;BgAGAFkBAAD4BQAAAAA=&#10;">
                      <v:fill on="t" focussize="0,0"/>
                      <v:stroke on="f" weight="0.5pt"/>
                      <v:imagedata o:title=""/>
                      <o:lock v:ext="edit" aspectratio="f"/>
                      <v:textbox>
                        <w:txbxContent>
                          <w:p w14:paraId="1A355296">
                            <w:pPr>
                              <w:jc w:val="center"/>
                              <w:rPr>
                                <w:rFonts w:hint="eastAsia" w:ascii="宋体" w:hAnsi="宋体" w:eastAsia="宋体" w:cs="宋体"/>
                                <w:b/>
                                <w:bCs/>
                                <w:sz w:val="20"/>
                                <w:szCs w:val="20"/>
                                <w:lang w:eastAsia="zh-CN" w:bidi="ar"/>
                              </w:rPr>
                            </w:pPr>
                            <w:r>
                              <w:rPr>
                                <w:rFonts w:hint="eastAsia" w:eastAsia="宋体"/>
                                <w:lang w:eastAsia="zh-CN"/>
                              </w:rPr>
                              <w:t xml:space="preserve"> </w:t>
                            </w:r>
                            <w:r>
                              <w:rPr>
                                <w:rFonts w:hint="eastAsia" w:ascii="微软雅黑" w:hAnsi="微软雅黑" w:eastAsia="微软雅黑" w:cs="微软雅黑"/>
                                <w:spacing w:val="25"/>
                                <w:sz w:val="19"/>
                                <w:szCs w:val="19"/>
                                <w:lang w:eastAsia="zh-CN"/>
                              </w:rPr>
                              <w:t>图10：黄金走势图</w:t>
                            </w:r>
                          </w:p>
                          <w:p w14:paraId="0AADF832">
                            <w:pPr>
                              <w:jc w:val="center"/>
                              <w:rPr>
                                <w:rFonts w:hint="eastAsia" w:ascii="微软雅黑" w:hAnsi="微软雅黑" w:eastAsia="微软雅黑" w:cs="微软雅黑"/>
                                <w:spacing w:val="25"/>
                                <w:sz w:val="19"/>
                                <w:szCs w:val="19"/>
                                <w:lang w:eastAsia="zh-CN"/>
                              </w:rPr>
                            </w:pPr>
                          </w:p>
                          <w:p w14:paraId="4F175661">
                            <w:pPr>
                              <w:jc w:val="center"/>
                              <w:rPr>
                                <w:rFonts w:hint="eastAsia" w:ascii="宋体" w:hAnsi="宋体" w:eastAsia="宋体" w:cs="宋体"/>
                                <w:b/>
                                <w:bCs/>
                                <w:sz w:val="20"/>
                                <w:szCs w:val="20"/>
                                <w:lang w:eastAsia="zh-CN" w:bidi="ar"/>
                              </w:rPr>
                            </w:pPr>
                          </w:p>
                          <w:p w14:paraId="4D599444">
                            <w:pPr>
                              <w:jc w:val="center"/>
                              <w:rPr>
                                <w:rFonts w:eastAsia="宋体"/>
                                <w:lang w:eastAsia="zh-CN"/>
                              </w:rPr>
                            </w:pPr>
                          </w:p>
                        </w:txbxContent>
                      </v:textbox>
                    </v:shape>
                  </w:pict>
                </mc:Fallback>
              </mc:AlternateContent>
            </w:r>
            <w:r>
              <w:rPr>
                <w:rFonts w:eastAsia="宋体"/>
                <w:sz w:val="20"/>
                <w:lang w:eastAsia="zh-CN"/>
              </w:rPr>
              <w:object>
                <v:shape id="_x0000_i1034" o:spt="75" type="#_x0000_t75" style="height:146.7pt;width:235pt;" o:ole="t" filled="f" coordsize="21600,21600">
                  <v:path/>
                  <v:fill on="f" focussize="0,0"/>
                  <v:stroke/>
                  <v:imagedata r:id="rId29" o:title=""/>
                  <o:lock v:ext="edit" aspectratio="t"/>
                  <w10:wrap type="none"/>
                  <w10:anchorlock/>
                </v:shape>
                <o:OLEObject Type="Link" ProgID="Excel.Sheet.12" ShapeID="_x0000_i1034" UpdateMode="Always" DrawAspect="Content" ObjectID="_1468075734" r:id="rId30">
                  <o:LinkType>EnhancedMetaFile</o:LinkType>
                  <o:LockedField>false</o:LockedField>
                </o:OLEObject>
              </w:object>
            </w:r>
            <w:r>
              <w:rPr>
                <w:rFonts w:eastAsia="宋体"/>
                <w:sz w:val="20"/>
                <w:lang w:eastAsia="zh-CN"/>
              </w:rPr>
              <w:object>
                <v:shape id="_x0000_i1035" o:spt="75" type="#_x0000_t75" style="height:146.7pt;width:224.85pt;" o:ole="t" filled="f" coordsize="21600,21600">
                  <v:path/>
                  <v:fill on="f" focussize="0,0"/>
                  <v:stroke/>
                  <v:imagedata r:id="rId31" o:title=""/>
                  <o:lock v:ext="edit" aspectratio="t"/>
                  <w10:wrap type="none"/>
                  <w10:anchorlock/>
                </v:shape>
                <o:OLEObject Type="Link" ProgID="Excel.Sheet.12" ShapeID="_x0000_i1035" UpdateMode="Always" DrawAspect="Content" ObjectID="_1468075735" r:id="rId32">
                  <o:LinkType>EnhancedMetaFile</o:LinkType>
                  <o:LockedField>false</o:LockedField>
                </o:OLEObject>
              </w:object>
            </w:r>
          </w:p>
        </w:tc>
      </w:tr>
    </w:tbl>
    <w:p w14:paraId="226E9728">
      <w:pPr>
        <w:spacing w:before="235" w:line="176" w:lineRule="auto"/>
        <w:ind w:firstLine="194" w:firstLineChars="100"/>
        <w:rPr>
          <w:rFonts w:hint="eastAsia" w:ascii="微软雅黑" w:hAnsi="微软雅黑" w:eastAsia="微软雅黑" w:cs="微软雅黑"/>
          <w:spacing w:val="7"/>
          <w:sz w:val="18"/>
          <w:szCs w:val="18"/>
          <w:lang w:eastAsia="zh-CN"/>
        </w:rPr>
      </w:pPr>
      <w:r>
        <w:rPr>
          <w:rFonts w:hint="eastAsia" w:ascii="微软雅黑" w:hAnsi="微软雅黑" w:eastAsia="微软雅黑" w:cs="微软雅黑"/>
          <w:spacing w:val="7"/>
          <w:sz w:val="18"/>
          <w:szCs w:val="18"/>
          <w:lang w:eastAsia="zh-CN"/>
        </w:rPr>
        <w:t>资料源：公开资料整理，瑞达国际</w:t>
      </w:r>
    </w:p>
    <w:p w14:paraId="7127E30D">
      <w:pPr>
        <w:spacing w:before="120" w:line="190" w:lineRule="auto"/>
        <w:rPr>
          <w:rFonts w:hint="eastAsia" w:ascii="微软雅黑" w:hAnsi="微软雅黑" w:eastAsia="微软雅黑" w:cs="微软雅黑"/>
          <w:b/>
          <w:bCs/>
          <w:color w:val="036EB8"/>
          <w:spacing w:val="19"/>
          <w:sz w:val="28"/>
          <w:szCs w:val="28"/>
          <w:lang w:eastAsia="zh-CN"/>
        </w:rPr>
      </w:pPr>
    </w:p>
    <w:p w14:paraId="07D332D6">
      <w:pPr>
        <w:spacing w:before="120" w:line="190" w:lineRule="auto"/>
        <w:rPr>
          <w:rFonts w:hint="eastAsia" w:ascii="微软雅黑" w:hAnsi="微软雅黑" w:eastAsia="微软雅黑" w:cs="微软雅黑"/>
          <w:b/>
          <w:bCs/>
          <w:color w:val="036EB8"/>
          <w:spacing w:val="10"/>
          <w:sz w:val="28"/>
          <w:szCs w:val="28"/>
          <w:lang w:eastAsia="zh-CN"/>
        </w:rPr>
      </w:pPr>
      <w:r>
        <w:rPr>
          <w:snapToGrid/>
        </w:rPr>
        <w:pict>
          <v:shape id="_x0000_i1036" o:spt="75" type="#_x0000_t75" style="height:13.6pt;width:10.2pt;" filled="f" coordsize="21600,21600">
            <v:path/>
            <v:fill on="f" focussize="0,0"/>
            <v:stroke/>
            <v:imagedata r:id="rId33" o:title=""/>
            <o:lock v:ext="edit" aspectratio="t"/>
            <w10:wrap type="none"/>
            <w10:anchorlock/>
          </v:shape>
        </w:pict>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eastAsia="zh-CN"/>
        </w:rPr>
        <w:t>本周热点日程</w:t>
      </w:r>
    </w:p>
    <w:p w14:paraId="657AABBF">
      <w:pPr>
        <w:spacing w:before="120" w:line="190" w:lineRule="auto"/>
        <w:rPr>
          <w:rFonts w:hint="eastAsia" w:ascii="微软雅黑" w:hAnsi="微软雅黑" w:eastAsia="微软雅黑" w:cs="微软雅黑"/>
          <w:b/>
          <w:bCs/>
          <w:color w:val="036EB8"/>
          <w:spacing w:val="10"/>
          <w:sz w:val="28"/>
          <w:szCs w:val="28"/>
          <w:lang w:eastAsia="zh-CN"/>
        </w:rPr>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31"/>
        <w:gridCol w:w="1314"/>
        <w:gridCol w:w="6344"/>
      </w:tblGrid>
      <w:tr w14:paraId="0817D17F">
        <w:trPr>
          <w:trHeight w:val="620" w:hRule="atLeast"/>
        </w:trPr>
        <w:tc>
          <w:tcPr>
            <w:tcW w:w="3045" w:type="dxa"/>
            <w:gridSpan w:val="2"/>
            <w:shd w:val="clear" w:color="auto" w:fill="3D85C1"/>
          </w:tcPr>
          <w:p w14:paraId="4C51E062">
            <w:pPr>
              <w:pStyle w:val="11"/>
              <w:spacing w:before="221" w:line="182" w:lineRule="auto"/>
              <w:ind w:left="1142"/>
              <w:rPr>
                <w:rFonts w:hint="eastAsia"/>
                <w:sz w:val="19"/>
                <w:szCs w:val="19"/>
              </w:rPr>
            </w:pPr>
            <w:r>
              <w:rPr>
                <w:b/>
                <w:bCs/>
                <w:sz w:val="19"/>
                <w:szCs w:val="19"/>
                <w:lang w:eastAsia="zh-CN"/>
              </w:rPr>
              <w:t>时间</w:t>
            </w:r>
          </w:p>
        </w:tc>
        <w:tc>
          <w:tcPr>
            <w:tcW w:w="6344" w:type="dxa"/>
            <w:shd w:val="clear" w:color="auto" w:fill="3D85C1"/>
          </w:tcPr>
          <w:p w14:paraId="7C19E29E">
            <w:pPr>
              <w:pStyle w:val="11"/>
              <w:spacing w:before="221" w:line="195" w:lineRule="auto"/>
              <w:jc w:val="center"/>
              <w:rPr>
                <w:rFonts w:hint="eastAsia"/>
                <w:b/>
                <w:bCs/>
                <w:sz w:val="19"/>
                <w:szCs w:val="19"/>
                <w:lang w:eastAsia="zh-CN"/>
              </w:rPr>
            </w:pPr>
            <w:r>
              <w:rPr>
                <w:b/>
                <w:bCs/>
                <w:sz w:val="19"/>
                <w:szCs w:val="19"/>
                <w:lang w:eastAsia="zh-CN"/>
              </w:rPr>
              <w:t>数据/事件</w:t>
            </w:r>
          </w:p>
        </w:tc>
      </w:tr>
      <w:tr w14:paraId="475FDE2D">
        <w:trPr>
          <w:trHeight w:val="620" w:hRule="atLeast"/>
        </w:trPr>
        <w:tc>
          <w:tcPr>
            <w:tcW w:w="1731" w:type="dxa"/>
          </w:tcPr>
          <w:p w14:paraId="6F0C96C7">
            <w:pPr>
              <w:pStyle w:val="11"/>
              <w:spacing w:before="221" w:line="180" w:lineRule="auto"/>
              <w:jc w:val="center"/>
              <w:rPr>
                <w:rFonts w:hint="eastAsia"/>
                <w:b/>
                <w:bCs/>
                <w:sz w:val="19"/>
                <w:szCs w:val="19"/>
                <w:lang w:eastAsia="zh-CN"/>
              </w:rPr>
            </w:pPr>
            <w:bookmarkStart w:id="0" w:name="_Hlk186443750"/>
            <w:r>
              <w:rPr>
                <w:b/>
                <w:bCs/>
                <w:sz w:val="19"/>
                <w:szCs w:val="19"/>
                <w:lang w:eastAsia="zh-CN"/>
              </w:rPr>
              <w:t>2025/12/1</w:t>
            </w:r>
          </w:p>
        </w:tc>
        <w:tc>
          <w:tcPr>
            <w:tcW w:w="1314" w:type="dxa"/>
          </w:tcPr>
          <w:p w14:paraId="5101373E">
            <w:pPr>
              <w:pStyle w:val="11"/>
              <w:spacing w:before="221" w:line="180" w:lineRule="auto"/>
              <w:jc w:val="center"/>
              <w:rPr>
                <w:rFonts w:hint="eastAsia"/>
                <w:b/>
                <w:bCs/>
                <w:sz w:val="19"/>
                <w:szCs w:val="19"/>
                <w:lang w:eastAsia="zh-CN"/>
              </w:rPr>
            </w:pPr>
            <w:r>
              <w:rPr>
                <w:b/>
                <w:bCs/>
                <w:sz w:val="19"/>
                <w:szCs w:val="19"/>
                <w:lang w:eastAsia="zh-CN"/>
              </w:rPr>
              <w:t>9:05</w:t>
            </w:r>
          </w:p>
        </w:tc>
        <w:tc>
          <w:tcPr>
            <w:tcW w:w="6344" w:type="dxa"/>
          </w:tcPr>
          <w:p w14:paraId="36B1358B">
            <w:pPr>
              <w:pStyle w:val="11"/>
              <w:spacing w:before="221" w:line="180" w:lineRule="auto"/>
              <w:jc w:val="center"/>
              <w:rPr>
                <w:rFonts w:hint="eastAsia"/>
                <w:b/>
                <w:bCs/>
                <w:sz w:val="19"/>
                <w:szCs w:val="19"/>
                <w:lang w:eastAsia="zh-CN"/>
              </w:rPr>
            </w:pPr>
            <w:r>
              <w:rPr>
                <w:b/>
                <w:bCs/>
                <w:sz w:val="19"/>
                <w:szCs w:val="19"/>
                <w:lang w:eastAsia="zh-CN"/>
              </w:rPr>
              <w:t>日本央行行长植田和男发表讲话</w:t>
            </w:r>
          </w:p>
        </w:tc>
      </w:tr>
      <w:bookmarkEnd w:id="0"/>
      <w:tr w14:paraId="538C5248">
        <w:trPr>
          <w:trHeight w:val="620" w:hRule="atLeast"/>
        </w:trPr>
        <w:tc>
          <w:tcPr>
            <w:tcW w:w="1731" w:type="dxa"/>
            <w:shd w:val="clear" w:color="auto" w:fill="DAE3F4" w:themeFill="accent1" w:themeFillTint="33"/>
          </w:tcPr>
          <w:p w14:paraId="5F62248C">
            <w:pPr>
              <w:pStyle w:val="11"/>
              <w:spacing w:before="221" w:line="180" w:lineRule="auto"/>
              <w:jc w:val="center"/>
              <w:rPr>
                <w:rFonts w:hint="eastAsia"/>
                <w:b/>
                <w:bCs/>
                <w:sz w:val="19"/>
                <w:szCs w:val="19"/>
                <w:lang w:eastAsia="zh-CN"/>
              </w:rPr>
            </w:pPr>
            <w:r>
              <w:rPr>
                <w:b/>
                <w:bCs/>
                <w:sz w:val="19"/>
                <w:szCs w:val="19"/>
                <w:lang w:eastAsia="zh-CN"/>
              </w:rPr>
              <w:t>2025/12/1</w:t>
            </w:r>
          </w:p>
        </w:tc>
        <w:tc>
          <w:tcPr>
            <w:tcW w:w="1314" w:type="dxa"/>
            <w:shd w:val="clear" w:color="auto" w:fill="DAE3F4" w:themeFill="accent1" w:themeFillTint="33"/>
          </w:tcPr>
          <w:p w14:paraId="5320F104">
            <w:pPr>
              <w:pStyle w:val="11"/>
              <w:spacing w:before="221" w:line="180" w:lineRule="auto"/>
              <w:jc w:val="center"/>
              <w:rPr>
                <w:rFonts w:hint="eastAsia"/>
                <w:b/>
                <w:bCs/>
                <w:sz w:val="19"/>
                <w:szCs w:val="19"/>
                <w:lang w:eastAsia="zh-CN"/>
              </w:rPr>
            </w:pPr>
            <w:r>
              <w:rPr>
                <w:b/>
                <w:bCs/>
                <w:sz w:val="19"/>
                <w:szCs w:val="19"/>
                <w:lang w:eastAsia="zh-CN"/>
              </w:rPr>
              <w:t>23:00</w:t>
            </w:r>
          </w:p>
        </w:tc>
        <w:tc>
          <w:tcPr>
            <w:tcW w:w="6344" w:type="dxa"/>
            <w:shd w:val="clear" w:color="auto" w:fill="DAE3F4" w:themeFill="accent1" w:themeFillTint="33"/>
          </w:tcPr>
          <w:p w14:paraId="31CAFE58">
            <w:pPr>
              <w:pStyle w:val="11"/>
              <w:spacing w:before="221" w:line="180" w:lineRule="auto"/>
              <w:jc w:val="center"/>
              <w:rPr>
                <w:rFonts w:hint="eastAsia"/>
                <w:b/>
                <w:bCs/>
                <w:sz w:val="19"/>
                <w:szCs w:val="19"/>
                <w:lang w:eastAsia="zh-CN"/>
              </w:rPr>
            </w:pPr>
            <w:r>
              <w:rPr>
                <w:b/>
                <w:bCs/>
                <w:sz w:val="19"/>
                <w:szCs w:val="19"/>
                <w:lang w:eastAsia="zh-CN"/>
              </w:rPr>
              <w:t>美国 11 月 ISM 制造业 PMI</w:t>
            </w:r>
          </w:p>
        </w:tc>
      </w:tr>
      <w:tr w14:paraId="1E0205C1">
        <w:trPr>
          <w:trHeight w:val="620" w:hRule="atLeast"/>
        </w:trPr>
        <w:tc>
          <w:tcPr>
            <w:tcW w:w="1731" w:type="dxa"/>
          </w:tcPr>
          <w:p w14:paraId="0F6E7AAC">
            <w:pPr>
              <w:pStyle w:val="11"/>
              <w:spacing w:before="221" w:line="180" w:lineRule="auto"/>
              <w:jc w:val="center"/>
              <w:rPr>
                <w:rFonts w:hint="eastAsia"/>
                <w:b/>
                <w:bCs/>
                <w:sz w:val="19"/>
                <w:szCs w:val="19"/>
                <w:lang w:eastAsia="zh-CN"/>
              </w:rPr>
            </w:pPr>
            <w:r>
              <w:rPr>
                <w:b/>
                <w:bCs/>
                <w:sz w:val="19"/>
                <w:szCs w:val="19"/>
                <w:lang w:eastAsia="zh-CN"/>
              </w:rPr>
              <w:t>2025/12/2</w:t>
            </w:r>
          </w:p>
        </w:tc>
        <w:tc>
          <w:tcPr>
            <w:tcW w:w="1314" w:type="dxa"/>
          </w:tcPr>
          <w:p w14:paraId="1C64C080">
            <w:pPr>
              <w:pStyle w:val="11"/>
              <w:spacing w:before="221" w:line="180" w:lineRule="auto"/>
              <w:jc w:val="center"/>
              <w:rPr>
                <w:rFonts w:hint="eastAsia"/>
                <w:b/>
                <w:bCs/>
                <w:sz w:val="19"/>
                <w:szCs w:val="19"/>
                <w:lang w:eastAsia="zh-CN"/>
              </w:rPr>
            </w:pPr>
            <w:r>
              <w:rPr>
                <w:b/>
                <w:bCs/>
                <w:sz w:val="19"/>
                <w:szCs w:val="19"/>
                <w:lang w:eastAsia="zh-CN"/>
              </w:rPr>
              <w:t>9:00</w:t>
            </w:r>
            <w:r>
              <w:rPr>
                <w:b/>
                <w:bCs/>
                <w:sz w:val="19"/>
                <w:szCs w:val="19"/>
                <w:lang w:eastAsia="zh-CN"/>
              </w:rPr>
              <w:tab/>
            </w:r>
          </w:p>
        </w:tc>
        <w:tc>
          <w:tcPr>
            <w:tcW w:w="6344" w:type="dxa"/>
          </w:tcPr>
          <w:p w14:paraId="6039A1D3">
            <w:pPr>
              <w:pStyle w:val="11"/>
              <w:spacing w:before="221" w:line="180" w:lineRule="auto"/>
              <w:jc w:val="center"/>
              <w:rPr>
                <w:rFonts w:hint="eastAsia"/>
                <w:b/>
                <w:bCs/>
                <w:sz w:val="19"/>
                <w:szCs w:val="19"/>
                <w:lang w:eastAsia="zh-CN"/>
              </w:rPr>
            </w:pPr>
            <w:r>
              <w:rPr>
                <w:b/>
                <w:bCs/>
                <w:sz w:val="19"/>
                <w:szCs w:val="19"/>
                <w:lang w:eastAsia="zh-CN"/>
              </w:rPr>
              <w:t>美联储主席鲍威尔在纪念活动中发表讲话</w:t>
            </w:r>
          </w:p>
        </w:tc>
      </w:tr>
      <w:tr w14:paraId="46C9FBB6">
        <w:trPr>
          <w:trHeight w:val="619" w:hRule="atLeast"/>
        </w:trPr>
        <w:tc>
          <w:tcPr>
            <w:tcW w:w="1731" w:type="dxa"/>
            <w:shd w:val="clear" w:color="auto" w:fill="DAE3F4" w:themeFill="accent1" w:themeFillTint="33"/>
          </w:tcPr>
          <w:p w14:paraId="4EA37862">
            <w:pPr>
              <w:pStyle w:val="11"/>
              <w:spacing w:before="221" w:line="180" w:lineRule="auto"/>
              <w:jc w:val="center"/>
              <w:rPr>
                <w:rFonts w:hint="eastAsia"/>
                <w:b/>
                <w:bCs/>
                <w:sz w:val="19"/>
                <w:szCs w:val="19"/>
                <w:lang w:eastAsia="zh-CN"/>
              </w:rPr>
            </w:pPr>
            <w:r>
              <w:rPr>
                <w:b/>
                <w:bCs/>
                <w:sz w:val="19"/>
                <w:szCs w:val="19"/>
                <w:lang w:eastAsia="zh-CN"/>
              </w:rPr>
              <w:t>2025/12/2</w:t>
            </w:r>
          </w:p>
        </w:tc>
        <w:tc>
          <w:tcPr>
            <w:tcW w:w="1314" w:type="dxa"/>
            <w:shd w:val="clear" w:color="auto" w:fill="DAE3F4" w:themeFill="accent1" w:themeFillTint="33"/>
          </w:tcPr>
          <w:p w14:paraId="704E1513">
            <w:pPr>
              <w:pStyle w:val="11"/>
              <w:spacing w:before="221" w:line="180" w:lineRule="auto"/>
              <w:jc w:val="center"/>
              <w:rPr>
                <w:rFonts w:hint="eastAsia"/>
                <w:b/>
                <w:bCs/>
                <w:sz w:val="19"/>
                <w:szCs w:val="19"/>
                <w:lang w:eastAsia="zh-CN"/>
              </w:rPr>
            </w:pPr>
            <w:r>
              <w:rPr>
                <w:b/>
                <w:bCs/>
                <w:sz w:val="19"/>
                <w:szCs w:val="19"/>
                <w:lang w:eastAsia="zh-CN"/>
              </w:rPr>
              <w:t>18:00</w:t>
            </w:r>
          </w:p>
        </w:tc>
        <w:tc>
          <w:tcPr>
            <w:tcW w:w="6344" w:type="dxa"/>
            <w:shd w:val="clear" w:color="auto" w:fill="DAE3F4" w:themeFill="accent1" w:themeFillTint="33"/>
          </w:tcPr>
          <w:p w14:paraId="7E8B730F">
            <w:pPr>
              <w:pStyle w:val="11"/>
              <w:spacing w:before="221" w:line="180" w:lineRule="auto"/>
              <w:jc w:val="center"/>
              <w:rPr>
                <w:rFonts w:hint="eastAsia"/>
                <w:b/>
                <w:bCs/>
                <w:sz w:val="19"/>
                <w:szCs w:val="19"/>
                <w:lang w:eastAsia="zh-CN"/>
              </w:rPr>
            </w:pPr>
            <w:r>
              <w:rPr>
                <w:b/>
                <w:bCs/>
                <w:sz w:val="19"/>
                <w:szCs w:val="19"/>
                <w:lang w:eastAsia="zh-CN"/>
              </w:rPr>
              <w:t>欧元区 11 月 CPI 初值</w:t>
            </w:r>
          </w:p>
        </w:tc>
      </w:tr>
      <w:tr w14:paraId="6C30757D">
        <w:trPr>
          <w:trHeight w:val="619" w:hRule="atLeast"/>
        </w:trPr>
        <w:tc>
          <w:tcPr>
            <w:tcW w:w="1731" w:type="dxa"/>
            <w:shd w:val="clear" w:color="auto" w:fill="FFFFFF" w:themeFill="background1"/>
          </w:tcPr>
          <w:p w14:paraId="2A9A16F8">
            <w:pPr>
              <w:pStyle w:val="11"/>
              <w:spacing w:before="221" w:line="180" w:lineRule="auto"/>
              <w:jc w:val="center"/>
              <w:rPr>
                <w:rFonts w:hint="eastAsia"/>
                <w:b/>
                <w:bCs/>
                <w:sz w:val="19"/>
                <w:szCs w:val="19"/>
                <w:lang w:eastAsia="zh-CN"/>
              </w:rPr>
            </w:pPr>
            <w:r>
              <w:rPr>
                <w:b/>
                <w:bCs/>
                <w:sz w:val="19"/>
                <w:szCs w:val="19"/>
                <w:lang w:eastAsia="zh-CN"/>
              </w:rPr>
              <w:t>2025/12/2</w:t>
            </w:r>
          </w:p>
        </w:tc>
        <w:tc>
          <w:tcPr>
            <w:tcW w:w="1314" w:type="dxa"/>
            <w:shd w:val="clear" w:color="auto" w:fill="FFFFFF" w:themeFill="background1"/>
          </w:tcPr>
          <w:p w14:paraId="746FFD36">
            <w:pPr>
              <w:pStyle w:val="11"/>
              <w:spacing w:before="221" w:line="180" w:lineRule="auto"/>
              <w:jc w:val="center"/>
              <w:rPr>
                <w:rFonts w:hint="eastAsia"/>
                <w:b/>
                <w:bCs/>
                <w:sz w:val="19"/>
                <w:szCs w:val="19"/>
                <w:lang w:eastAsia="zh-CN"/>
              </w:rPr>
            </w:pPr>
            <w:r>
              <w:rPr>
                <w:b/>
                <w:bCs/>
                <w:sz w:val="19"/>
                <w:szCs w:val="19"/>
                <w:lang w:eastAsia="zh-CN"/>
              </w:rPr>
              <w:t>18:00</w:t>
            </w:r>
          </w:p>
        </w:tc>
        <w:tc>
          <w:tcPr>
            <w:tcW w:w="6344" w:type="dxa"/>
            <w:shd w:val="clear" w:color="auto" w:fill="FFFFFF" w:themeFill="background1"/>
          </w:tcPr>
          <w:p w14:paraId="0751E7A6">
            <w:pPr>
              <w:pStyle w:val="11"/>
              <w:spacing w:before="221" w:line="180" w:lineRule="auto"/>
              <w:jc w:val="center"/>
              <w:rPr>
                <w:rFonts w:hint="eastAsia"/>
                <w:b/>
                <w:bCs/>
                <w:sz w:val="19"/>
                <w:szCs w:val="19"/>
                <w:lang w:eastAsia="zh-CN"/>
              </w:rPr>
            </w:pPr>
            <w:r>
              <w:rPr>
                <w:b/>
                <w:bCs/>
                <w:sz w:val="19"/>
                <w:szCs w:val="19"/>
                <w:lang w:eastAsia="zh-CN"/>
              </w:rPr>
              <w:t>欧元区 10 月失业率</w:t>
            </w:r>
          </w:p>
        </w:tc>
      </w:tr>
      <w:tr w14:paraId="677C6886">
        <w:trPr>
          <w:trHeight w:val="618" w:hRule="atLeast"/>
        </w:trPr>
        <w:tc>
          <w:tcPr>
            <w:tcW w:w="1731" w:type="dxa"/>
            <w:shd w:val="clear" w:color="auto" w:fill="DAE3F4" w:themeFill="accent1" w:themeFillTint="33"/>
          </w:tcPr>
          <w:p w14:paraId="72A74C80">
            <w:pPr>
              <w:pStyle w:val="11"/>
              <w:spacing w:before="221" w:line="180" w:lineRule="auto"/>
              <w:jc w:val="center"/>
              <w:rPr>
                <w:rFonts w:hint="eastAsia"/>
                <w:b/>
                <w:bCs/>
                <w:sz w:val="19"/>
                <w:szCs w:val="19"/>
                <w:lang w:eastAsia="zh-CN"/>
              </w:rPr>
            </w:pPr>
            <w:r>
              <w:rPr>
                <w:b/>
                <w:bCs/>
                <w:sz w:val="19"/>
                <w:szCs w:val="19"/>
                <w:lang w:eastAsia="zh-CN"/>
              </w:rPr>
              <w:t>2025/12/3</w:t>
            </w:r>
          </w:p>
        </w:tc>
        <w:tc>
          <w:tcPr>
            <w:tcW w:w="1314" w:type="dxa"/>
            <w:shd w:val="clear" w:color="auto" w:fill="DAE3F4" w:themeFill="accent1" w:themeFillTint="33"/>
          </w:tcPr>
          <w:p w14:paraId="172EC0E4">
            <w:pPr>
              <w:pStyle w:val="11"/>
              <w:spacing w:before="221" w:line="180" w:lineRule="auto"/>
              <w:jc w:val="center"/>
              <w:rPr>
                <w:rFonts w:hint="eastAsia"/>
                <w:b/>
                <w:bCs/>
                <w:sz w:val="19"/>
                <w:szCs w:val="19"/>
                <w:lang w:eastAsia="zh-CN"/>
              </w:rPr>
            </w:pPr>
            <w:r>
              <w:rPr>
                <w:b/>
                <w:bCs/>
                <w:sz w:val="19"/>
                <w:szCs w:val="19"/>
                <w:lang w:eastAsia="zh-CN"/>
              </w:rPr>
              <w:t>16:30</w:t>
            </w:r>
          </w:p>
        </w:tc>
        <w:tc>
          <w:tcPr>
            <w:tcW w:w="6344" w:type="dxa"/>
            <w:shd w:val="clear" w:color="auto" w:fill="DAE3F4" w:themeFill="accent1" w:themeFillTint="33"/>
          </w:tcPr>
          <w:p w14:paraId="77AA9E00">
            <w:pPr>
              <w:pStyle w:val="11"/>
              <w:spacing w:before="221" w:line="180" w:lineRule="auto"/>
              <w:jc w:val="center"/>
              <w:rPr>
                <w:rFonts w:hint="eastAsia"/>
                <w:b/>
                <w:bCs/>
                <w:sz w:val="19"/>
                <w:szCs w:val="19"/>
                <w:lang w:eastAsia="zh-CN"/>
              </w:rPr>
            </w:pPr>
            <w:r>
              <w:rPr>
                <w:b/>
                <w:bCs/>
                <w:sz w:val="19"/>
                <w:szCs w:val="19"/>
                <w:lang w:eastAsia="zh-CN"/>
              </w:rPr>
              <w:t>欧洲央行行长拉加德讲话</w:t>
            </w:r>
          </w:p>
        </w:tc>
      </w:tr>
      <w:tr w14:paraId="1BBF2C4A">
        <w:trPr>
          <w:trHeight w:val="618" w:hRule="atLeast"/>
        </w:trPr>
        <w:tc>
          <w:tcPr>
            <w:tcW w:w="1731" w:type="dxa"/>
            <w:shd w:val="clear" w:color="auto" w:fill="FFFFFF" w:themeFill="background1"/>
          </w:tcPr>
          <w:p w14:paraId="70E4A641">
            <w:pPr>
              <w:pStyle w:val="11"/>
              <w:spacing w:before="221" w:line="180" w:lineRule="auto"/>
              <w:jc w:val="center"/>
              <w:rPr>
                <w:rFonts w:hint="eastAsia"/>
                <w:b/>
                <w:bCs/>
                <w:sz w:val="19"/>
                <w:szCs w:val="19"/>
                <w:lang w:eastAsia="zh-CN"/>
              </w:rPr>
            </w:pPr>
            <w:r>
              <w:rPr>
                <w:b/>
                <w:bCs/>
                <w:sz w:val="19"/>
                <w:szCs w:val="19"/>
                <w:lang w:eastAsia="zh-CN"/>
              </w:rPr>
              <w:t>2025/12/3</w:t>
            </w:r>
          </w:p>
        </w:tc>
        <w:tc>
          <w:tcPr>
            <w:tcW w:w="1314" w:type="dxa"/>
            <w:shd w:val="clear" w:color="auto" w:fill="FFFFFF" w:themeFill="background1"/>
          </w:tcPr>
          <w:p w14:paraId="0ECB01F7">
            <w:pPr>
              <w:pStyle w:val="11"/>
              <w:spacing w:before="221" w:line="180" w:lineRule="auto"/>
              <w:jc w:val="center"/>
              <w:rPr>
                <w:rFonts w:hint="eastAsia"/>
                <w:b/>
                <w:bCs/>
                <w:sz w:val="19"/>
                <w:szCs w:val="19"/>
                <w:lang w:eastAsia="zh-CN"/>
              </w:rPr>
            </w:pPr>
            <w:r>
              <w:rPr>
                <w:b/>
                <w:bCs/>
                <w:sz w:val="19"/>
                <w:szCs w:val="19"/>
                <w:lang w:eastAsia="zh-CN"/>
              </w:rPr>
              <w:t>21:15</w:t>
            </w:r>
          </w:p>
        </w:tc>
        <w:tc>
          <w:tcPr>
            <w:tcW w:w="6344" w:type="dxa"/>
            <w:shd w:val="clear" w:color="auto" w:fill="FFFFFF" w:themeFill="background1"/>
          </w:tcPr>
          <w:p w14:paraId="1D1723A5">
            <w:pPr>
              <w:pStyle w:val="11"/>
              <w:spacing w:before="221" w:line="180" w:lineRule="auto"/>
              <w:jc w:val="center"/>
              <w:rPr>
                <w:rFonts w:hint="eastAsia"/>
                <w:b/>
                <w:bCs/>
                <w:sz w:val="19"/>
                <w:szCs w:val="19"/>
                <w:lang w:eastAsia="zh-CN"/>
              </w:rPr>
            </w:pPr>
            <w:r>
              <w:rPr>
                <w:b/>
                <w:bCs/>
                <w:sz w:val="19"/>
                <w:szCs w:val="19"/>
                <w:lang w:eastAsia="zh-CN"/>
              </w:rPr>
              <w:t>美国 11 月 ADP 就业人数变动</w:t>
            </w:r>
          </w:p>
        </w:tc>
      </w:tr>
      <w:tr w14:paraId="0F613625">
        <w:trPr>
          <w:trHeight w:val="618" w:hRule="atLeast"/>
        </w:trPr>
        <w:tc>
          <w:tcPr>
            <w:tcW w:w="1731" w:type="dxa"/>
            <w:shd w:val="clear" w:color="auto" w:fill="DAE3F4" w:themeFill="accent1" w:themeFillTint="33"/>
          </w:tcPr>
          <w:p w14:paraId="4BC53B8C">
            <w:pPr>
              <w:pStyle w:val="11"/>
              <w:spacing w:before="221" w:line="180" w:lineRule="auto"/>
              <w:jc w:val="center"/>
              <w:rPr>
                <w:rFonts w:hint="eastAsia"/>
                <w:b/>
                <w:bCs/>
                <w:sz w:val="19"/>
                <w:szCs w:val="19"/>
                <w:lang w:eastAsia="zh-CN"/>
              </w:rPr>
            </w:pPr>
            <w:r>
              <w:rPr>
                <w:b/>
                <w:bCs/>
                <w:sz w:val="19"/>
                <w:szCs w:val="19"/>
                <w:lang w:eastAsia="zh-CN"/>
              </w:rPr>
              <w:t>2025/12/4</w:t>
            </w:r>
          </w:p>
        </w:tc>
        <w:tc>
          <w:tcPr>
            <w:tcW w:w="1314" w:type="dxa"/>
            <w:shd w:val="clear" w:color="auto" w:fill="DAE3F4" w:themeFill="accent1" w:themeFillTint="33"/>
          </w:tcPr>
          <w:p w14:paraId="688A4F89">
            <w:pPr>
              <w:pStyle w:val="11"/>
              <w:spacing w:before="221" w:line="180" w:lineRule="auto"/>
              <w:jc w:val="center"/>
              <w:rPr>
                <w:rFonts w:hint="eastAsia"/>
                <w:b/>
                <w:bCs/>
                <w:sz w:val="19"/>
                <w:szCs w:val="19"/>
                <w:lang w:eastAsia="zh-CN"/>
              </w:rPr>
            </w:pPr>
            <w:r>
              <w:rPr>
                <w:b/>
                <w:bCs/>
                <w:sz w:val="19"/>
                <w:szCs w:val="19"/>
                <w:lang w:eastAsia="zh-CN"/>
              </w:rPr>
              <w:t>18:00</w:t>
            </w:r>
          </w:p>
        </w:tc>
        <w:tc>
          <w:tcPr>
            <w:tcW w:w="6344" w:type="dxa"/>
            <w:shd w:val="clear" w:color="auto" w:fill="DAE3F4" w:themeFill="accent1" w:themeFillTint="33"/>
          </w:tcPr>
          <w:p w14:paraId="1D1A2745">
            <w:pPr>
              <w:pStyle w:val="11"/>
              <w:spacing w:before="221" w:line="180" w:lineRule="auto"/>
              <w:jc w:val="center"/>
              <w:rPr>
                <w:rFonts w:hint="eastAsia"/>
                <w:b/>
                <w:bCs/>
                <w:sz w:val="19"/>
                <w:szCs w:val="19"/>
                <w:lang w:eastAsia="zh-CN"/>
              </w:rPr>
            </w:pPr>
            <w:r>
              <w:rPr>
                <w:b/>
                <w:bCs/>
                <w:sz w:val="19"/>
                <w:szCs w:val="19"/>
                <w:lang w:eastAsia="zh-CN"/>
              </w:rPr>
              <w:t>欧元区 10 月零售销售</w:t>
            </w:r>
          </w:p>
        </w:tc>
      </w:tr>
      <w:tr w14:paraId="3525D363">
        <w:trPr>
          <w:trHeight w:val="618" w:hRule="atLeast"/>
        </w:trPr>
        <w:tc>
          <w:tcPr>
            <w:tcW w:w="1731" w:type="dxa"/>
            <w:shd w:val="clear" w:color="auto" w:fill="FFFFFF" w:themeFill="background1"/>
          </w:tcPr>
          <w:p w14:paraId="46B08BDC">
            <w:pPr>
              <w:pStyle w:val="11"/>
              <w:spacing w:before="221" w:line="180" w:lineRule="auto"/>
              <w:jc w:val="center"/>
              <w:rPr>
                <w:rFonts w:hint="eastAsia"/>
                <w:b/>
                <w:bCs/>
                <w:sz w:val="19"/>
                <w:szCs w:val="19"/>
                <w:lang w:eastAsia="zh-CN"/>
              </w:rPr>
            </w:pPr>
            <w:r>
              <w:rPr>
                <w:b/>
                <w:bCs/>
                <w:sz w:val="19"/>
                <w:szCs w:val="19"/>
                <w:lang w:eastAsia="zh-CN"/>
              </w:rPr>
              <w:t>2025/12/4</w:t>
            </w:r>
          </w:p>
        </w:tc>
        <w:tc>
          <w:tcPr>
            <w:tcW w:w="1314" w:type="dxa"/>
            <w:shd w:val="clear" w:color="auto" w:fill="FFFFFF" w:themeFill="background1"/>
          </w:tcPr>
          <w:p w14:paraId="7DF24F1C">
            <w:pPr>
              <w:pStyle w:val="11"/>
              <w:spacing w:before="221" w:line="180" w:lineRule="auto"/>
              <w:jc w:val="center"/>
              <w:rPr>
                <w:rFonts w:hint="eastAsia"/>
                <w:b/>
                <w:bCs/>
                <w:sz w:val="19"/>
                <w:szCs w:val="19"/>
                <w:lang w:eastAsia="zh-CN"/>
              </w:rPr>
            </w:pPr>
            <w:r>
              <w:rPr>
                <w:b/>
                <w:bCs/>
                <w:sz w:val="19"/>
                <w:szCs w:val="19"/>
                <w:lang w:eastAsia="zh-CN"/>
              </w:rPr>
              <w:t>21:30</w:t>
            </w:r>
          </w:p>
        </w:tc>
        <w:tc>
          <w:tcPr>
            <w:tcW w:w="6344" w:type="dxa"/>
            <w:shd w:val="clear" w:color="auto" w:fill="FFFFFF" w:themeFill="background1"/>
          </w:tcPr>
          <w:p w14:paraId="53D1DD5B">
            <w:pPr>
              <w:pStyle w:val="11"/>
              <w:spacing w:before="221" w:line="180" w:lineRule="auto"/>
              <w:jc w:val="center"/>
              <w:rPr>
                <w:rFonts w:hint="eastAsia"/>
                <w:b/>
                <w:bCs/>
                <w:sz w:val="19"/>
                <w:szCs w:val="19"/>
                <w:lang w:eastAsia="zh-CN"/>
              </w:rPr>
            </w:pPr>
            <w:r>
              <w:rPr>
                <w:b/>
                <w:bCs/>
                <w:sz w:val="19"/>
                <w:szCs w:val="19"/>
                <w:lang w:eastAsia="zh-CN"/>
              </w:rPr>
              <w:t>美国上周初请失业金人数</w:t>
            </w:r>
          </w:p>
        </w:tc>
      </w:tr>
      <w:tr w14:paraId="159B6E1E">
        <w:trPr>
          <w:trHeight w:val="618" w:hRule="atLeast"/>
        </w:trPr>
        <w:tc>
          <w:tcPr>
            <w:tcW w:w="1731" w:type="dxa"/>
            <w:shd w:val="clear" w:color="auto" w:fill="DAE3F4" w:themeFill="accent1" w:themeFillTint="33"/>
          </w:tcPr>
          <w:p w14:paraId="30A782E9">
            <w:pPr>
              <w:pStyle w:val="11"/>
              <w:spacing w:before="221" w:line="180" w:lineRule="auto"/>
              <w:jc w:val="center"/>
              <w:rPr>
                <w:rFonts w:hint="eastAsia"/>
                <w:b/>
                <w:bCs/>
                <w:sz w:val="19"/>
                <w:szCs w:val="19"/>
                <w:lang w:eastAsia="zh-CN"/>
              </w:rPr>
            </w:pPr>
            <w:r>
              <w:rPr>
                <w:b/>
                <w:bCs/>
                <w:sz w:val="19"/>
                <w:szCs w:val="19"/>
                <w:lang w:eastAsia="zh-CN"/>
              </w:rPr>
              <w:t>2025/12/5</w:t>
            </w:r>
          </w:p>
        </w:tc>
        <w:tc>
          <w:tcPr>
            <w:tcW w:w="1314" w:type="dxa"/>
            <w:shd w:val="clear" w:color="auto" w:fill="DAE3F4" w:themeFill="accent1" w:themeFillTint="33"/>
          </w:tcPr>
          <w:p w14:paraId="2555EB61">
            <w:pPr>
              <w:pStyle w:val="11"/>
              <w:spacing w:before="221" w:line="180" w:lineRule="auto"/>
              <w:jc w:val="center"/>
              <w:rPr>
                <w:rFonts w:hint="eastAsia"/>
                <w:b/>
                <w:bCs/>
                <w:sz w:val="19"/>
                <w:szCs w:val="19"/>
                <w:lang w:eastAsia="zh-CN"/>
              </w:rPr>
            </w:pPr>
            <w:r>
              <w:rPr>
                <w:b/>
                <w:bCs/>
                <w:sz w:val="19"/>
                <w:szCs w:val="19"/>
                <w:lang w:eastAsia="zh-CN"/>
              </w:rPr>
              <w:t>18:00</w:t>
            </w:r>
          </w:p>
        </w:tc>
        <w:tc>
          <w:tcPr>
            <w:tcW w:w="6344" w:type="dxa"/>
            <w:shd w:val="clear" w:color="auto" w:fill="DAE3F4" w:themeFill="accent1" w:themeFillTint="33"/>
          </w:tcPr>
          <w:p w14:paraId="6C33ADB2">
            <w:pPr>
              <w:pStyle w:val="11"/>
              <w:spacing w:before="221" w:line="180" w:lineRule="auto"/>
              <w:jc w:val="center"/>
              <w:rPr>
                <w:rFonts w:hint="eastAsia"/>
                <w:b/>
                <w:bCs/>
                <w:sz w:val="19"/>
                <w:szCs w:val="19"/>
                <w:lang w:eastAsia="zh-CN"/>
              </w:rPr>
            </w:pPr>
            <w:r>
              <w:rPr>
                <w:b/>
                <w:bCs/>
                <w:sz w:val="19"/>
                <w:szCs w:val="19"/>
                <w:lang w:eastAsia="zh-CN"/>
              </w:rPr>
              <w:t>欧元区第三季度 GDP 终值</w:t>
            </w:r>
          </w:p>
        </w:tc>
      </w:tr>
      <w:tr w14:paraId="1EC20A4E">
        <w:trPr>
          <w:trHeight w:val="618" w:hRule="atLeast"/>
        </w:trPr>
        <w:tc>
          <w:tcPr>
            <w:tcW w:w="1731" w:type="dxa"/>
            <w:shd w:val="clear" w:color="auto" w:fill="FFFFFF" w:themeFill="background1"/>
          </w:tcPr>
          <w:p w14:paraId="2356DB60">
            <w:pPr>
              <w:pStyle w:val="11"/>
              <w:spacing w:before="221" w:line="180" w:lineRule="auto"/>
              <w:jc w:val="center"/>
              <w:rPr>
                <w:rFonts w:hint="eastAsia"/>
                <w:b/>
                <w:bCs/>
                <w:sz w:val="19"/>
                <w:szCs w:val="19"/>
                <w:lang w:eastAsia="zh-CN"/>
              </w:rPr>
            </w:pPr>
            <w:r>
              <w:rPr>
                <w:b/>
                <w:bCs/>
                <w:sz w:val="19"/>
                <w:szCs w:val="19"/>
                <w:lang w:eastAsia="zh-CN"/>
              </w:rPr>
              <w:t>2025/12/5</w:t>
            </w:r>
          </w:p>
        </w:tc>
        <w:tc>
          <w:tcPr>
            <w:tcW w:w="1314" w:type="dxa"/>
            <w:shd w:val="clear" w:color="auto" w:fill="FFFFFF" w:themeFill="background1"/>
          </w:tcPr>
          <w:p w14:paraId="562AC0EC">
            <w:pPr>
              <w:pStyle w:val="11"/>
              <w:spacing w:before="221" w:line="180" w:lineRule="auto"/>
              <w:jc w:val="center"/>
              <w:rPr>
                <w:rFonts w:hint="eastAsia"/>
                <w:b/>
                <w:bCs/>
                <w:sz w:val="19"/>
                <w:szCs w:val="19"/>
                <w:lang w:eastAsia="zh-CN"/>
              </w:rPr>
            </w:pPr>
            <w:r>
              <w:rPr>
                <w:b/>
                <w:bCs/>
                <w:sz w:val="19"/>
                <w:szCs w:val="19"/>
                <w:lang w:eastAsia="zh-CN"/>
              </w:rPr>
              <w:t>23:00</w:t>
            </w:r>
          </w:p>
        </w:tc>
        <w:tc>
          <w:tcPr>
            <w:tcW w:w="6344" w:type="dxa"/>
            <w:shd w:val="clear" w:color="auto" w:fill="FFFFFF" w:themeFill="background1"/>
          </w:tcPr>
          <w:p w14:paraId="41380FC7">
            <w:pPr>
              <w:pStyle w:val="11"/>
              <w:spacing w:before="221" w:line="180" w:lineRule="auto"/>
              <w:jc w:val="center"/>
              <w:rPr>
                <w:rFonts w:hint="eastAsia"/>
                <w:b/>
                <w:bCs/>
                <w:sz w:val="19"/>
                <w:szCs w:val="19"/>
                <w:lang w:eastAsia="zh-CN"/>
              </w:rPr>
            </w:pPr>
            <w:r>
              <w:rPr>
                <w:b/>
                <w:bCs/>
                <w:sz w:val="19"/>
                <w:szCs w:val="19"/>
                <w:lang w:eastAsia="zh-CN"/>
              </w:rPr>
              <w:t>美国 9 月核心 PCE 物价指数</w:t>
            </w:r>
          </w:p>
        </w:tc>
      </w:tr>
      <w:tr w14:paraId="3EEF209C">
        <w:trPr>
          <w:trHeight w:val="618" w:hRule="atLeast"/>
        </w:trPr>
        <w:tc>
          <w:tcPr>
            <w:tcW w:w="1731" w:type="dxa"/>
            <w:shd w:val="clear" w:color="auto" w:fill="DAE3F4" w:themeFill="accent1" w:themeFillTint="33"/>
          </w:tcPr>
          <w:p w14:paraId="09BA60C9">
            <w:pPr>
              <w:pStyle w:val="11"/>
              <w:spacing w:before="221" w:line="180" w:lineRule="auto"/>
              <w:jc w:val="center"/>
              <w:rPr>
                <w:rFonts w:hint="eastAsia"/>
                <w:b/>
                <w:bCs/>
                <w:sz w:val="19"/>
                <w:szCs w:val="19"/>
                <w:lang w:eastAsia="zh-CN"/>
              </w:rPr>
            </w:pPr>
            <w:r>
              <w:rPr>
                <w:b/>
                <w:bCs/>
                <w:sz w:val="19"/>
                <w:szCs w:val="19"/>
                <w:lang w:eastAsia="zh-CN"/>
              </w:rPr>
              <w:t>2025/12/5</w:t>
            </w:r>
          </w:p>
        </w:tc>
        <w:tc>
          <w:tcPr>
            <w:tcW w:w="1314" w:type="dxa"/>
            <w:shd w:val="clear" w:color="auto" w:fill="DAE3F4" w:themeFill="accent1" w:themeFillTint="33"/>
          </w:tcPr>
          <w:p w14:paraId="4E1FBCC3">
            <w:pPr>
              <w:pStyle w:val="11"/>
              <w:spacing w:before="221" w:line="180" w:lineRule="auto"/>
              <w:jc w:val="center"/>
              <w:rPr>
                <w:rFonts w:hint="eastAsia"/>
                <w:b/>
                <w:bCs/>
                <w:sz w:val="19"/>
                <w:szCs w:val="19"/>
                <w:lang w:eastAsia="zh-CN"/>
              </w:rPr>
            </w:pPr>
            <w:r>
              <w:rPr>
                <w:b/>
                <w:bCs/>
                <w:sz w:val="19"/>
                <w:szCs w:val="19"/>
                <w:lang w:eastAsia="zh-CN"/>
              </w:rPr>
              <w:t>23:00</w:t>
            </w:r>
          </w:p>
        </w:tc>
        <w:tc>
          <w:tcPr>
            <w:tcW w:w="6344" w:type="dxa"/>
            <w:shd w:val="clear" w:color="auto" w:fill="DAE3F4" w:themeFill="accent1" w:themeFillTint="33"/>
          </w:tcPr>
          <w:p w14:paraId="32995218">
            <w:pPr>
              <w:pStyle w:val="11"/>
              <w:spacing w:before="221" w:line="180" w:lineRule="auto"/>
              <w:jc w:val="center"/>
              <w:rPr>
                <w:rFonts w:hint="eastAsia"/>
                <w:b/>
                <w:bCs/>
                <w:sz w:val="19"/>
                <w:szCs w:val="19"/>
                <w:lang w:eastAsia="zh-CN"/>
              </w:rPr>
            </w:pPr>
            <w:r>
              <w:rPr>
                <w:b/>
                <w:bCs/>
                <w:sz w:val="19"/>
                <w:szCs w:val="19"/>
                <w:lang w:eastAsia="zh-CN"/>
              </w:rPr>
              <w:t>美国 12 月密歇根大学消费者信心指数</w:t>
            </w:r>
          </w:p>
        </w:tc>
      </w:tr>
    </w:tbl>
    <w:p w14:paraId="3857FB72">
      <w:pPr>
        <w:pStyle w:val="11"/>
        <w:spacing w:before="221" w:line="180" w:lineRule="auto"/>
        <w:rPr>
          <w:rFonts w:hint="eastAsia"/>
          <w:b/>
          <w:bCs/>
          <w:sz w:val="19"/>
          <w:szCs w:val="19"/>
          <w:lang w:eastAsia="zh-CN"/>
        </w:rPr>
      </w:pPr>
    </w:p>
    <w:p w14:paraId="3FB1343F">
      <w:pPr>
        <w:spacing w:before="172" w:line="417" w:lineRule="exact"/>
        <w:rPr>
          <w:rFonts w:hint="eastAsia" w:ascii="微软雅黑" w:hAnsi="微软雅黑" w:eastAsia="微软雅黑" w:cs="微软雅黑"/>
          <w:sz w:val="20"/>
          <w:szCs w:val="20"/>
          <w:lang w:eastAsia="zh-CN"/>
        </w:rPr>
      </w:pPr>
      <w:r>
        <w:rPr>
          <w:rFonts w:ascii="微软雅黑" w:hAnsi="微软雅黑" w:eastAsia="微软雅黑" w:cs="微软雅黑"/>
          <w:color w:val="CE393F"/>
          <w:spacing w:val="8"/>
          <w:position w:val="2"/>
          <w:sz w:val="40"/>
          <w:szCs w:val="40"/>
          <w:lang w:eastAsia="zh-CN"/>
        </w:rPr>
        <w:t>△</w:t>
      </w:r>
      <w:r>
        <w:rPr>
          <w:rFonts w:ascii="微软雅黑" w:hAnsi="微软雅黑" w:eastAsia="微软雅黑" w:cs="微软雅黑"/>
          <w:color w:val="CE393F"/>
          <w:spacing w:val="-38"/>
          <w:position w:val="2"/>
          <w:sz w:val="40"/>
          <w:szCs w:val="40"/>
          <w:lang w:eastAsia="zh-CN"/>
        </w:rPr>
        <w:t xml:space="preserve"> </w:t>
      </w:r>
      <w:r>
        <w:rPr>
          <w:rFonts w:ascii="微软雅黑" w:hAnsi="微软雅黑" w:eastAsia="微软雅黑" w:cs="微软雅黑"/>
          <w:spacing w:val="8"/>
          <w:position w:val="2"/>
          <w:sz w:val="20"/>
          <w:szCs w:val="20"/>
          <w:lang w:eastAsia="zh-CN"/>
        </w:rPr>
        <w:t>免责声明</w:t>
      </w:r>
    </w:p>
    <w:p w14:paraId="0C2E2823">
      <w:pPr>
        <w:spacing w:before="63" w:line="193" w:lineRule="auto"/>
        <w:ind w:left="340" w:right="706" w:firstLine="379"/>
        <w:jc w:val="both"/>
        <w:rPr>
          <w:rFonts w:hint="eastAsia" w:ascii="微软雅黑" w:hAnsi="微软雅黑" w:eastAsia="微软雅黑" w:cs="微软雅黑"/>
          <w:sz w:val="18"/>
          <w:szCs w:val="18"/>
          <w:lang w:eastAsia="zh-CN"/>
        </w:rPr>
      </w:pPr>
      <w:r>
        <w:rPr>
          <w:rFonts w:ascii="微软雅黑" w:hAnsi="微软雅黑" w:eastAsia="微软雅黑" w:cs="微软雅黑"/>
          <w:color w:val="898989"/>
          <w:spacing w:val="3"/>
          <w:sz w:val="18"/>
          <w:szCs w:val="18"/>
          <w:lang w:eastAsia="zh-CN"/>
        </w:rPr>
        <w:t>此报告由瑞达国际所编制。本报告采用之资料及意见均相信可靠及准确</w:t>
      </w:r>
      <w:r>
        <w:rPr>
          <w:rFonts w:ascii="微软雅黑" w:hAnsi="微软雅黑" w:eastAsia="微软雅黑" w:cs="微软雅黑"/>
          <w:color w:val="898989"/>
          <w:spacing w:val="2"/>
          <w:sz w:val="18"/>
          <w:szCs w:val="18"/>
          <w:lang w:eastAsia="zh-CN"/>
        </w:rPr>
        <w:t>，但本公司并不对各分析或有关资料之可</w:t>
      </w:r>
      <w:r>
        <w:rPr>
          <w:rFonts w:ascii="微软雅黑" w:hAnsi="微软雅黑" w:eastAsia="微软雅黑" w:cs="微软雅黑"/>
          <w:color w:val="898989"/>
          <w:sz w:val="18"/>
          <w:szCs w:val="18"/>
          <w:lang w:eastAsia="zh-CN"/>
        </w:rPr>
        <w:t xml:space="preserve"> </w:t>
      </w:r>
      <w:r>
        <w:rPr>
          <w:rFonts w:ascii="微软雅黑" w:hAnsi="微软雅黑" w:eastAsia="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lang w:eastAsia="zh-CN"/>
        </w:rPr>
        <w:t>资准</w:t>
      </w:r>
      <w:r>
        <w:rPr>
          <w:rFonts w:ascii="微软雅黑" w:hAnsi="微软雅黑" w:eastAsia="微软雅黑" w:cs="微软雅黑"/>
          <w:color w:val="898989"/>
          <w:sz w:val="18"/>
          <w:szCs w:val="18"/>
          <w:lang w:eastAsia="zh-CN"/>
        </w:rPr>
        <w:t xml:space="preserve"> </w:t>
      </w:r>
      <w:r>
        <w:rPr>
          <w:rFonts w:ascii="微软雅黑" w:hAnsi="微软雅黑" w:eastAsia="微软雅黑" w:cs="微软雅黑"/>
          <w:color w:val="898989"/>
          <w:spacing w:val="-8"/>
          <w:sz w:val="18"/>
          <w:szCs w:val="18"/>
          <w:lang w:eastAsia="zh-CN"/>
        </w:rPr>
        <w:t>则。</w:t>
      </w:r>
    </w:p>
    <w:p w14:paraId="61C689A0">
      <w:pPr>
        <w:spacing w:before="34" w:line="189" w:lineRule="auto"/>
        <w:ind w:left="337" w:right="707" w:firstLine="381"/>
        <w:jc w:val="both"/>
        <w:rPr>
          <w:lang w:eastAsia="zh-CN"/>
        </w:rPr>
      </w:pPr>
      <w:r>
        <w:rPr>
          <w:rFonts w:ascii="微软雅黑" w:hAnsi="微软雅黑" w:eastAsia="微软雅黑" w:cs="微软雅黑"/>
          <w:color w:val="898989"/>
          <w:spacing w:val="3"/>
          <w:sz w:val="18"/>
          <w:szCs w:val="18"/>
          <w:lang w:eastAsia="zh-CN"/>
        </w:rPr>
        <w:t>本报告之资料及意见如有任何更改，恕不另行通知。本报告并非及并无意图</w:t>
      </w:r>
      <w:r>
        <w:rPr>
          <w:rFonts w:ascii="微软雅黑" w:hAnsi="微软雅黑" w:eastAsia="微软雅黑" w:cs="微软雅黑"/>
          <w:color w:val="898989"/>
          <w:spacing w:val="2"/>
          <w:sz w:val="18"/>
          <w:szCs w:val="18"/>
          <w:lang w:eastAsia="zh-CN"/>
        </w:rPr>
        <w:t>构成任何作价或招揽进行买卖本报告</w:t>
      </w:r>
      <w:r>
        <w:rPr>
          <w:rFonts w:ascii="微软雅黑" w:hAnsi="微软雅黑" w:eastAsia="微软雅黑" w:cs="微软雅黑"/>
          <w:color w:val="898989"/>
          <w:sz w:val="18"/>
          <w:szCs w:val="18"/>
          <w:lang w:eastAsia="zh-CN"/>
        </w:rPr>
        <w:t xml:space="preserve"> </w:t>
      </w:r>
      <w:r>
        <w:rPr>
          <w:rFonts w:ascii="微软雅黑" w:hAnsi="微软雅黑" w:eastAsia="微软雅黑" w:cs="微软雅黑"/>
          <w:color w:val="898989"/>
          <w:spacing w:val="2"/>
          <w:sz w:val="18"/>
          <w:szCs w:val="18"/>
          <w:lang w:eastAsia="zh-CN"/>
        </w:rPr>
        <w:t>提及的商品。本公司不会对任何因依靠本报告作出任何买卖而引致之任何损失承担任</w:t>
      </w:r>
      <w:r>
        <w:rPr>
          <w:rFonts w:ascii="微软雅黑" w:hAnsi="微软雅黑" w:eastAsia="微软雅黑" w:cs="微软雅黑"/>
          <w:color w:val="898989"/>
          <w:spacing w:val="1"/>
          <w:sz w:val="18"/>
          <w:szCs w:val="18"/>
          <w:lang w:eastAsia="zh-CN"/>
        </w:rPr>
        <w:t>何责任。</w:t>
      </w:r>
    </w:p>
    <w:p w14:paraId="7F18DFD2">
      <w:pPr>
        <w:spacing w:before="34" w:line="569" w:lineRule="exact"/>
        <w:rPr>
          <w:rFonts w:eastAsiaTheme="minorEastAsia"/>
          <w:lang w:eastAsia="zh-CN"/>
        </w:rPr>
      </w:pPr>
    </w:p>
    <w:p w14:paraId="784F7053">
      <w:pPr>
        <w:spacing w:line="3052" w:lineRule="exact"/>
        <w:jc w:val="center"/>
      </w:pPr>
      <w:r>
        <w:rPr>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
                    <a:stretch>
                      <a:fillRect/>
                    </a:stretch>
                  </pic:blipFill>
                  <pic:spPr>
                    <a:xfrm>
                      <a:off x="0" y="0"/>
                      <a:ext cx="1936488" cy="1938179"/>
                    </a:xfrm>
                    <a:prstGeom prst="rect">
                      <a:avLst/>
                    </a:prstGeom>
                  </pic:spPr>
                </pic:pic>
              </a:graphicData>
            </a:graphic>
          </wp:inline>
        </w:drawing>
      </w:r>
    </w:p>
    <w:p w14:paraId="1A9515DE">
      <w:pPr>
        <w:pStyle w:val="3"/>
        <w:spacing w:line="371" w:lineRule="auto"/>
        <w:jc w:val="center"/>
      </w:pPr>
    </w:p>
    <w:p w14:paraId="6474A6E9">
      <w:pPr>
        <w:spacing w:before="103" w:line="191" w:lineRule="auto"/>
        <w:jc w:val="center"/>
        <w:rPr>
          <w:rFonts w:hint="eastAsia" w:ascii="微软雅黑" w:hAnsi="微软雅黑" w:eastAsia="微软雅黑" w:cs="微软雅黑"/>
          <w:sz w:val="24"/>
          <w:szCs w:val="24"/>
          <w:lang w:eastAsia="zh-CN"/>
        </w:rPr>
      </w:pPr>
      <w:r>
        <w:rPr>
          <w:rFonts w:ascii="微软雅黑" w:hAnsi="微软雅黑" w:eastAsia="微软雅黑" w:cs="微软雅黑"/>
          <w:spacing w:val="7"/>
          <w:sz w:val="24"/>
          <w:szCs w:val="24"/>
          <w:lang w:eastAsia="zh-CN"/>
        </w:rPr>
        <w:t>24小时客服电话： 00852</w:t>
      </w:r>
      <w:r>
        <w:rPr>
          <w:rFonts w:ascii="微软雅黑" w:hAnsi="微软雅黑" w:eastAsia="微软雅黑" w:cs="微软雅黑"/>
          <w:spacing w:val="-33"/>
          <w:sz w:val="24"/>
          <w:szCs w:val="24"/>
          <w:lang w:eastAsia="zh-CN"/>
        </w:rPr>
        <w:t xml:space="preserve"> </w:t>
      </w:r>
      <w:r>
        <w:rPr>
          <w:rFonts w:ascii="微软雅黑" w:hAnsi="微软雅黑" w:eastAsia="微软雅黑" w:cs="微软雅黑"/>
          <w:spacing w:val="7"/>
          <w:sz w:val="24"/>
          <w:szCs w:val="24"/>
          <w:lang w:eastAsia="zh-CN"/>
        </w:rPr>
        <w:t>-</w:t>
      </w:r>
      <w:r>
        <w:rPr>
          <w:rFonts w:ascii="微软雅黑" w:hAnsi="微软雅黑" w:eastAsia="微软雅黑" w:cs="微软雅黑"/>
          <w:spacing w:val="-37"/>
          <w:sz w:val="24"/>
          <w:szCs w:val="24"/>
          <w:lang w:eastAsia="zh-CN"/>
        </w:rPr>
        <w:t xml:space="preserve"> </w:t>
      </w:r>
      <w:r>
        <w:rPr>
          <w:rFonts w:ascii="微软雅黑" w:hAnsi="微软雅黑" w:eastAsia="微软雅黑" w:cs="微软雅黑"/>
          <w:spacing w:val="7"/>
          <w:sz w:val="24"/>
          <w:szCs w:val="24"/>
          <w:lang w:eastAsia="zh-CN"/>
        </w:rPr>
        <w:t>25342000/86</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7"/>
          <w:sz w:val="24"/>
          <w:szCs w:val="24"/>
          <w:lang w:eastAsia="zh-CN"/>
        </w:rPr>
        <w:t>-</w:t>
      </w:r>
      <w:r>
        <w:rPr>
          <w:rFonts w:ascii="微软雅黑" w:hAnsi="微软雅黑" w:eastAsia="微软雅黑" w:cs="微软雅黑"/>
          <w:spacing w:val="-26"/>
          <w:sz w:val="24"/>
          <w:szCs w:val="24"/>
          <w:lang w:eastAsia="zh-CN"/>
        </w:rPr>
        <w:t xml:space="preserve"> </w:t>
      </w:r>
      <w:r>
        <w:rPr>
          <w:rFonts w:ascii="微软雅黑" w:hAnsi="微软雅黑" w:eastAsia="微软雅黑" w:cs="微软雅黑"/>
          <w:spacing w:val="7"/>
          <w:sz w:val="24"/>
          <w:szCs w:val="24"/>
          <w:lang w:eastAsia="zh-CN"/>
        </w:rPr>
        <w:t>13603059885</w:t>
      </w:r>
    </w:p>
    <w:p w14:paraId="6A341A80">
      <w:pPr>
        <w:spacing w:before="233" w:line="175" w:lineRule="auto"/>
        <w:jc w:val="center"/>
        <w:rPr>
          <w:rFonts w:hint="eastAsia" w:ascii="微软雅黑" w:hAnsi="微软雅黑" w:eastAsia="微软雅黑" w:cs="微软雅黑"/>
          <w:sz w:val="24"/>
          <w:szCs w:val="24"/>
          <w:lang w:eastAsia="zh-CN"/>
        </w:rPr>
      </w:pPr>
      <w:r>
        <w:rPr>
          <w:rFonts w:ascii="微软雅黑" w:hAnsi="微软雅黑" w:eastAsia="微软雅黑" w:cs="微软雅黑"/>
          <w:spacing w:val="5"/>
          <w:sz w:val="24"/>
          <w:szCs w:val="24"/>
          <w:lang w:eastAsia="zh-CN"/>
        </w:rPr>
        <w:t>24小时传真电话： 00852</w:t>
      </w:r>
      <w:r>
        <w:rPr>
          <w:rFonts w:ascii="微软雅黑" w:hAnsi="微软雅黑" w:eastAsia="微软雅黑" w:cs="微软雅黑"/>
          <w:spacing w:val="-32"/>
          <w:sz w:val="24"/>
          <w:szCs w:val="24"/>
          <w:lang w:eastAsia="zh-CN"/>
        </w:rPr>
        <w:t xml:space="preserve"> </w:t>
      </w:r>
      <w:r>
        <w:rPr>
          <w:rFonts w:ascii="微软雅黑" w:hAnsi="微软雅黑" w:eastAsia="微软雅黑" w:cs="微软雅黑"/>
          <w:spacing w:val="5"/>
          <w:sz w:val="24"/>
          <w:szCs w:val="24"/>
          <w:lang w:eastAsia="zh-CN"/>
        </w:rPr>
        <w:t>-</w:t>
      </w:r>
      <w:r>
        <w:rPr>
          <w:rFonts w:ascii="微软雅黑" w:hAnsi="微软雅黑" w:eastAsia="微软雅黑" w:cs="微软雅黑"/>
          <w:spacing w:val="-38"/>
          <w:sz w:val="24"/>
          <w:szCs w:val="24"/>
          <w:lang w:eastAsia="zh-CN"/>
        </w:rPr>
        <w:t xml:space="preserve"> </w:t>
      </w:r>
      <w:r>
        <w:rPr>
          <w:rFonts w:ascii="微软雅黑" w:hAnsi="微软雅黑" w:eastAsia="微软雅黑" w:cs="微软雅黑"/>
          <w:spacing w:val="5"/>
          <w:sz w:val="24"/>
          <w:szCs w:val="24"/>
          <w:lang w:eastAsia="zh-CN"/>
        </w:rPr>
        <w:t>25632368</w:t>
      </w:r>
    </w:p>
    <w:p w14:paraId="6BE982E1">
      <w:pPr>
        <w:spacing w:before="258" w:line="190" w:lineRule="auto"/>
        <w:jc w:val="center"/>
        <w:rPr>
          <w:rFonts w:hint="eastAsia"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14:paraId="784EDE88">
      <w:pPr>
        <w:spacing w:before="234" w:line="192" w:lineRule="auto"/>
        <w:jc w:val="center"/>
        <w:rPr>
          <w:rFonts w:hint="eastAsia"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14:paraId="04BBFDB9">
      <w:pPr>
        <w:spacing w:before="234" w:line="176" w:lineRule="auto"/>
        <w:jc w:val="center"/>
        <w:rPr>
          <w:rFonts w:hint="eastAsia"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14:paraId="244C50C6">
      <w:pPr>
        <w:spacing w:before="253" w:line="177" w:lineRule="auto"/>
        <w:jc w:val="center"/>
        <w:rPr>
          <w:rFonts w:hint="eastAsia" w:ascii="微软雅黑" w:hAnsi="微软雅黑" w:eastAsia="微软雅黑" w:cs="微软雅黑"/>
          <w:sz w:val="24"/>
          <w:szCs w:val="24"/>
          <w:lang w:eastAsia="zh-CN"/>
        </w:rPr>
      </w:pPr>
      <w:r>
        <w:rPr>
          <w:rFonts w:ascii="微软雅黑" w:hAnsi="微软雅黑" w:eastAsia="微软雅黑" w:cs="微软雅黑"/>
          <w:spacing w:val="16"/>
          <w:sz w:val="24"/>
          <w:szCs w:val="24"/>
          <w:lang w:eastAsia="zh-CN"/>
        </w:rPr>
        <w:t>地址:</w:t>
      </w:r>
      <w:r>
        <w:rPr>
          <w:rFonts w:ascii="微软雅黑" w:hAnsi="微软雅黑" w:eastAsia="微软雅黑" w:cs="微软雅黑"/>
          <w:spacing w:val="45"/>
          <w:w w:val="101"/>
          <w:sz w:val="24"/>
          <w:szCs w:val="24"/>
          <w:lang w:eastAsia="zh-CN"/>
        </w:rPr>
        <w:t xml:space="preserve"> </w:t>
      </w:r>
      <w:r>
        <w:rPr>
          <w:rFonts w:ascii="微软雅黑" w:hAnsi="微软雅黑" w:eastAsia="微软雅黑" w:cs="微软雅黑"/>
          <w:spacing w:val="16"/>
          <w:sz w:val="24"/>
          <w:szCs w:val="24"/>
          <w:lang w:eastAsia="zh-CN"/>
        </w:rPr>
        <w:t>香港湾仔菲林明道8号大同大厦17楼05</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16"/>
          <w:sz w:val="24"/>
          <w:szCs w:val="24"/>
          <w:lang w:eastAsia="zh-CN"/>
        </w:rPr>
        <w:t>-</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16"/>
          <w:sz w:val="24"/>
          <w:szCs w:val="24"/>
          <w:lang w:eastAsia="zh-CN"/>
        </w:rPr>
        <w:t>06室</w:t>
      </w:r>
    </w:p>
    <w:sectPr>
      <w:headerReference r:id="rId4" w:type="default"/>
      <w:footerReference r:id="rId5" w:type="default"/>
      <w:pgSz w:w="11923" w:h="16837"/>
      <w:pgMar w:top="400" w:right="556" w:bottom="0" w:left="1015" w:header="340" w:footer="3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w:panose1 w:val="020B0604020202090204"/>
    <w:charset w:val="00"/>
    <w:family w:val="swiss"/>
    <w:pitch w:val="default"/>
    <w:sig w:usb0="E0000AFF" w:usb1="00007843" w:usb2="00000001" w:usb3="00000000" w:csb0="400001BF" w:csb1="DFF70000"/>
  </w:font>
  <w:font w:name="微软雅黑">
    <w:altName w:val="汉仪旗黑"/>
    <w:panose1 w:val="020B0503020204020204"/>
    <w:charset w:val="86"/>
    <w:family w:val="swiss"/>
    <w:pitch w:val="default"/>
    <w:sig w:usb0="00000000" w:usb1="00000000" w:usb2="00000016" w:usb3="00000000" w:csb0="0004001F" w:csb1="00000000"/>
  </w:font>
  <w:font w:name="思源黑体 CN Bold">
    <w:altName w:val="汉仪中黑KW"/>
    <w:panose1 w:val="00000000000000000000"/>
    <w:charset w:val="86"/>
    <w:family w:val="roman"/>
    <w:pitch w:val="default"/>
    <w:sig w:usb0="00000000" w:usb1="00000000" w:usb2="00000000" w:usb3="00000000" w:csb0="00000000" w:csb1="00000000"/>
  </w:font>
  <w:font w:name="Helvetica">
    <w:panose1 w:val="00000000000000000000"/>
    <w:charset w:val="00"/>
    <w:family w:val="swiss"/>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6539">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25D23">
    <w:pPr>
      <w:pStyle w:val="3"/>
      <w:pBdr>
        <w:bottom w:val="double" w:color="0766D4" w:sz="8" w:space="0"/>
      </w:pBdr>
      <w:spacing w:line="14" w:lineRule="auto"/>
      <w:rPr>
        <w:sz w:val="2"/>
      </w:rPr>
    </w:pPr>
    <w:r>
      <w:rPr>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1780452941"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C3282">
    <w:pPr>
      <w:pStyle w:val="3"/>
      <w:pBdr>
        <w:top w:val="none" w:color="auto" w:sz="0" w:space="1"/>
        <w:left w:val="none" w:color="auto" w:sz="0" w:space="4"/>
        <w:bottom w:val="thinThickSmallGap" w:color="3669AB" w:sz="24" w:space="0"/>
        <w:right w:val="none" w:color="auto" w:sz="0" w:space="4"/>
      </w:pBdr>
      <w:ind w:right="420" w:rightChars="200"/>
      <w:jc w:val="right"/>
      <w:rPr>
        <w:rFonts w:eastAsia="宋体"/>
        <w:sz w:val="2"/>
        <w:lang w:eastAsia="zh-CN"/>
      </w:rPr>
    </w:pPr>
    <w:r>
      <w:rPr>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159F208">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pPr>
      <w:pStyle w:val="3"/>
      <w:pBdr>
        <w:bottom w:val="single" w:color="3669AB" w:sz="4" w:space="0"/>
      </w:pBdr>
      <w:ind w:right="420" w:rightChars="200"/>
      <w:jc w:val="right"/>
      <w:rPr>
        <w:rFonts w:eastAsia="宋体"/>
        <w:color w:val="FFFFFF" w:themeColor="background1"/>
        <w:sz w:val="2"/>
        <w:lang w:eastAsia="zh-CN"/>
        <w14:textFill>
          <w14:solidFill>
            <w14:schemeClr w14:val="bg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9px" o:bullet="t">
        <v:imagedata r:id="rId1" o:title=""/>
      </v:shape>
    </w:pict>
  </w:numPicBullet>
  <w:abstractNum w:abstractNumId="0">
    <w:nsid w:val="72BD7A2D"/>
    <w:multiLevelType w:val="multilevel"/>
    <w:tmpl w:val="72BD7A2D"/>
    <w:lvl w:ilvl="0" w:tentative="0">
      <w:start w:val="1"/>
      <w:numFmt w:val="bullet"/>
      <w:lvlText w:val=""/>
      <w:lvlPicBulletId w:val="0"/>
      <w:lvlJc w:val="left"/>
      <w:pPr>
        <w:tabs>
          <w:tab w:val="left" w:pos="440"/>
        </w:tabs>
        <w:ind w:left="440" w:firstLine="0"/>
      </w:pPr>
      <w:rPr>
        <w:rFonts w:hint="default" w:ascii="Symbol" w:hAnsi="Symbol"/>
      </w:rPr>
    </w:lvl>
    <w:lvl w:ilvl="1" w:tentative="0">
      <w:start w:val="1"/>
      <w:numFmt w:val="bullet"/>
      <w:lvlText w:val=""/>
      <w:lvlJc w:val="left"/>
      <w:pPr>
        <w:tabs>
          <w:tab w:val="left" w:pos="880"/>
        </w:tabs>
        <w:ind w:left="880" w:firstLine="0"/>
      </w:pPr>
      <w:rPr>
        <w:rFonts w:hint="default" w:ascii="Symbol" w:hAnsi="Symbol"/>
      </w:rPr>
    </w:lvl>
    <w:lvl w:ilvl="2" w:tentative="0">
      <w:start w:val="1"/>
      <w:numFmt w:val="bullet"/>
      <w:lvlText w:val=""/>
      <w:lvlJc w:val="left"/>
      <w:pPr>
        <w:tabs>
          <w:tab w:val="left" w:pos="1320"/>
        </w:tabs>
        <w:ind w:left="1320" w:firstLine="0"/>
      </w:pPr>
      <w:rPr>
        <w:rFonts w:hint="default" w:ascii="Symbol" w:hAnsi="Symbol"/>
      </w:rPr>
    </w:lvl>
    <w:lvl w:ilvl="3" w:tentative="0">
      <w:start w:val="1"/>
      <w:numFmt w:val="bullet"/>
      <w:lvlText w:val=""/>
      <w:lvlJc w:val="left"/>
      <w:pPr>
        <w:tabs>
          <w:tab w:val="left" w:pos="1760"/>
        </w:tabs>
        <w:ind w:left="1760" w:firstLine="0"/>
      </w:pPr>
      <w:rPr>
        <w:rFonts w:hint="default" w:ascii="Symbol" w:hAnsi="Symbol"/>
      </w:rPr>
    </w:lvl>
    <w:lvl w:ilvl="4" w:tentative="0">
      <w:start w:val="1"/>
      <w:numFmt w:val="bullet"/>
      <w:lvlText w:val=""/>
      <w:lvlJc w:val="left"/>
      <w:pPr>
        <w:tabs>
          <w:tab w:val="left" w:pos="2200"/>
        </w:tabs>
        <w:ind w:left="2200" w:firstLine="0"/>
      </w:pPr>
      <w:rPr>
        <w:rFonts w:hint="default" w:ascii="Symbol" w:hAnsi="Symbol"/>
      </w:rPr>
    </w:lvl>
    <w:lvl w:ilvl="5" w:tentative="0">
      <w:start w:val="1"/>
      <w:numFmt w:val="bullet"/>
      <w:lvlText w:val=""/>
      <w:lvlJc w:val="left"/>
      <w:pPr>
        <w:tabs>
          <w:tab w:val="left" w:pos="2640"/>
        </w:tabs>
        <w:ind w:left="2640" w:firstLine="0"/>
      </w:pPr>
      <w:rPr>
        <w:rFonts w:hint="default" w:ascii="Symbol" w:hAnsi="Symbol"/>
      </w:rPr>
    </w:lvl>
    <w:lvl w:ilvl="6" w:tentative="0">
      <w:start w:val="1"/>
      <w:numFmt w:val="bullet"/>
      <w:lvlText w:val=""/>
      <w:lvlJc w:val="left"/>
      <w:pPr>
        <w:tabs>
          <w:tab w:val="left" w:pos="3080"/>
        </w:tabs>
        <w:ind w:left="3080" w:firstLine="0"/>
      </w:pPr>
      <w:rPr>
        <w:rFonts w:hint="default" w:ascii="Symbol" w:hAnsi="Symbol"/>
      </w:rPr>
    </w:lvl>
    <w:lvl w:ilvl="7" w:tentative="0">
      <w:start w:val="1"/>
      <w:numFmt w:val="bullet"/>
      <w:lvlText w:val=""/>
      <w:lvlJc w:val="left"/>
      <w:pPr>
        <w:tabs>
          <w:tab w:val="left" w:pos="3520"/>
        </w:tabs>
        <w:ind w:left="3520" w:firstLine="0"/>
      </w:pPr>
      <w:rPr>
        <w:rFonts w:hint="default" w:ascii="Symbol" w:hAnsi="Symbol"/>
      </w:rPr>
    </w:lvl>
    <w:lvl w:ilvl="8" w:tentative="0">
      <w:start w:val="1"/>
      <w:numFmt w:val="bullet"/>
      <w:lvlText w:val=""/>
      <w:lvlJc w:val="left"/>
      <w:pPr>
        <w:tabs>
          <w:tab w:val="left" w:pos="3960"/>
        </w:tabs>
        <w:ind w:left="3960" w:firstLine="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228D4"/>
    <w:rsid w:val="0013110C"/>
    <w:rsid w:val="00131CDF"/>
    <w:rsid w:val="00132C65"/>
    <w:rsid w:val="00140BF1"/>
    <w:rsid w:val="0014585E"/>
    <w:rsid w:val="001466B7"/>
    <w:rsid w:val="00151E43"/>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45D18"/>
    <w:rsid w:val="00352220"/>
    <w:rsid w:val="00360438"/>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5FE5"/>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34CE"/>
    <w:rsid w:val="00517A64"/>
    <w:rsid w:val="00517E55"/>
    <w:rsid w:val="00526441"/>
    <w:rsid w:val="005309C2"/>
    <w:rsid w:val="00530BA9"/>
    <w:rsid w:val="00530F5C"/>
    <w:rsid w:val="00533EE1"/>
    <w:rsid w:val="00534ACA"/>
    <w:rsid w:val="00534F57"/>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55F8"/>
    <w:rsid w:val="008971E7"/>
    <w:rsid w:val="008A1ADE"/>
    <w:rsid w:val="008A23A4"/>
    <w:rsid w:val="008A2FED"/>
    <w:rsid w:val="008A5153"/>
    <w:rsid w:val="008A69E2"/>
    <w:rsid w:val="008B7993"/>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342D"/>
    <w:rsid w:val="00AA7333"/>
    <w:rsid w:val="00AB0BDF"/>
    <w:rsid w:val="00AB1863"/>
    <w:rsid w:val="00AB1E5D"/>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719E"/>
    <w:rsid w:val="00BA073A"/>
    <w:rsid w:val="00BA1372"/>
    <w:rsid w:val="00BA3763"/>
    <w:rsid w:val="00BA502A"/>
    <w:rsid w:val="00BB1A67"/>
    <w:rsid w:val="00BB395A"/>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D7B"/>
    <w:rsid w:val="00C41A9F"/>
    <w:rsid w:val="00C4355F"/>
    <w:rsid w:val="00C44C35"/>
    <w:rsid w:val="00C5204B"/>
    <w:rsid w:val="00C54D25"/>
    <w:rsid w:val="00C551D2"/>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CBF56D3"/>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4"/>
    <w:basedOn w:val="1"/>
    <w:next w:val="1"/>
    <w:semiHidden/>
    <w:unhideWhenUsed/>
    <w:qFormat/>
    <w:uiPriority w:val="0"/>
    <w:pPr>
      <w:spacing w:beforeAutospacing="1" w:afterAutospacing="1"/>
      <w:outlineLvl w:val="3"/>
    </w:pPr>
    <w:rPr>
      <w:rFonts w:hint="eastAsia" w:ascii="宋体" w:hAnsi="宋体" w:eastAsia="宋体" w:cs="Times New Roman"/>
      <w:b/>
      <w:bCs/>
      <w:sz w:val="24"/>
      <w:szCs w:val="24"/>
      <w:lang w:eastAsia="zh-CN"/>
    </w:rPr>
  </w:style>
  <w:style w:type="character" w:default="1" w:styleId="9">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6"/>
    <w:semiHidden/>
    <w:qFormat/>
    <w:uiPriority w:val="0"/>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iPriority w:val="0"/>
    <w:rPr>
      <w:color w:val="0026E5" w:themeColor="hyperlink"/>
      <w:u w:val="single"/>
      <w14:textFill>
        <w14:solidFill>
          <w14:schemeClr w14:val="hlink"/>
        </w14:solidFill>
      </w14:textFill>
    </w:rPr>
  </w:style>
  <w:style w:type="paragraph" w:customStyle="1" w:styleId="11">
    <w:name w:val="Table Text"/>
    <w:basedOn w:val="1"/>
    <w:semiHidden/>
    <w:qFormat/>
    <w:uiPriority w:val="0"/>
    <w:rPr>
      <w:rFonts w:ascii="微软雅黑" w:hAnsi="微软雅黑" w:eastAsia="微软雅黑" w:cs="微软雅黑"/>
      <w:sz w:val="17"/>
      <w:szCs w:val="17"/>
    </w:rPr>
  </w:style>
  <w:style w:type="table" w:customStyle="1" w:styleId="12">
    <w:name w:val="Table Normal1"/>
    <w:semiHidden/>
    <w:unhideWhenUsed/>
    <w:qFormat/>
    <w:uiPriority w:val="0"/>
    <w:tblPr>
      <w:tblCellMar>
        <w:top w:w="0" w:type="dxa"/>
        <w:left w:w="0" w:type="dxa"/>
        <w:bottom w:w="0" w:type="dxa"/>
        <w:right w:w="0" w:type="dxa"/>
      </w:tblCellMar>
    </w:tblPr>
  </w:style>
  <w:style w:type="paragraph" w:styleId="13">
    <w:name w:val="List Paragraph"/>
    <w:basedOn w:val="1"/>
    <w:uiPriority w:val="99"/>
    <w:pPr>
      <w:ind w:firstLine="420" w:firstLineChars="200"/>
    </w:pPr>
  </w:style>
  <w:style w:type="character" w:customStyle="1" w:styleId="14">
    <w:name w:val="未处理的提及1"/>
    <w:basedOn w:val="9"/>
    <w:semiHidden/>
    <w:unhideWhenUsed/>
    <w:uiPriority w:val="99"/>
    <w:rPr>
      <w:color w:val="605E5C"/>
      <w:shd w:val="clear" w:color="auto" w:fill="E1DFDD"/>
    </w:rPr>
  </w:style>
  <w:style w:type="character" w:customStyle="1" w:styleId="15">
    <w:name w:val="w-text-emphasis"/>
    <w:basedOn w:val="9"/>
    <w:uiPriority w:val="0"/>
  </w:style>
  <w:style w:type="character" w:customStyle="1" w:styleId="16">
    <w:name w:val="正文文本 字符"/>
    <w:basedOn w:val="9"/>
    <w:link w:val="3"/>
    <w:semiHidden/>
    <w:uiPriority w:val="0"/>
    <w:rPr>
      <w:rFonts w:ascii="Arial" w:hAnsi="Arial" w:eastAsia="Arial" w:cs="Arial"/>
      <w:snapToGrid w:val="0"/>
      <w:color w:val="000000"/>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31" Type="http://schemas.openxmlformats.org/officeDocument/2006/relationships/image" Target="media/image17.emf"/><Relationship Id="rId30"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 Type="http://schemas.openxmlformats.org/officeDocument/2006/relationships/header" Target="header1.xml"/><Relationship Id="rId29" Type="http://schemas.openxmlformats.org/officeDocument/2006/relationships/image" Target="media/image16.emf"/><Relationship Id="rId28"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27" Type="http://schemas.openxmlformats.org/officeDocument/2006/relationships/image" Target="media/image15.emf"/><Relationship Id="rId26"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25" Type="http://schemas.openxmlformats.org/officeDocument/2006/relationships/image" Target="media/image14.emf"/><Relationship Id="rId24"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23" Type="http://schemas.openxmlformats.org/officeDocument/2006/relationships/image" Target="media/image13.emf"/><Relationship Id="rId22"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21" Type="http://schemas.openxmlformats.org/officeDocument/2006/relationships/image" Target="media/image12.emf"/><Relationship Id="rId20"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17" Type="http://schemas.openxmlformats.org/officeDocument/2006/relationships/image" Target="media/image10.emf"/><Relationship Id="rId16"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15" Type="http://schemas.openxmlformats.org/officeDocument/2006/relationships/image" Target="media/image9.emf"/><Relationship Id="rId14"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13" Type="http://schemas.openxmlformats.org/officeDocument/2006/relationships/image" Target="media/image8.emf"/><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datastoreItem>
</file>

<file path=docProps/app.xml><?xml version="1.0" encoding="utf-8"?>
<Properties xmlns="http://schemas.openxmlformats.org/officeDocument/2006/extended-properties" xmlns:vt="http://schemas.openxmlformats.org/officeDocument/2006/docPropsVTypes">
  <Template>Normal</Template>
  <Pages>7</Pages>
  <Words>1043</Words>
  <Characters>5947</Characters>
  <Lines>49</Lines>
  <Paragraphs>13</Paragraphs>
  <TotalTime>75</TotalTime>
  <ScaleCrop>false</ScaleCrop>
  <LinksUpToDate>false</LinksUpToDate>
  <CharactersWithSpaces>6977</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2025-12-01T08:26:00Z</dcterms:created>
  <dc:creator>WPS_1180513195</dc:creator>
  <cp:lastModifiedBy>Admin</cp:lastModifiedBy>
  <dcterms:modified xsi:type="dcterms:W3CDTF">2025-12-01T14:57:53Z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ICV">
    <vt:lpwstr>988B5217703C4950B103A29445F4D55C_13</vt:lpwstr>
  </property>
</Properties>
</file>