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256" w:lineRule="auto"/>
        <w:ind w:right="210" w:firstLine="420"/>
      </w:pPr>
      <w:r>
        <w:rPr>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RABAAAL&#10;AQAADwAAAGRycy9kb3ducmV2LnhtbAELAfT+PD94bWwgdmVyc2lvbj0iMS4wIiBlbmNvZGluZz0i&#10;VVRGLTgiIHN0YW5kYWxvbmU9InllcyI/Pg0KPGE6ZG93blJldlN0ZyB4bWxuczphPSJodHRwOi8v&#10;c2NoZW1hcy5vcGVueG1sZm9ybWF0cy5vcmcvZHJhd2luZ21sLzIwMDYvbWFpbiIgc2hhcGVDaGVj&#10;a1N1bT0iYTY0ZHFOZjNNVEx1NmE5Z3gwRjVYMD09JiMxMDsiIHRleHRDaGVja1N1bT0iIiB2ZXI9&#10;IjEiPjxhOmJvdW5kcyBsPSIxNDA3IiB0PSI1NDIwIiByPSIzNTc1IiBiPSI1NDcwIi8+PC9hOmRv&#10;d25SZXZTdGc+UEsDBBQAAAAIAIdO4kCgNdUxWQMAAFQDAAAOAAAAZHJzL2Uyb0RvYy54bWwBVAOr&#10;/Dw/eG1sIHZlcnNpb249IjEuMCIgZW5jb2Rpbmc9IlVURi04IiBzdGFuZGFsb25lPSJ5ZXMiPz4N&#10;Cjx3cDplMm9ob2xkZXIgeG1sbnM6d3A9Imh0dHA6Ly9zY2hlbWFzLm9wZW54bWxmb3JtYXRzLm9y&#10;Zy9kcmF3aW5nbWwvMjAwNi93b3JkcHJvY2Vzc2luZ0RyYXdpbmciIHhtbG5zOnI9Imh0dHA6Ly9z&#10;Y2hlbWFzLm9wZW54bWxmb3JtYXRzLm9yZy9vZmZpY2VEb2N1bWVudC8yMDA2L3JlbGF0aW9uc2hp&#10;cHMiPjx3cDplZmZlY3RPZmZzZXQgbD0iMCIgdD0iMCIgcj0iMCIgYj0iMCIvPjxhOmdyYXBoaWMg&#10;eG1sbnM6YT0iaHR0cDovL3NjaGVtYXMub3BlbnhtbGZvcm1hdHMub3JnL2RyYXdpbmdtbC8yMDA2&#10;L21haW4iPjxhOmdyYXBoaWNEYXRhIHVyaT0iaHR0cDovL3NjaGVtYXMubWljcm9zb2Z0LmNvbS9v&#10;ZmZpY2Uvd29yZC8yMDEwL3dvcmRwcm9jZXNzaW5nU2hhcGUiPjx3cHM6d3NwIHhtbG5zOndwcz0i&#10;aHR0cDovL3NjaGVtYXMubWljcm9zb2Z0LmNvbS9vZmZpY2Uvd29yZC8yMDEwL3dvcmRwcm9jZXNz&#10;aW5nU2hhcGUiPjx3cHM6Y052UHIgaWQ9IjIxIiBuYW1lPSLnn6nlvaIgMjEiLz48d3BzOmNOdlNw&#10;UHIvPjx3cHM6c3BQcj48YTp4ZnJtPjxhOm9mZiB4PSIwIiB5PSIwIi8+PGE6ZXh0IGN4PSIxMzc2&#10;NjgwIiBjeT0iMzE3NTAiLz48L2E6eGZybT48YTpwcnN0R2VvbSBwcnN0PSJyZWN0Ij48YTphdkxz&#10;dC8+PC9hOnByc3RHZW9tPjxhOnNvbGlkRmlsbD48YTpzcmdiQ2xyIHZhbD0iRkZGRkZGIi8+PC9h&#10;OnNvbGlkRmlsbD48YTpsbj48YTpub0ZpbGwvPjwvYTpsbj48L3dwczpzcFByPjx3cHM6Ym9keVBy&#10;Lz48L3dwczp3c3A+PC9hOmdyYXBoaWNEYXRhPjwvYTpncmFwaGljPjwvd3A6ZTJvaG9sZGVyPlBL&#10;AwQKAAAAAACHTuJAAAAAAAAAAAAAAAAABgAAAF9yZWxzL1BLAwQUAAAACACHTuJAihRmPJkBAACU&#10;AQAACwAAAF9yZWxzLy5yZWxzAZQBa/48P3htbCB2ZXJzaW9uPSIxLjAiIGVuY29kaW5nPSJVVEYt&#10;OCIgc3RhbmRhbG9uZT0ieWVzIj8+DQo8UmVsYXRpb25zaGlwcyB4bWxucz0iaHR0cDovL3NjaGVt&#10;YXMub3BlbnhtbGZvcm1hdHMub3JnL3BhY2thZ2UvMjAwNi9yZWxhdGlvbnNoaXBzIj48UmVsYXRp&#10;b25zaGlwIElkPSJySWQyIiBUeXBlPSJodHRwOi8vc2NoZW1hcy5taWNyb3NvZnQuY29tL29mZmlj&#10;ZS8yMDA2L3JlbGF0aW9uc2hpcHMvZ3JhcGhpY0ZyYW1lRG9jIiBUYXJnZXQ9ImRycy9lMm9Eb2Mu&#10;eG1sIi8+PFJlbGF0aW9uc2hpcCBJZD0icklkMSIgVHlwZT0iaHR0cDovL3NjaGVtYXMubWljcm9z&#10;b2Z0LmNvbS9vZmZpY2UvMjAwNi9yZWxhdGlvbnNoaXBzL2Rvd25SZXYiIFRhcmdldD0iZHJzL2Rv&#10;d25yZXYueG1sIi8+PC9SZWxhdGlvbnNoaXBzPlBLAwQUAAAACACHTuJAfublIOYBAADhAQAAEwAA&#10;AFtDb250ZW50X1R5cGVzXS54bWwB4QEe/jw/eG1sIHZlcnNpb249IjEuMCIgZW5jb2Rpbmc9IlVU&#10;Ri04IiBzdGFuZGFsb25lPSJ5ZXMiPz4NCjxUeXBlcyB4bWxucz0iaHR0cDovL3NjaGVtYXMub3Bl&#10;bnhtbGZvcm1hdHMub3JnL3BhY2thZ2UvMjAwNi9jb250ZW50LXR5cGVzIj48RGVmYXVsdCBFeHRl&#10;bnNpb249InJlbHMiIENvbnRlbnRUeXBlPSJhcHBsaWNhdGlvbi92bmQub3BlbnhtbGZvcm1hdHMt&#10;cGFja2FnZS5yZWxhdGlvbnNoaXBzK3htbCIvPjxEZWZhdWx0IEV4dGVuc2lvbj0ieG1sIiBDb250&#10;ZW50VHlwZT0iYXBwbGljYXRpb24veG1sIi8+PE92ZXJyaWRlIFBhcnROYW1lPSIvZHJzL2Rvd25y&#10;ZXYueG1sIiBDb250ZW50VHlwZT0iYXBwbGljYXRpb24vdm5kLm1zLW9mZmljZS5EcnNEb3duUmV2&#10;K3htbCIvPjxPdmVycmlkZSBQYXJ0TmFtZT0iL2Rycy9lMm9Eb2MueG1sIiBDb250ZW50VHlwZT0i&#10;YXBwbGljYXRpb24vdm5kLm1zLW9mZmljZS5EcnNFMm9Eb2MreG1sIi8+PC9UeXBlcz5QSwECFAAU&#10;AAAACACHTuJAfublIOYBAADhAQAAEwAAAAAAAAABACAAAADKBgAAW0NvbnRlbnRfVHlwZXNdLnht&#10;bFBLAQIUAAoAAAAAAIdO4kAAAAAAAAAAAAAAAAAGAAAAAAAAAAAAEAAAAOQEAABfcmVscy9QSwEC&#10;FAAUAAAACACHTuJAihRmPJkBAACUAQAACwAAAAAAAAABACAAAAAIBQAAX3JlbHMvLnJlbHNQSwEC&#10;FAAKAAAAAACHTuJAAAAAAAAAAAAAAAAABAAAAAAAAAAAABAAAAAAAAAAZHJzL1BLAQIUABQAAAAI&#10;AIdO4kCxSUMJEAEAAAsBAAAPAAAAAAAAAAEAIAAAACIAAABkcnMvZG93bnJldi54bWxQSwECFAAU&#10;AAAACACHTuJAoDXVMVkDAABUAwAADgAAAAAAAAABACAAAABfAQAAZHJzL2Uyb0RvYy54bWxQSwUG&#10;AAAAAAYABgBZAQAA4QgAAAAA&#10;">
                <v:fill on="t" focussize="0,0"/>
                <v:stroke on="f"/>
                <v:imagedata o:title=""/>
                <o:lock v:ext="edit" aspectratio="f"/>
              </v:rect>
            </w:pict>
          </mc:Fallback>
        </mc:AlternateContent>
      </w:r>
    </w:p>
    <w:p>
      <w:pPr>
        <w:pStyle w:val="4"/>
        <w:spacing w:line="256" w:lineRule="auto"/>
        <w:ind w:right="210"/>
      </w:pPr>
    </w:p>
    <w:p>
      <w:pPr>
        <w:pStyle w:val="4"/>
        <w:spacing w:line="256" w:lineRule="auto"/>
        <w:ind w:right="210"/>
      </w:pPr>
    </w:p>
    <w:p>
      <w:pPr>
        <w:pStyle w:val="4"/>
        <w:spacing w:line="256" w:lineRule="auto"/>
        <w:ind w:right="210"/>
      </w:pPr>
    </w:p>
    <w:p>
      <w:pPr>
        <w:pStyle w:val="4"/>
        <w:spacing w:line="256" w:lineRule="auto"/>
        <w:ind w:right="210"/>
      </w:pPr>
    </w:p>
    <w:p>
      <w:pPr>
        <w:pStyle w:val="4"/>
        <w:spacing w:line="256" w:lineRule="auto"/>
        <w:ind w:right="210"/>
      </w:pPr>
    </w:p>
    <w:p>
      <w:pPr>
        <w:ind w:right="210" w:firstLine="420"/>
        <w:rPr>
          <w:rFonts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pPr>
        <w:ind w:right="210" w:firstLine="1944"/>
        <w:rPr>
          <w:rFonts w:hint="eastAsia" w:ascii="微软雅黑" w:hAnsi="微软雅黑" w:eastAsia="微软雅黑" w:cs="微软雅黑"/>
          <w:sz w:val="96"/>
          <w:szCs w:val="96"/>
          <w:lang w:eastAsia="zh-CN"/>
        </w:rPr>
      </w:pPr>
      <w:r>
        <w:rPr>
          <w:rFonts w:hint="eastAsia" w:ascii="微软雅黑" w:hAnsi="微软雅黑" w:eastAsia="微软雅黑" w:cs="微软雅黑"/>
          <w:b/>
          <w:bCs/>
          <w:color w:val="FFFFFF"/>
          <w:spacing w:val="6"/>
          <w:sz w:val="96"/>
          <w:szCs w:val="96"/>
          <w:lang w:eastAsia="zh-CN"/>
        </w:rPr>
        <w:t>每日</w:t>
      </w:r>
      <w:r>
        <w:rPr>
          <w:rFonts w:ascii="微软雅黑" w:hAnsi="微软雅黑" w:eastAsia="微软雅黑" w:cs="微软雅黑"/>
          <w:b/>
          <w:bCs/>
          <w:color w:val="FFFFFF"/>
          <w:spacing w:val="6"/>
          <w:sz w:val="96"/>
          <w:szCs w:val="96"/>
          <w:lang w:eastAsia="zh-CN"/>
        </w:rPr>
        <w:t>市场报告</w:t>
      </w:r>
    </w:p>
    <w:p>
      <w:pPr>
        <w:pStyle w:val="4"/>
        <w:spacing w:line="244" w:lineRule="auto"/>
        <w:ind w:right="210"/>
        <w:rPr>
          <w:lang w:eastAsia="zh-CN"/>
        </w:rPr>
      </w:pPr>
    </w:p>
    <w:p>
      <w:pPr>
        <w:pStyle w:val="4"/>
        <w:spacing w:line="244" w:lineRule="auto"/>
        <w:ind w:right="210"/>
        <w:rPr>
          <w:lang w:eastAsia="zh-CN"/>
        </w:rPr>
      </w:pPr>
    </w:p>
    <w:p>
      <w:pPr>
        <w:pStyle w:val="4"/>
        <w:spacing w:line="244" w:lineRule="auto"/>
        <w:ind w:right="210"/>
        <w:rPr>
          <w:lang w:eastAsia="zh-CN"/>
        </w:rPr>
      </w:pPr>
    </w:p>
    <w:p>
      <w:pPr>
        <w:pStyle w:val="4"/>
        <w:spacing w:line="244" w:lineRule="auto"/>
        <w:ind w:right="210"/>
        <w:rPr>
          <w:lang w:eastAsia="zh-CN"/>
        </w:rPr>
      </w:pPr>
    </w:p>
    <w:p>
      <w:pPr>
        <w:pStyle w:val="4"/>
        <w:spacing w:line="244" w:lineRule="auto"/>
        <w:ind w:right="210"/>
        <w:rPr>
          <w:lang w:eastAsia="zh-CN"/>
        </w:rPr>
      </w:pPr>
    </w:p>
    <w:p>
      <w:pPr>
        <w:pStyle w:val="4"/>
        <w:spacing w:line="244" w:lineRule="auto"/>
        <w:ind w:right="210"/>
        <w:rPr>
          <w:lang w:eastAsia="zh-CN"/>
        </w:rPr>
      </w:pPr>
    </w:p>
    <w:p>
      <w:pPr>
        <w:pStyle w:val="4"/>
        <w:spacing w:line="244" w:lineRule="auto"/>
        <w:ind w:right="210"/>
        <w:rPr>
          <w:lang w:eastAsia="zh-CN"/>
        </w:rPr>
      </w:pPr>
    </w:p>
    <w:p>
      <w:pPr>
        <w:pStyle w:val="4"/>
        <w:spacing w:line="244"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pStyle w:val="4"/>
        <w:spacing w:line="245" w:lineRule="auto"/>
        <w:ind w:right="210"/>
        <w:rPr>
          <w:lang w:eastAsia="zh-CN"/>
        </w:rPr>
      </w:pPr>
    </w:p>
    <w:p>
      <w:pPr>
        <w:spacing w:before="206" w:line="204" w:lineRule="auto"/>
        <w:ind w:right="210" w:firstLine="7420" w:firstLineChars="1700"/>
        <w:rPr>
          <w:sz w:val="48"/>
          <w:szCs w:val="48"/>
          <w:lang w:eastAsia="zh-CN"/>
        </w:rPr>
      </w:pPr>
      <w:r>
        <w:rPr>
          <w:rFonts w:ascii="微软雅黑" w:hAnsi="微软雅黑" w:eastAsia="微软雅黑" w:cs="微软雅黑"/>
          <w:b/>
          <w:bCs/>
          <w:color w:val="005D97"/>
          <w:spacing w:val="-22"/>
          <w:sz w:val="48"/>
          <w:szCs w:val="48"/>
          <w:lang w:eastAsia="zh-CN"/>
        </w:rPr>
        <w:t>202</w:t>
      </w:r>
      <w:r>
        <w:rPr>
          <w:rFonts w:hint="eastAsia" w:ascii="微软雅黑" w:hAnsi="微软雅黑" w:eastAsia="微软雅黑" w:cs="微软雅黑"/>
          <w:b/>
          <w:bCs/>
          <w:color w:val="005D97"/>
          <w:spacing w:val="-22"/>
          <w:sz w:val="48"/>
          <w:szCs w:val="48"/>
          <w:lang w:eastAsia="zh-CN"/>
        </w:rPr>
        <w:t>5</w:t>
      </w:r>
      <w:r>
        <w:rPr>
          <w:rFonts w:ascii="微软雅黑" w:hAnsi="微软雅黑" w:eastAsia="微软雅黑" w:cs="微软雅黑"/>
          <w:b/>
          <w:bCs/>
          <w:color w:val="005D97"/>
          <w:spacing w:val="-22"/>
          <w:sz w:val="48"/>
          <w:szCs w:val="48"/>
          <w:lang w:eastAsia="zh-CN"/>
        </w:rPr>
        <w:t>年</w:t>
      </w:r>
      <w:r>
        <w:rPr>
          <w:rFonts w:hint="eastAsia" w:ascii="微软雅黑" w:hAnsi="微软雅黑" w:eastAsia="微软雅黑" w:cs="微软雅黑"/>
          <w:b/>
          <w:bCs/>
          <w:color w:val="005D97"/>
          <w:spacing w:val="-22"/>
          <w:sz w:val="48"/>
          <w:szCs w:val="48"/>
          <w:lang w:eastAsia="zh-CN"/>
        </w:rPr>
        <w:t>12</w:t>
      </w:r>
      <w:r>
        <w:rPr>
          <w:rFonts w:ascii="微软雅黑" w:hAnsi="微软雅黑" w:eastAsia="微软雅黑" w:cs="微软雅黑"/>
          <w:b/>
          <w:bCs/>
          <w:color w:val="005D97"/>
          <w:spacing w:val="-22"/>
          <w:sz w:val="48"/>
          <w:szCs w:val="48"/>
          <w:lang w:eastAsia="zh-CN"/>
        </w:rPr>
        <w:t>月</w:t>
      </w:r>
      <w:r>
        <w:rPr>
          <w:rFonts w:hint="eastAsia" w:ascii="微软雅黑" w:hAnsi="微软雅黑" w:eastAsia="微软雅黑" w:cs="微软雅黑"/>
          <w:b/>
          <w:bCs/>
          <w:color w:val="005D97"/>
          <w:spacing w:val="-22"/>
          <w:sz w:val="48"/>
          <w:szCs w:val="48"/>
          <w:lang w:eastAsia="zh-CN"/>
        </w:rPr>
        <w:t>31</w:t>
      </w:r>
      <w:r>
        <w:rPr>
          <w:rFonts w:ascii="微软雅黑" w:hAnsi="微软雅黑" w:eastAsia="微软雅黑" w:cs="微软雅黑"/>
          <w:b/>
          <w:bCs/>
          <w:color w:val="005D97"/>
          <w:spacing w:val="-22"/>
          <w:sz w:val="48"/>
          <w:szCs w:val="48"/>
          <w:lang w:eastAsia="zh-CN"/>
        </w:rPr>
        <w:t>日</w:t>
      </w:r>
      <w:r>
        <w:rPr>
          <w:rFonts w:ascii="微软雅黑" w:hAnsi="微软雅黑" w:eastAsia="微软雅黑" w:cs="微软雅黑"/>
          <w:b/>
          <w:bCs/>
          <w:color w:val="005D97"/>
          <w:spacing w:val="38"/>
          <w:sz w:val="48"/>
          <w:szCs w:val="48"/>
          <w:lang w:eastAsia="zh-CN"/>
        </w:rPr>
        <w:t xml:space="preserve"> </w:t>
      </w:r>
      <w:r>
        <w:rPr>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pPr>
        <w:spacing w:line="204" w:lineRule="auto"/>
        <w:ind w:right="210" w:firstLine="1008"/>
        <w:rPr>
          <w:sz w:val="48"/>
          <w:szCs w:val="48"/>
          <w:lang w:eastAsia="zh-CN"/>
        </w:rPr>
        <w:sectPr>
          <w:headerReference r:id="rId3" w:type="default"/>
          <w:pgSz w:w="11906" w:h="16838"/>
          <w:pgMar w:top="400" w:right="0" w:bottom="0" w:left="0" w:header="0" w:footer="340" w:gutter="0"/>
          <w:cols w:space="720" w:num="1"/>
        </w:sectPr>
      </w:pPr>
    </w:p>
    <w:p>
      <w:pPr>
        <w:spacing w:before="120" w:line="190" w:lineRule="auto"/>
        <w:ind w:right="210" w:firstLine="560"/>
        <w:rPr>
          <w:rFonts w:hint="eastAsia" w:ascii="微软雅黑" w:hAnsi="微软雅黑" w:eastAsia="微软雅黑" w:cs="微软雅黑"/>
          <w:b/>
          <w:bCs/>
          <w:color w:val="036EB8"/>
          <w:spacing w:val="15"/>
          <w:sz w:val="28"/>
          <w:szCs w:val="28"/>
          <w:lang w:eastAsia="zh-CN"/>
        </w:rPr>
      </w:pPr>
      <w:r>
        <w:rPr>
          <w:rFonts w:ascii="微软雅黑" w:hAnsi="微软雅黑" w:eastAsia="微软雅黑" w:cs="微软雅黑"/>
          <w:color w:val="036EB8"/>
          <w:position w:val="-4"/>
          <w:sz w:val="28"/>
          <w:szCs w:val="28"/>
          <w:lang w:eastAsia="zh-CN"/>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9"/>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lang w:eastAsia="zh-CN"/>
        </w:rPr>
        <w:t xml:space="preserve"> </w:t>
      </w:r>
      <w:r>
        <w:rPr>
          <w:rFonts w:hint="eastAsia" w:ascii="微软雅黑" w:hAnsi="微软雅黑" w:eastAsia="微软雅黑" w:cs="微软雅黑"/>
          <w:b/>
          <w:bCs/>
          <w:color w:val="036EB8"/>
          <w:spacing w:val="15"/>
          <w:sz w:val="28"/>
          <w:szCs w:val="28"/>
          <w:lang w:eastAsia="zh-CN"/>
        </w:rPr>
        <w:t>市场综述</w:t>
      </w:r>
    </w:p>
    <w:p>
      <w:pPr>
        <w:ind w:firstLine="468" w:firstLineChars="200"/>
        <w:rPr>
          <w:rFonts w:hint="eastAsia" w:ascii="微软雅黑" w:hAnsi="微软雅黑" w:eastAsia="微软雅黑" w:cs="微软雅黑"/>
          <w:spacing w:val="12"/>
          <w:lang w:eastAsia="zh-CN"/>
        </w:rPr>
      </w:pPr>
      <w:r>
        <w:rPr>
          <w:rFonts w:hint="eastAsia" w:ascii="微软雅黑" w:hAnsi="微软雅黑" w:eastAsia="微软雅黑" w:cs="微软雅黑"/>
          <w:spacing w:val="12"/>
          <w:lang w:eastAsia="zh-CN"/>
        </w:rPr>
        <w:t>美国三大股指小幅收跌，</w:t>
      </w:r>
      <w:r>
        <w:rPr>
          <w:rFonts w:ascii="微软雅黑" w:hAnsi="微软雅黑" w:eastAsia="微软雅黑" w:cs="微软雅黑"/>
          <w:spacing w:val="12"/>
          <w:lang w:eastAsia="zh-CN"/>
        </w:rPr>
        <w:t>道指</w:t>
      </w:r>
      <w:r>
        <w:rPr>
          <w:rFonts w:hint="eastAsia" w:ascii="微软雅黑" w:hAnsi="微软雅黑" w:eastAsia="微软雅黑" w:cs="微软雅黑"/>
          <w:spacing w:val="12"/>
          <w:lang w:eastAsia="zh-CN"/>
        </w:rPr>
        <w:t>跌0.2%报48367.06点，</w:t>
      </w:r>
      <w:r>
        <w:rPr>
          <w:rFonts w:ascii="微软雅黑" w:hAnsi="微软雅黑" w:eastAsia="微软雅黑" w:cs="微软雅黑"/>
          <w:spacing w:val="12"/>
          <w:lang w:eastAsia="zh-CN"/>
        </w:rPr>
        <w:t>标普500指数</w:t>
      </w:r>
      <w:r>
        <w:rPr>
          <w:rFonts w:hint="eastAsia" w:ascii="微软雅黑" w:hAnsi="微软雅黑" w:eastAsia="微软雅黑" w:cs="微软雅黑"/>
          <w:spacing w:val="12"/>
          <w:lang w:eastAsia="zh-CN"/>
        </w:rPr>
        <w:t>跌0.14%报6896.24点，</w:t>
      </w:r>
      <w:r>
        <w:rPr>
          <w:rFonts w:ascii="微软雅黑" w:hAnsi="微软雅黑" w:eastAsia="微软雅黑" w:cs="微软雅黑"/>
          <w:spacing w:val="12"/>
          <w:lang w:eastAsia="zh-CN"/>
        </w:rPr>
        <w:t>纳指</w:t>
      </w:r>
      <w:r>
        <w:rPr>
          <w:rFonts w:hint="eastAsia" w:ascii="微软雅黑" w:hAnsi="微软雅黑" w:eastAsia="微软雅黑" w:cs="微软雅黑"/>
          <w:spacing w:val="12"/>
          <w:lang w:eastAsia="zh-CN"/>
        </w:rPr>
        <w:t>跌0.24%报2</w:t>
      </w:r>
      <w:r>
        <w:rPr>
          <w:rFonts w:ascii="微软雅黑" w:hAnsi="微软雅黑" w:eastAsia="微软雅黑" w:cs="微软雅黑"/>
          <w:spacing w:val="12"/>
          <w:lang w:eastAsia="zh-CN"/>
        </w:rPr>
        <w:t>3419</w:t>
      </w:r>
      <w:r>
        <w:rPr>
          <w:rFonts w:hint="eastAsia" w:ascii="微软雅黑" w:hAnsi="微软雅黑" w:eastAsia="微软雅黑" w:cs="微软雅黑"/>
          <w:spacing w:val="12"/>
          <w:lang w:eastAsia="zh-CN"/>
        </w:rPr>
        <w:t>.08点。美元指数涨0.22%报98.22，非美货币涨跌互现，</w:t>
      </w:r>
      <w:r>
        <w:rPr>
          <w:rFonts w:ascii="微软雅黑" w:hAnsi="微软雅黑" w:eastAsia="微软雅黑" w:cs="微软雅黑"/>
          <w:spacing w:val="12"/>
          <w:lang w:eastAsia="zh-CN"/>
        </w:rPr>
        <w:t>欧元兑美元</w:t>
      </w:r>
      <w:r>
        <w:rPr>
          <w:rFonts w:hint="eastAsia" w:ascii="微软雅黑" w:hAnsi="微软雅黑" w:eastAsia="微软雅黑" w:cs="微软雅黑"/>
          <w:spacing w:val="12"/>
          <w:lang w:eastAsia="zh-CN"/>
        </w:rPr>
        <w:t>跌0.22%报1.1748，</w:t>
      </w:r>
      <w:r>
        <w:rPr>
          <w:rFonts w:ascii="微软雅黑" w:hAnsi="微软雅黑" w:eastAsia="微软雅黑" w:cs="微软雅黑"/>
          <w:spacing w:val="12"/>
          <w:lang w:eastAsia="zh-CN"/>
        </w:rPr>
        <w:t>英镑兑美元</w:t>
      </w:r>
      <w:r>
        <w:rPr>
          <w:rFonts w:hint="eastAsia" w:ascii="微软雅黑" w:hAnsi="微软雅黑" w:eastAsia="微软雅黑" w:cs="微软雅黑"/>
          <w:spacing w:val="12"/>
          <w:lang w:eastAsia="zh-CN"/>
        </w:rPr>
        <w:t>跌0.34%报1.</w:t>
      </w:r>
      <w:r>
        <w:rPr>
          <w:rFonts w:ascii="微软雅黑" w:hAnsi="微软雅黑" w:eastAsia="微软雅黑" w:cs="微软雅黑"/>
          <w:spacing w:val="12"/>
          <w:lang w:eastAsia="zh-CN"/>
        </w:rPr>
        <w:t>3469</w:t>
      </w:r>
      <w:r>
        <w:rPr>
          <w:rFonts w:hint="eastAsia" w:ascii="微软雅黑" w:hAnsi="微软雅黑" w:eastAsia="微软雅黑" w:cs="微软雅黑"/>
          <w:spacing w:val="12"/>
          <w:lang w:eastAsia="zh-CN"/>
        </w:rPr>
        <w:t>，</w:t>
      </w:r>
      <w:r>
        <w:rPr>
          <w:rFonts w:ascii="微软雅黑" w:hAnsi="微软雅黑" w:eastAsia="微软雅黑" w:cs="微软雅黑"/>
          <w:spacing w:val="12"/>
          <w:lang w:eastAsia="zh-CN"/>
        </w:rPr>
        <w:t>美元兑日元</w:t>
      </w:r>
      <w:r>
        <w:rPr>
          <w:rFonts w:hint="eastAsia" w:ascii="微软雅黑" w:hAnsi="微软雅黑" w:eastAsia="微软雅黑" w:cs="微软雅黑"/>
          <w:spacing w:val="12"/>
          <w:lang w:eastAsia="zh-CN"/>
        </w:rPr>
        <w:t>涨0.25%报156.4255，</w:t>
      </w:r>
      <w:r>
        <w:rPr>
          <w:rFonts w:ascii="微软雅黑" w:hAnsi="微软雅黑" w:eastAsia="微软雅黑" w:cs="微软雅黑"/>
          <w:spacing w:val="12"/>
          <w:lang w:eastAsia="zh-CN"/>
        </w:rPr>
        <w:t>美元兑加元</w:t>
      </w:r>
      <w:r>
        <w:rPr>
          <w:rFonts w:hint="eastAsia" w:ascii="微软雅黑" w:hAnsi="微软雅黑" w:eastAsia="微软雅黑" w:cs="微软雅黑"/>
          <w:spacing w:val="12"/>
          <w:lang w:eastAsia="zh-CN"/>
        </w:rPr>
        <w:t>涨0.07%报1.3697，</w:t>
      </w:r>
      <w:r>
        <w:rPr>
          <w:rFonts w:ascii="微软雅黑" w:hAnsi="微软雅黑" w:eastAsia="微软雅黑" w:cs="微软雅黑"/>
          <w:spacing w:val="12"/>
          <w:lang w:eastAsia="zh-CN"/>
        </w:rPr>
        <w:t>美元兑瑞郎</w:t>
      </w:r>
      <w:r>
        <w:rPr>
          <w:rFonts w:hint="eastAsia" w:ascii="微软雅黑" w:hAnsi="微软雅黑" w:eastAsia="微软雅黑" w:cs="微软雅黑"/>
          <w:spacing w:val="12"/>
          <w:lang w:eastAsia="zh-CN"/>
        </w:rPr>
        <w:t>涨0.31%报0.7917，</w:t>
      </w:r>
      <w:r>
        <w:rPr>
          <w:rFonts w:ascii="微软雅黑" w:hAnsi="微软雅黑" w:eastAsia="微软雅黑" w:cs="微软雅黑"/>
          <w:spacing w:val="12"/>
          <w:lang w:eastAsia="zh-CN"/>
        </w:rPr>
        <w:t>离岸人民币对美元</w:t>
      </w:r>
      <w:r>
        <w:rPr>
          <w:rFonts w:hint="eastAsia" w:ascii="微软雅黑" w:hAnsi="微软雅黑" w:eastAsia="微软雅黑" w:cs="微软雅黑"/>
          <w:spacing w:val="12"/>
          <w:lang w:eastAsia="zh-CN"/>
        </w:rPr>
        <w:t>上涨57.0个基点报6.9923。</w:t>
      </w:r>
      <w:r>
        <w:rPr>
          <w:rFonts w:ascii="微软雅黑" w:hAnsi="微软雅黑" w:eastAsia="微软雅黑" w:cs="微软雅黑"/>
          <w:spacing w:val="12"/>
          <w:lang w:eastAsia="zh-CN"/>
        </w:rPr>
        <w:t>美油</w:t>
      </w:r>
      <w:r>
        <w:rPr>
          <w:rFonts w:hint="eastAsia" w:ascii="微软雅黑" w:hAnsi="微软雅黑" w:eastAsia="微软雅黑" w:cs="微软雅黑"/>
          <w:spacing w:val="12"/>
          <w:lang w:eastAsia="zh-CN"/>
        </w:rPr>
        <w:t>主力合约收跌0.22%，报57.95美元/桶；</w:t>
      </w:r>
      <w:r>
        <w:rPr>
          <w:rFonts w:ascii="微软雅黑" w:hAnsi="微软雅黑" w:eastAsia="微软雅黑" w:cs="微软雅黑"/>
          <w:spacing w:val="12"/>
          <w:lang w:eastAsia="zh-CN"/>
        </w:rPr>
        <w:t>布伦特原油</w:t>
      </w:r>
      <w:r>
        <w:rPr>
          <w:rFonts w:hint="eastAsia" w:ascii="微软雅黑" w:hAnsi="微软雅黑" w:eastAsia="微软雅黑" w:cs="微软雅黑"/>
          <w:spacing w:val="12"/>
          <w:lang w:eastAsia="zh-CN"/>
        </w:rPr>
        <w:t>主力合约跌0.24%，报61.34美元/桶。</w:t>
      </w:r>
      <w:r>
        <w:rPr>
          <w:rFonts w:ascii="微软雅黑" w:hAnsi="微软雅黑" w:eastAsia="微软雅黑" w:cs="微软雅黑"/>
          <w:spacing w:val="12"/>
          <w:lang w:eastAsia="zh-CN"/>
        </w:rPr>
        <w:t>COMEX黄金期货</w:t>
      </w:r>
      <w:r>
        <w:rPr>
          <w:rFonts w:hint="eastAsia" w:ascii="微软雅黑" w:hAnsi="微软雅黑" w:eastAsia="微软雅黑" w:cs="微软雅黑"/>
          <w:spacing w:val="12"/>
          <w:lang w:eastAsia="zh-CN"/>
        </w:rPr>
        <w:t>涨0.20%报4352.30美元/盎司，</w:t>
      </w:r>
      <w:r>
        <w:rPr>
          <w:rFonts w:ascii="微软雅黑" w:hAnsi="微软雅黑" w:eastAsia="微软雅黑" w:cs="微软雅黑"/>
          <w:spacing w:val="12"/>
          <w:lang w:eastAsia="zh-CN"/>
        </w:rPr>
        <w:t>COMEX白银期货</w:t>
      </w:r>
      <w:r>
        <w:rPr>
          <w:rFonts w:hint="eastAsia" w:ascii="微软雅黑" w:hAnsi="微软雅黑" w:eastAsia="微软雅黑" w:cs="微软雅黑"/>
          <w:spacing w:val="12"/>
          <w:lang w:eastAsia="zh-CN"/>
        </w:rPr>
        <w:t>涨7.88%报76.02美元/盎司。</w:t>
      </w:r>
      <w:r>
        <w:rPr>
          <w:rFonts w:ascii="微软雅黑" w:hAnsi="微软雅黑" w:eastAsia="微软雅黑" w:cs="微软雅黑"/>
          <w:spacing w:val="12"/>
          <w:lang w:eastAsia="zh-CN"/>
        </w:rPr>
        <w:t>ICE</w:t>
      </w:r>
      <w:r>
        <w:rPr>
          <w:rFonts w:hint="eastAsia" w:ascii="微软雅黑" w:hAnsi="微软雅黑" w:eastAsia="微软雅黑" w:cs="微软雅黑"/>
          <w:spacing w:val="12"/>
          <w:lang w:eastAsia="zh-CN"/>
        </w:rPr>
        <w:t>原糖主力合约跌2.62%报14.86美分</w:t>
      </w:r>
      <w:r>
        <w:rPr>
          <w:rFonts w:ascii="微软雅黑" w:hAnsi="微软雅黑" w:eastAsia="微软雅黑" w:cs="微软雅黑"/>
          <w:spacing w:val="12"/>
          <w:lang w:eastAsia="zh-CN"/>
        </w:rPr>
        <w:t>/</w:t>
      </w:r>
      <w:r>
        <w:rPr>
          <w:rFonts w:hint="eastAsia" w:ascii="微软雅黑" w:hAnsi="微软雅黑" w:eastAsia="微软雅黑" w:cs="微软雅黑"/>
          <w:spacing w:val="12"/>
          <w:lang w:eastAsia="zh-CN"/>
        </w:rPr>
        <w:t>磅，</w:t>
      </w:r>
      <w:r>
        <w:rPr>
          <w:rFonts w:ascii="微软雅黑" w:hAnsi="微软雅黑" w:eastAsia="微软雅黑" w:cs="微软雅黑"/>
          <w:spacing w:val="12"/>
          <w:lang w:eastAsia="zh-CN"/>
        </w:rPr>
        <w:t>ICE</w:t>
      </w:r>
      <w:r>
        <w:rPr>
          <w:rFonts w:hint="eastAsia" w:ascii="微软雅黑" w:hAnsi="微软雅黑" w:eastAsia="微软雅黑" w:cs="微软雅黑"/>
          <w:spacing w:val="12"/>
          <w:lang w:eastAsia="zh-CN"/>
        </w:rPr>
        <w:t>棉花主力合约跌0.08%报64.30</w:t>
      </w:r>
      <w:r>
        <w:rPr>
          <w:rFonts w:ascii="微软雅黑" w:hAnsi="微软雅黑" w:eastAsia="微软雅黑" w:cs="微软雅黑"/>
          <w:spacing w:val="12"/>
          <w:lang w:eastAsia="zh-CN"/>
        </w:rPr>
        <w:t>/</w:t>
      </w:r>
      <w:r>
        <w:rPr>
          <w:rFonts w:hint="eastAsia" w:ascii="微软雅黑" w:hAnsi="微软雅黑" w:eastAsia="微软雅黑" w:cs="微软雅黑"/>
          <w:spacing w:val="12"/>
          <w:lang w:eastAsia="zh-CN"/>
        </w:rPr>
        <w:t>磅。</w:t>
      </w:r>
    </w:p>
    <w:p>
      <w:pPr>
        <w:spacing w:before="103" w:line="257" w:lineRule="auto"/>
        <w:ind w:left="210" w:right="210" w:firstLine="468" w:firstLineChars="200"/>
        <w:jc w:val="both"/>
        <w:rPr>
          <w:rFonts w:hint="eastAsia" w:ascii="微软雅黑" w:hAnsi="微软雅黑" w:eastAsia="微软雅黑" w:cs="微软雅黑"/>
          <w:spacing w:val="12"/>
          <w:lang w:eastAsia="zh-CN"/>
        </w:rPr>
      </w:pPr>
      <w:r>
        <w:rPr>
          <w:rFonts w:ascii="微软雅黑" w:hAnsi="微软雅黑" w:eastAsia="微软雅黑" w:cs="微软雅黑"/>
          <w:spacing w:val="12"/>
          <w:lang w:eastAsia="zh-CN"/>
        </w:rPr>
        <w:t>图表1</w:t>
      </w:r>
      <w:r>
        <w:rPr>
          <w:rFonts w:hint="eastAsia" w:ascii="微软雅黑" w:hAnsi="微软雅黑" w:eastAsia="微软雅黑" w:cs="微软雅黑"/>
          <w:spacing w:val="12"/>
          <w:lang w:eastAsia="zh-CN"/>
        </w:rPr>
        <w:t>：</w:t>
      </w:r>
      <w:r>
        <w:rPr>
          <w:rFonts w:ascii="微软雅黑" w:hAnsi="微软雅黑" w:eastAsia="微软雅黑" w:cs="微软雅黑"/>
          <w:spacing w:val="12"/>
          <w:lang w:eastAsia="zh-CN"/>
        </w:rPr>
        <w:t>全球</w:t>
      </w:r>
      <w:r>
        <w:rPr>
          <w:rFonts w:hint="eastAsia" w:ascii="微软雅黑" w:hAnsi="微软雅黑" w:eastAsia="微软雅黑" w:cs="微软雅黑"/>
          <w:spacing w:val="12"/>
          <w:lang w:eastAsia="zh-CN"/>
        </w:rPr>
        <w:t>主要股指</w:t>
      </w:r>
      <w:r>
        <w:rPr>
          <w:rFonts w:ascii="微软雅黑" w:hAnsi="微软雅黑" w:eastAsia="微软雅黑" w:cs="微软雅黑"/>
          <w:spacing w:val="12"/>
          <w:lang w:eastAsia="zh-CN"/>
        </w:rPr>
        <w:t>涨跌幅</w:t>
      </w:r>
      <w:r>
        <w:rPr>
          <w:rFonts w:hint="eastAsia" w:ascii="微软雅黑" w:hAnsi="微软雅黑" w:eastAsia="微软雅黑" w:cs="微软雅黑"/>
          <w:spacing w:val="12"/>
          <w:lang w:eastAsia="zh-CN"/>
        </w:rPr>
        <w:t>（%）</w:t>
      </w:r>
    </w:p>
    <w:p>
      <w:pPr>
        <w:spacing w:before="103" w:line="257" w:lineRule="auto"/>
        <w:ind w:left="210" w:right="210" w:firstLine="468" w:firstLineChars="200"/>
        <w:jc w:val="center"/>
        <w:rPr>
          <w:rFonts w:hint="eastAsia" w:ascii="微软雅黑" w:hAnsi="微软雅黑" w:eastAsia="微软雅黑" w:cs="微软雅黑"/>
          <w:spacing w:val="12"/>
          <w:lang w:eastAsia="zh-CN"/>
        </w:rPr>
      </w:pPr>
      <w:r>
        <w:rPr>
          <w:rFonts w:hint="eastAsia" w:ascii="微软雅黑" w:hAnsi="微软雅黑" w:eastAsia="微软雅黑" w:cs="微软雅黑"/>
          <w:spacing w:val="12"/>
          <w:lang w:eastAsia="zh-CN"/>
        </w:rPr>
        <w:drawing>
          <wp:inline distT="0" distB="0" distL="0" distR="0">
            <wp:extent cx="6231890" cy="3684270"/>
            <wp:effectExtent l="0" t="0" r="0" b="0"/>
            <wp:docPr id="11700963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6397"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52371" cy="3696847"/>
                    </a:xfrm>
                    <a:prstGeom prst="rect">
                      <a:avLst/>
                    </a:prstGeom>
                    <a:noFill/>
                  </pic:spPr>
                </pic:pic>
              </a:graphicData>
            </a:graphic>
          </wp:inline>
        </w:drawing>
      </w:r>
    </w:p>
    <w:p>
      <w:pPr>
        <w:spacing w:before="103" w:line="257" w:lineRule="auto"/>
        <w:ind w:right="210" w:firstLine="468" w:firstLineChars="200"/>
        <w:jc w:val="both"/>
        <w:rPr>
          <w:rFonts w:hint="eastAsia" w:ascii="微软雅黑" w:hAnsi="微软雅黑" w:eastAsia="微软雅黑" w:cs="微软雅黑"/>
          <w:spacing w:val="12"/>
          <w:lang w:eastAsia="zh-CN"/>
        </w:rPr>
      </w:pPr>
      <w:r>
        <w:rPr>
          <w:rFonts w:hint="eastAsia" w:ascii="微软雅黑" w:hAnsi="微软雅黑" w:eastAsia="微软雅黑" w:cs="微软雅黑"/>
          <w:spacing w:val="12"/>
          <w:lang w:eastAsia="zh-CN"/>
        </w:rPr>
        <w:t>资料来源：公开资料整理、瑞达国际</w:t>
      </w:r>
    </w:p>
    <w:p>
      <w:pPr>
        <w:spacing w:before="103" w:line="257" w:lineRule="auto"/>
        <w:ind w:right="210" w:firstLine="468" w:firstLineChars="200"/>
        <w:jc w:val="both"/>
        <w:rPr>
          <w:rFonts w:hint="eastAsia" w:ascii="微软雅黑" w:hAnsi="微软雅黑" w:eastAsia="微软雅黑" w:cs="微软雅黑"/>
          <w:spacing w:val="12"/>
          <w:lang w:eastAsia="zh-CN"/>
        </w:rPr>
      </w:pPr>
    </w:p>
    <w:p>
      <w:pPr>
        <w:pStyle w:val="16"/>
        <w:numPr>
          <w:ilvl w:val="0"/>
          <w:numId w:val="1"/>
        </w:numPr>
        <w:spacing w:before="120" w:line="190" w:lineRule="auto"/>
        <w:ind w:right="210" w:firstLineChars="0"/>
        <w:rPr>
          <w:rFonts w:hint="eastAsia" w:ascii="微软雅黑" w:hAnsi="微软雅黑" w:eastAsia="微软雅黑" w:cs="微软雅黑"/>
          <w:b/>
          <w:bCs/>
          <w:color w:val="036EB8"/>
          <w:spacing w:val="15"/>
          <w:sz w:val="28"/>
          <w:szCs w:val="28"/>
          <w:lang w:eastAsia="zh-CN"/>
        </w:rPr>
      </w:pPr>
      <w:r>
        <w:rPr>
          <w:rFonts w:hint="eastAsia" w:ascii="微软雅黑" w:hAnsi="微软雅黑" w:eastAsia="微软雅黑" w:cs="微软雅黑"/>
          <w:b/>
          <w:bCs/>
          <w:color w:val="036EB8"/>
          <w:spacing w:val="15"/>
          <w:sz w:val="28"/>
          <w:szCs w:val="28"/>
          <w:lang w:eastAsia="zh-CN"/>
        </w:rPr>
        <w:t>消息回顾</w:t>
      </w:r>
    </w:p>
    <w:p>
      <w:pPr>
        <w:spacing w:before="102"/>
        <w:ind w:right="210"/>
        <w:jc w:val="both"/>
        <w:rPr>
          <w:rFonts w:hint="eastAsia" w:ascii="微软雅黑" w:hAnsi="微软雅黑" w:eastAsia="微软雅黑" w:cs="宋体"/>
          <w:color w:val="auto"/>
          <w:spacing w:val="4"/>
          <w:lang w:eastAsia="zh-CN"/>
        </w:rPr>
      </w:pPr>
      <w:r>
        <w:rPr>
          <w:rFonts w:hint="eastAsia" w:ascii="微软雅黑" w:hAnsi="微软雅黑" w:eastAsia="微软雅黑" w:cs="微软雅黑"/>
          <w:color w:val="auto"/>
          <w:spacing w:val="4"/>
          <w:lang w:eastAsia="zh-CN"/>
        </w:rPr>
        <w:t>【</w:t>
      </w:r>
      <w:r>
        <w:rPr>
          <w:rFonts w:hint="eastAsia" w:ascii="微软雅黑" w:hAnsi="微软雅黑" w:eastAsia="微软雅黑" w:cs="宋体"/>
          <w:color w:val="auto"/>
          <w:spacing w:val="4"/>
          <w:lang w:eastAsia="zh-CN"/>
        </w:rPr>
        <w:t>美国总统特朗普再次威胁，他可能会因</w:t>
      </w:r>
      <w:r>
        <w:rPr>
          <w:rFonts w:ascii="微软雅黑" w:hAnsi="微软雅黑" w:eastAsia="微软雅黑" w:cs="宋体"/>
          <w:color w:val="auto"/>
          <w:spacing w:val="4"/>
          <w:lang w:eastAsia="zh-CN"/>
        </w:rPr>
        <w:t>“</w:t>
      </w:r>
      <w:r>
        <w:rPr>
          <w:rFonts w:hint="eastAsia" w:ascii="微软雅黑" w:hAnsi="微软雅黑" w:eastAsia="微软雅黑" w:cs="宋体"/>
          <w:color w:val="auto"/>
          <w:spacing w:val="4"/>
          <w:lang w:eastAsia="zh-CN"/>
        </w:rPr>
        <w:t>严重失职</w:t>
      </w:r>
      <w:r>
        <w:rPr>
          <w:rFonts w:ascii="微软雅黑" w:hAnsi="微软雅黑" w:eastAsia="微软雅黑" w:cs="宋体"/>
          <w:color w:val="auto"/>
          <w:spacing w:val="4"/>
          <w:lang w:eastAsia="zh-CN"/>
        </w:rPr>
        <w:t>”</w:t>
      </w:r>
      <w:r>
        <w:rPr>
          <w:rFonts w:hint="eastAsia" w:ascii="微软雅黑" w:hAnsi="微软雅黑" w:eastAsia="微软雅黑" w:cs="宋体"/>
          <w:color w:val="auto"/>
          <w:spacing w:val="4"/>
          <w:lang w:eastAsia="zh-CN"/>
        </w:rPr>
        <w:t>而起诉现任美联储主席鲍威尔。特朗普还表示，自己心中已有美联储下任主席的心仪人选，预计明年1月宣布。】</w:t>
      </w:r>
    </w:p>
    <w:p>
      <w:pPr>
        <w:spacing w:before="102"/>
        <w:ind w:right="210"/>
        <w:jc w:val="both"/>
        <w:rPr>
          <w:rFonts w:hint="eastAsia" w:ascii="微软雅黑" w:hAnsi="微软雅黑" w:eastAsia="微软雅黑" w:cs="宋体"/>
          <w:color w:val="auto"/>
          <w:spacing w:val="4"/>
          <w:lang w:eastAsia="zh-CN"/>
        </w:rPr>
      </w:pPr>
      <w:r>
        <w:rPr>
          <w:rFonts w:hint="eastAsia" w:ascii="微软雅黑" w:hAnsi="微软雅黑" w:eastAsia="微软雅黑" w:cs="宋体"/>
          <w:color w:val="auto"/>
          <w:spacing w:val="4"/>
          <w:lang w:eastAsia="zh-CN"/>
        </w:rPr>
        <w:t>【今日凌晨，美联储公布的</w:t>
      </w:r>
      <w:r>
        <w:rPr>
          <w:rFonts w:ascii="微软雅黑" w:hAnsi="微软雅黑" w:eastAsia="微软雅黑" w:cs="宋体"/>
          <w:color w:val="auto"/>
          <w:spacing w:val="4"/>
          <w:lang w:eastAsia="zh-CN"/>
        </w:rPr>
        <w:t>12</w:t>
      </w:r>
      <w:r>
        <w:rPr>
          <w:rFonts w:hint="eastAsia" w:ascii="微软雅黑" w:hAnsi="微软雅黑" w:eastAsia="微软雅黑" w:cs="宋体"/>
          <w:color w:val="auto"/>
          <w:spacing w:val="4"/>
          <w:lang w:eastAsia="zh-CN"/>
        </w:rPr>
        <w:t>月会议纪要显示，</w:t>
      </w:r>
      <w:r>
        <w:rPr>
          <w:rFonts w:ascii="微软雅黑" w:hAnsi="微软雅黑" w:eastAsia="微软雅黑" w:cs="宋体"/>
          <w:color w:val="auto"/>
          <w:spacing w:val="4"/>
          <w:lang w:eastAsia="zh-CN"/>
        </w:rPr>
        <w:t xml:space="preserve"> FOMC</w:t>
      </w:r>
      <w:r>
        <w:rPr>
          <w:rFonts w:hint="eastAsia" w:ascii="微软雅黑" w:hAnsi="微软雅黑" w:eastAsia="微软雅黑" w:cs="宋体"/>
          <w:color w:val="auto"/>
          <w:spacing w:val="4"/>
          <w:lang w:eastAsia="zh-CN"/>
        </w:rPr>
        <w:t>在</w:t>
      </w:r>
      <w:r>
        <w:rPr>
          <w:rFonts w:ascii="微软雅黑" w:hAnsi="微软雅黑" w:eastAsia="微软雅黑" w:cs="宋体"/>
          <w:color w:val="auto"/>
          <w:spacing w:val="4"/>
          <w:lang w:eastAsia="zh-CN"/>
        </w:rPr>
        <w:t>12</w:t>
      </w:r>
      <w:r>
        <w:rPr>
          <w:rFonts w:hint="eastAsia" w:ascii="微软雅黑" w:hAnsi="微软雅黑" w:eastAsia="微软雅黑" w:cs="宋体"/>
          <w:color w:val="auto"/>
          <w:spacing w:val="4"/>
          <w:lang w:eastAsia="zh-CN"/>
        </w:rPr>
        <w:t>月会议上同意降息，但官员们分歧严重。一些与会者表示，根据他们的经济展望，在本次会议下调利率区间后，可能需要在一段时间内保持目标利率区间不变。纪要同时显示，如果通胀如预期般逐步下降，大多数官员认为进一步降息是合适的。委员们一致认为，准备金余额已经下降到充足的水平，委员会将根据需要开始购买短期国债，以持续保持充足的准备金供应。他们还同意取消对常备回购操作的总额限制。】</w:t>
      </w:r>
    </w:p>
    <w:p>
      <w:pPr>
        <w:spacing w:before="102" w:line="257" w:lineRule="auto"/>
        <w:ind w:right="210"/>
        <w:jc w:val="both"/>
        <w:rPr>
          <w:rFonts w:hint="eastAsia" w:ascii="微软雅黑" w:hAnsi="微软雅黑" w:eastAsia="微软雅黑" w:cs="微软雅黑"/>
          <w:color w:val="auto"/>
          <w:spacing w:val="4"/>
          <w:lang w:eastAsia="zh-CN"/>
        </w:rPr>
      </w:pPr>
      <w:r>
        <w:rPr>
          <w:rFonts w:hint="eastAsia" w:ascii="微软雅黑" w:hAnsi="微软雅黑" w:eastAsia="微软雅黑" w:cs="宋体"/>
          <w:color w:val="auto"/>
          <w:spacing w:val="4"/>
          <w:lang w:eastAsia="zh-CN"/>
        </w:rPr>
        <w:t>【欧洲之星公司发布预警，英法海底隧道接触网供电系统出现故障，导致乘客列车大面积严重延误。此次运营中断正值新年出行高峰，致使欧洲最繁忙的跨境铁路干线之一全线停运。】</w:t>
      </w:r>
    </w:p>
    <w:p>
      <w:pPr>
        <w:spacing w:before="120" w:line="190" w:lineRule="auto"/>
        <w:ind w:right="210" w:rightChars="100" w:firstLine="560"/>
        <w:rPr>
          <w:rFonts w:hint="eastAsia" w:ascii="微软雅黑" w:hAnsi="微软雅黑" w:eastAsia="微软雅黑" w:cs="微软雅黑"/>
          <w:sz w:val="28"/>
          <w:szCs w:val="28"/>
          <w:lang w:eastAsia="zh-CN"/>
        </w:rPr>
      </w:pPr>
      <w:r>
        <w:rPr>
          <w:rFonts w:ascii="微软雅黑" w:hAnsi="微软雅黑" w:eastAsia="微软雅黑" w:cs="微软雅黑"/>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9"/>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lang w:eastAsia="zh-CN"/>
        </w:rPr>
        <w:t xml:space="preserve"> </w:t>
      </w:r>
      <w:r>
        <w:rPr>
          <w:rFonts w:hint="eastAsia" w:ascii="微软雅黑" w:hAnsi="微软雅黑" w:eastAsia="微软雅黑" w:cs="微软雅黑"/>
          <w:b/>
          <w:bCs/>
          <w:color w:val="036EB8"/>
          <w:spacing w:val="19"/>
          <w:sz w:val="28"/>
          <w:szCs w:val="28"/>
          <w:lang w:eastAsia="zh-CN"/>
        </w:rPr>
        <w:t>今日关注</w:t>
      </w:r>
    </w:p>
    <w:tbl>
      <w:tblPr>
        <w:tblStyle w:val="14"/>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65"/>
        <w:gridCol w:w="652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865" w:type="dxa"/>
            <w:shd w:val="clear" w:color="auto" w:fill="3D85C1"/>
          </w:tcPr>
          <w:p>
            <w:pPr>
              <w:pStyle w:val="13"/>
              <w:rPr>
                <w:rFonts w:hint="eastAsia"/>
              </w:rPr>
            </w:pPr>
            <w:bookmarkStart w:id="0" w:name="_Hlk185920439"/>
            <w:r>
              <w:t>时间</w:t>
            </w:r>
          </w:p>
        </w:tc>
        <w:tc>
          <w:tcPr>
            <w:tcW w:w="6524" w:type="dxa"/>
            <w:shd w:val="clear" w:color="auto" w:fill="3D85C1"/>
          </w:tcPr>
          <w:p>
            <w:pPr>
              <w:pStyle w:val="13"/>
              <w:rPr>
                <w:rFonts w:hint="eastAsia"/>
              </w:rPr>
            </w:pPr>
            <w:r>
              <w:t>数据/事件</w:t>
            </w:r>
          </w:p>
        </w:tc>
      </w:tr>
      <w:bookmarkEnd w:id="0"/>
    </w:tbl>
    <w:tbl>
      <w:tblPr>
        <w:tblStyle w:val="19"/>
        <w:tblW w:w="9359" w:type="dxa"/>
        <w:tblInd w:w="28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1701"/>
        <w:gridCol w:w="1314"/>
        <w:gridCol w:w="63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620" w:hRule="atLeast"/>
        </w:trPr>
        <w:tc>
          <w:tcPr>
            <w:tcW w:w="1701" w:type="dxa"/>
          </w:tcPr>
          <w:p>
            <w:pPr>
              <w:pStyle w:val="13"/>
              <w:rPr>
                <w:rFonts w:hint="eastAsia"/>
                <w:lang w:eastAsia="zh-CN"/>
              </w:rPr>
            </w:pPr>
            <w:r>
              <w:t>2025/12/3</w:t>
            </w:r>
            <w:r>
              <w:rPr>
                <w:rFonts w:hint="eastAsia"/>
                <w:lang w:eastAsia="zh-CN"/>
              </w:rPr>
              <w:t>1</w:t>
            </w:r>
          </w:p>
        </w:tc>
        <w:tc>
          <w:tcPr>
            <w:tcW w:w="1314" w:type="dxa"/>
          </w:tcPr>
          <w:p>
            <w:pPr>
              <w:pStyle w:val="13"/>
              <w:rPr>
                <w:rFonts w:hint="eastAsia"/>
                <w:lang w:eastAsia="zh-CN"/>
              </w:rPr>
            </w:pPr>
            <w:r>
              <w:rPr>
                <w:rFonts w:hint="eastAsia"/>
                <w:lang w:eastAsia="zh-CN"/>
              </w:rPr>
              <w:t>03:00</w:t>
            </w:r>
          </w:p>
        </w:tc>
        <w:tc>
          <w:tcPr>
            <w:tcW w:w="6344" w:type="dxa"/>
          </w:tcPr>
          <w:p>
            <w:pPr>
              <w:pStyle w:val="13"/>
              <w:rPr>
                <w:rFonts w:hint="eastAsia"/>
              </w:rPr>
            </w:pPr>
            <w:r>
              <w:t>美联储公布货币政策会议纪要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620" w:hRule="atLeast"/>
        </w:trPr>
        <w:tc>
          <w:tcPr>
            <w:tcW w:w="1701" w:type="dxa"/>
            <w:shd w:val="clear" w:color="auto" w:fill="DAE3F4" w:themeFill="accent1" w:themeFillTint="33"/>
          </w:tcPr>
          <w:p>
            <w:pPr>
              <w:pStyle w:val="13"/>
              <w:rPr>
                <w:rFonts w:hint="eastAsia"/>
              </w:rPr>
            </w:pPr>
            <w:r>
              <w:t>2025/12/3</w:t>
            </w:r>
            <w:r>
              <w:rPr>
                <w:rFonts w:hint="eastAsia"/>
                <w:lang w:eastAsia="zh-CN"/>
              </w:rPr>
              <w:t>1</w:t>
            </w:r>
          </w:p>
        </w:tc>
        <w:tc>
          <w:tcPr>
            <w:tcW w:w="1314" w:type="dxa"/>
            <w:shd w:val="clear" w:color="auto" w:fill="DAE3F4" w:themeFill="accent1" w:themeFillTint="33"/>
          </w:tcPr>
          <w:p>
            <w:pPr>
              <w:pStyle w:val="13"/>
              <w:rPr>
                <w:rFonts w:hint="eastAsia"/>
                <w:lang w:eastAsia="zh-CN"/>
              </w:rPr>
            </w:pPr>
            <w:r>
              <w:rPr>
                <w:rFonts w:hint="eastAsia"/>
                <w:lang w:eastAsia="zh-CN"/>
              </w:rPr>
              <w:t>21:30</w:t>
            </w:r>
          </w:p>
        </w:tc>
        <w:tc>
          <w:tcPr>
            <w:tcW w:w="6344" w:type="dxa"/>
            <w:shd w:val="clear" w:color="auto" w:fill="DAE3F4" w:themeFill="accent1" w:themeFillTint="33"/>
          </w:tcPr>
          <w:p>
            <w:pPr>
              <w:pStyle w:val="13"/>
              <w:rPr>
                <w:rFonts w:hint="eastAsia"/>
              </w:rPr>
            </w:pPr>
            <w:r>
              <w:t>美国上周初请失业金人数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620" w:hRule="atLeast"/>
        </w:trPr>
        <w:tc>
          <w:tcPr>
            <w:tcW w:w="1701" w:type="dxa"/>
          </w:tcPr>
          <w:p>
            <w:pPr>
              <w:pStyle w:val="13"/>
              <w:rPr>
                <w:rFonts w:hint="eastAsia"/>
              </w:rPr>
            </w:pPr>
            <w:r>
              <w:t>2025/12/3</w:t>
            </w:r>
            <w:r>
              <w:rPr>
                <w:rFonts w:hint="eastAsia"/>
                <w:lang w:eastAsia="zh-CN"/>
              </w:rPr>
              <w:t>1</w:t>
            </w:r>
          </w:p>
        </w:tc>
        <w:tc>
          <w:tcPr>
            <w:tcW w:w="1314" w:type="dxa"/>
          </w:tcPr>
          <w:p>
            <w:pPr>
              <w:pStyle w:val="13"/>
              <w:rPr>
                <w:rFonts w:hint="eastAsia"/>
                <w:lang w:eastAsia="zh-CN"/>
              </w:rPr>
            </w:pPr>
            <w:r>
              <w:rPr>
                <w:rFonts w:hint="eastAsia"/>
                <w:lang w:eastAsia="zh-CN"/>
              </w:rPr>
              <w:t>23:30</w:t>
            </w:r>
          </w:p>
        </w:tc>
        <w:tc>
          <w:tcPr>
            <w:tcW w:w="6344" w:type="dxa"/>
          </w:tcPr>
          <w:p>
            <w:pPr>
              <w:pStyle w:val="13"/>
              <w:rPr>
                <w:rFonts w:hint="eastAsia"/>
              </w:rPr>
            </w:pPr>
            <w:r>
              <w:t>美国至 12 月 26 日当周 EIA 原油库存</w:t>
            </w:r>
          </w:p>
        </w:tc>
      </w:tr>
    </w:tbl>
    <w:p>
      <w:pPr>
        <w:spacing w:before="102" w:line="257" w:lineRule="auto"/>
        <w:ind w:right="210"/>
        <w:jc w:val="both"/>
        <w:rPr>
          <w:rFonts w:hint="eastAsia" w:ascii="微软雅黑" w:hAnsi="微软雅黑" w:eastAsia="微软雅黑" w:cs="微软雅黑"/>
          <w:b/>
          <w:bCs/>
          <w:spacing w:val="3"/>
          <w:sz w:val="19"/>
          <w:szCs w:val="19"/>
          <w:lang w:eastAsia="zh-CN"/>
        </w:rPr>
      </w:pPr>
    </w:p>
    <w:p>
      <w:pPr>
        <w:pStyle w:val="16"/>
        <w:numPr>
          <w:ilvl w:val="0"/>
          <w:numId w:val="2"/>
        </w:numPr>
        <w:spacing w:before="120" w:line="190" w:lineRule="auto"/>
        <w:ind w:left="210" w:right="210" w:firstLineChars="0"/>
        <w:rPr>
          <w:rFonts w:hint="eastAsia" w:ascii="微软雅黑" w:hAnsi="微软雅黑" w:eastAsia="微软雅黑" w:cs="微软雅黑"/>
          <w:b/>
          <w:bCs/>
          <w:color w:val="036EB8"/>
          <w:spacing w:val="15"/>
          <w:sz w:val="28"/>
          <w:szCs w:val="28"/>
          <w:lang w:eastAsia="zh-CN"/>
        </w:rPr>
      </w:pPr>
      <w:r>
        <w:rPr>
          <w:rFonts w:hint="eastAsia" w:ascii="微软雅黑" w:hAnsi="微软雅黑" w:eastAsia="微软雅黑" w:cs="微软雅黑"/>
          <w:b/>
          <w:bCs/>
          <w:color w:val="036EB8"/>
          <w:spacing w:val="15"/>
          <w:sz w:val="28"/>
          <w:szCs w:val="28"/>
          <w:lang w:eastAsia="zh-CN"/>
        </w:rPr>
        <w:t>观点汇总</w:t>
      </w:r>
    </w:p>
    <w:p>
      <w:pPr>
        <w:spacing w:before="103" w:line="256" w:lineRule="auto"/>
        <w:ind w:right="210"/>
        <w:jc w:val="both"/>
        <w:rPr>
          <w:rFonts w:hint="eastAsia" w:ascii="微软雅黑" w:hAnsi="微软雅黑" w:eastAsia="微软雅黑" w:cs="微软雅黑"/>
          <w:b/>
          <w:bCs/>
          <w:spacing w:val="12"/>
          <w:lang w:eastAsia="zh-CN"/>
        </w:rPr>
      </w:pPr>
      <w:r>
        <w:rPr>
          <w:rFonts w:hint="eastAsia" w:ascii="微软雅黑" w:hAnsi="微软雅黑" w:eastAsia="微软雅黑" w:cs="微软雅黑"/>
          <w:b/>
          <w:bCs/>
          <w:spacing w:val="12"/>
          <w:lang w:eastAsia="zh-CN"/>
        </w:rPr>
        <w:t>美元指数</w:t>
      </w:r>
    </w:p>
    <w:p>
      <w:pPr>
        <w:spacing w:before="103" w:line="256" w:lineRule="auto"/>
        <w:ind w:right="210" w:firstLine="448" w:firstLineChars="200"/>
        <w:rPr>
          <w:rFonts w:hint="default" w:ascii="微软雅黑" w:hAnsi="微软雅黑" w:eastAsia="微软雅黑" w:cs="微软雅黑"/>
          <w:spacing w:val="7"/>
          <w:lang w:eastAsia="zh-CN"/>
          <w:woUserID w:val="1"/>
        </w:rPr>
      </w:pPr>
      <w:r>
        <w:rPr>
          <w:rFonts w:hint="default" w:ascii="微软雅黑" w:hAnsi="微软雅黑" w:eastAsia="微软雅黑" w:cs="微软雅黑"/>
          <w:spacing w:val="7"/>
          <w:lang w:eastAsia="zh-CN"/>
          <w:woUserID w:val="1"/>
        </w:rPr>
        <w:t>隔夜，美元指数涨0.22%报98.22，非美货币涨跌互现，欧元兑美元跌0.22%报1.1748，英镑兑美元跌0.34%报1.3469，美元兑日元涨0.25%报156.4255。</w:t>
      </w:r>
    </w:p>
    <w:p>
      <w:pPr>
        <w:spacing w:before="103" w:line="256" w:lineRule="auto"/>
        <w:ind w:right="210" w:firstLine="448" w:firstLineChars="200"/>
        <w:rPr>
          <w:rFonts w:hint="default" w:ascii="微软雅黑" w:hAnsi="微软雅黑" w:eastAsia="微软雅黑" w:cs="微软雅黑"/>
          <w:spacing w:val="7"/>
          <w:lang w:eastAsia="zh-CN"/>
          <w:woUserID w:val="1"/>
        </w:rPr>
      </w:pPr>
      <w:r>
        <w:rPr>
          <w:rFonts w:hint="default" w:ascii="微软雅黑" w:hAnsi="微软雅黑" w:eastAsia="微软雅黑" w:cs="微软雅黑"/>
          <w:spacing w:val="7"/>
          <w:lang w:eastAsia="zh-CN"/>
          <w:woUserID w:val="1"/>
        </w:rPr>
        <w:t>美联储12月会议纪要显示， FOMC官员立场分歧严重。在本次会议下调利率区间后，可能需要在一段时间内保持目标利率区间不变。若通胀逐步下降，大多数官员支持进一步降息。此外，准备金余额已经下降到充足的水平，美联储或重启扩表以保证充足的准备金供应，提振市场流动性预期。宏观数据方面，美国第三季度实际GDP初值创两年来最快增速，同期核心PCE物价指数符合市场预期，通胀走势趋于平缓。非美国家主要央行近期延续观望或加息立场，利差优势边际走弱导致美元近期走势较为疲软。偏软的非农就业报告、弱于预期的通胀数据以及FOMC所释放的谨慎降息信号，均支持未来政策宽松路径，短期内美元或维持震荡偏弱走势。</w:t>
      </w:r>
    </w:p>
    <w:p>
      <w:pPr>
        <w:spacing w:before="103" w:line="256" w:lineRule="auto"/>
        <w:ind w:right="210" w:firstLine="448" w:firstLineChars="200"/>
        <w:rPr>
          <w:rFonts w:hint="eastAsia" w:ascii="微软雅黑" w:hAnsi="微软雅黑" w:eastAsia="微软雅黑" w:cs="微软雅黑"/>
          <w:spacing w:val="7"/>
          <w:lang w:eastAsia="zh-CN"/>
        </w:rPr>
      </w:pPr>
      <w:r>
        <w:rPr>
          <w:rFonts w:hint="default" w:ascii="微软雅黑" w:hAnsi="微软雅黑" w:eastAsia="微软雅黑" w:cs="微软雅黑"/>
          <w:spacing w:val="7"/>
          <w:lang w:eastAsia="zh-CN"/>
          <w:woUserID w:val="1"/>
        </w:rPr>
        <w:t>欧洲央行此前如期进行25bps降息，重申通胀将在中期内稳定于目标区间。日本央行一致同意加息，以抑制物价持续高涨的风险。由于关税负面影响低于预期，日本政府上调2025财年经济预期，新首相高市早苗继续推进大型财政刺激方案，尽管日本央行行长植田和男表示通胀将接近目标水平，但超预期的财政扩张计划或加剧通胀反弹风险。利差走阔预期支持欧元偏强运行，日元在套息交易以及财政担忧影响下延续震荡格局</w:t>
      </w:r>
      <w:r>
        <w:rPr>
          <w:rFonts w:hint="eastAsia" w:ascii="微软雅黑" w:hAnsi="微软雅黑" w:eastAsia="微软雅黑" w:cs="微软雅黑"/>
          <w:spacing w:val="7"/>
          <w:lang w:eastAsia="zh-CN"/>
        </w:rPr>
        <w:t>。</w:t>
      </w:r>
    </w:p>
    <w:p>
      <w:pPr>
        <w:spacing w:before="235" w:line="176" w:lineRule="auto"/>
        <w:ind w:right="210" w:firstLine="560" w:firstLineChars="250"/>
        <w:jc w:val="both"/>
        <w:rPr>
          <w:rFonts w:hint="eastAsia" w:ascii="微软雅黑" w:hAnsi="微软雅黑" w:eastAsia="微软雅黑" w:cs="微软雅黑"/>
          <w:spacing w:val="7"/>
          <w:lang w:eastAsia="zh-CN"/>
        </w:rPr>
      </w:pPr>
      <w:r>
        <w:rPr>
          <w:rFonts w:ascii="微软雅黑" w:hAnsi="微软雅黑" w:eastAsia="微软雅黑" w:cs="微软雅黑"/>
          <w:spacing w:val="7"/>
          <w:lang w:eastAsia="zh-CN"/>
        </w:rPr>
        <w:t>图表</w:t>
      </w:r>
      <w:r>
        <w:rPr>
          <w:rFonts w:hint="eastAsia" w:ascii="微软雅黑" w:hAnsi="微软雅黑" w:eastAsia="微软雅黑" w:cs="微软雅黑"/>
          <w:spacing w:val="7"/>
          <w:lang w:eastAsia="zh-CN"/>
        </w:rPr>
        <w:t>1：美元指数走势图</w:t>
      </w:r>
    </w:p>
    <w:p>
      <w:pPr>
        <w:spacing w:before="120" w:line="190" w:lineRule="auto"/>
        <w:ind w:right="210" w:firstLine="448" w:firstLineChars="200"/>
        <w:jc w:val="center"/>
        <w:rPr>
          <w:rFonts w:hint="default" w:ascii="微软雅黑" w:hAnsi="微软雅黑" w:eastAsia="微软雅黑" w:cs="微软雅黑"/>
          <w:spacing w:val="7"/>
          <w:lang w:eastAsia="zh-CN"/>
        </w:rPr>
      </w:pPr>
      <w:r>
        <w:rPr>
          <w:rFonts w:hint="default" w:ascii="微软雅黑" w:hAnsi="微软雅黑" w:eastAsia="微软雅黑" w:cs="微软雅黑"/>
          <w:spacing w:val="7"/>
          <w:lang w:eastAsia="zh-CN"/>
        </w:rPr>
        <w:drawing>
          <wp:inline distT="0" distB="0" distL="114300" distR="114300">
            <wp:extent cx="6569075" cy="2261870"/>
            <wp:effectExtent l="0" t="0" r="317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6569075" cy="2261870"/>
                    </a:xfrm>
                    <a:prstGeom prst="rect">
                      <a:avLst/>
                    </a:prstGeom>
                  </pic:spPr>
                </pic:pic>
              </a:graphicData>
            </a:graphic>
          </wp:inline>
        </w:drawing>
      </w:r>
    </w:p>
    <w:p>
      <w:pPr>
        <w:spacing w:before="120" w:line="190" w:lineRule="auto"/>
        <w:ind w:right="210" w:firstLine="448" w:firstLineChars="200"/>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t>
      </w:r>
      <w:r>
        <w:rPr>
          <w:rFonts w:ascii="微软雅黑" w:hAnsi="微软雅黑" w:eastAsia="微软雅黑" w:cs="微软雅黑"/>
          <w:spacing w:val="7"/>
          <w:lang w:eastAsia="zh-CN"/>
        </w:rPr>
        <w:t>W</w:t>
      </w:r>
      <w:r>
        <w:rPr>
          <w:rFonts w:hint="eastAsia" w:ascii="微软雅黑" w:hAnsi="微软雅黑" w:eastAsia="微软雅黑" w:cs="微软雅黑"/>
          <w:spacing w:val="7"/>
          <w:lang w:eastAsia="zh-CN"/>
        </w:rPr>
        <w:t>ind、瑞达国际</w:t>
      </w:r>
    </w:p>
    <w:p>
      <w:pPr>
        <w:spacing w:before="120" w:line="190" w:lineRule="auto"/>
        <w:ind w:right="210" w:firstLine="448" w:firstLineChars="200"/>
        <w:jc w:val="both"/>
        <w:rPr>
          <w:rFonts w:hint="eastAsia" w:ascii="微软雅黑" w:hAnsi="微软雅黑" w:eastAsia="微软雅黑" w:cs="微软雅黑"/>
          <w:spacing w:val="7"/>
          <w:lang w:eastAsia="zh-CN"/>
        </w:rPr>
      </w:pPr>
    </w:p>
    <w:p>
      <w:pPr>
        <w:spacing w:before="103" w:line="256" w:lineRule="auto"/>
        <w:ind w:right="210"/>
        <w:jc w:val="both"/>
        <w:rPr>
          <w:rFonts w:hint="eastAsia" w:ascii="微软雅黑" w:hAnsi="微软雅黑" w:eastAsia="微软雅黑" w:cs="微软雅黑"/>
          <w:spacing w:val="12"/>
          <w:lang w:eastAsia="zh-CN"/>
        </w:rPr>
      </w:pPr>
      <w:r>
        <w:rPr>
          <w:rFonts w:hint="eastAsia" w:ascii="微软雅黑" w:hAnsi="微软雅黑" w:eastAsia="微软雅黑" w:cs="微软雅黑"/>
          <w:b/>
          <w:bCs/>
          <w:spacing w:val="12"/>
          <w:lang w:eastAsia="zh-CN"/>
        </w:rPr>
        <w:t>S&amp;P500</w:t>
      </w:r>
    </w:p>
    <w:p>
      <w:pPr>
        <w:ind w:firstLine="448" w:firstLineChars="200"/>
        <w:rPr>
          <w:rFonts w:hint="default" w:ascii="微软雅黑" w:hAnsi="微软雅黑" w:eastAsia="微软雅黑" w:cs="微软雅黑"/>
          <w:spacing w:val="7"/>
          <w:lang w:eastAsia="zh-CN"/>
          <w:woUserID w:val="1"/>
        </w:rPr>
      </w:pPr>
      <w:r>
        <w:rPr>
          <w:rFonts w:hint="default" w:ascii="微软雅黑" w:hAnsi="微软雅黑" w:eastAsia="微软雅黑" w:cs="微软雅黑"/>
          <w:spacing w:val="7"/>
          <w:lang w:eastAsia="zh-CN"/>
          <w:woUserID w:val="1"/>
        </w:rPr>
        <w:t>截至12月30日，标普500指数下跌0.14%至6896.24点；迷你标普500主力合约下跌0.16%至6945.5点。货币政策上，美联储12月会议纪要显示，一些与会者表示，根据他们的经济展望，在本次会议下调利率区间后，可能需要在一段时间内保持目标利率区间不变。纪要同时显示，如果通胀如预期般逐步下降，大多数官员认为进一步降息是合适的。会议纪要整体立场较为中性，对市场影响相对较小。整体来看，圣诞假期期间，美股交投较为平淡，市场波动收敛，部分投资者对传统的“圣诞老人行情”抱有期待。</w:t>
      </w:r>
    </w:p>
    <w:p>
      <w:pPr>
        <w:ind w:firstLine="448" w:firstLineChars="200"/>
        <w:rPr>
          <w:rFonts w:hint="default" w:ascii="微软雅黑" w:hAnsi="微软雅黑" w:eastAsia="微软雅黑" w:cs="微软雅黑"/>
          <w:spacing w:val="7"/>
          <w:lang w:eastAsia="zh-CN"/>
        </w:rPr>
      </w:pPr>
    </w:p>
    <w:p>
      <w:pPr>
        <w:spacing w:before="103" w:line="256" w:lineRule="auto"/>
        <w:ind w:right="210" w:firstLine="420"/>
        <w:rPr>
          <w:rFonts w:hint="eastAsia" w:ascii="新宋体" w:hAnsi="新宋体" w:eastAsia="新宋体"/>
          <w:b/>
          <w:lang w:eastAsia="zh-CN"/>
        </w:rPr>
      </w:pPr>
      <w:r>
        <w:rPr>
          <w:rFonts w:hint="eastAsia" w:ascii="微软雅黑" w:hAnsi="微软雅黑" w:eastAsia="微软雅黑" w:cs="微软雅黑"/>
          <w:spacing w:val="7"/>
          <w:lang w:eastAsia="zh-CN"/>
        </w:rPr>
        <w:t>图表2：S&amp;P500走势图</w:t>
      </w:r>
    </w:p>
    <w:p>
      <w:pPr>
        <w:spacing w:before="103" w:line="256" w:lineRule="auto"/>
        <w:ind w:right="210" w:firstLine="420"/>
        <w:jc w:val="center"/>
        <w:rPr>
          <w:rFonts w:hint="default" w:ascii="微软雅黑" w:hAnsi="微软雅黑" w:eastAsia="微软雅黑" w:cs="微软雅黑"/>
          <w:spacing w:val="7"/>
          <w:lang w:eastAsia="zh-CN"/>
        </w:rPr>
      </w:pPr>
      <w:r>
        <w:rPr>
          <w:rFonts w:hint="default" w:ascii="微软雅黑" w:hAnsi="微软雅黑" w:eastAsia="微软雅黑" w:cs="微软雅黑"/>
          <w:spacing w:val="7"/>
          <w:lang w:eastAsia="zh-CN"/>
        </w:rPr>
        <w:drawing>
          <wp:inline distT="0" distB="0" distL="114300" distR="114300">
            <wp:extent cx="6565265" cy="1939925"/>
            <wp:effectExtent l="0" t="0" r="6985"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6565265" cy="1939925"/>
                    </a:xfrm>
                    <a:prstGeom prst="rect">
                      <a:avLst/>
                    </a:prstGeom>
                  </pic:spPr>
                </pic:pic>
              </a:graphicData>
            </a:graphic>
          </wp:inline>
        </w:drawing>
      </w:r>
    </w:p>
    <w:p>
      <w:pPr>
        <w:spacing w:before="120" w:line="190" w:lineRule="auto"/>
        <w:ind w:right="210" w:firstLine="448"/>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 xml:space="preserve"> 资料来源：</w:t>
      </w:r>
      <w:r>
        <w:rPr>
          <w:rFonts w:ascii="微软雅黑" w:hAnsi="微软雅黑" w:eastAsia="微软雅黑" w:cs="微软雅黑"/>
          <w:spacing w:val="7"/>
          <w:lang w:eastAsia="zh-CN"/>
        </w:rPr>
        <w:t>W</w:t>
      </w:r>
      <w:r>
        <w:rPr>
          <w:rFonts w:hint="eastAsia" w:ascii="微软雅黑" w:hAnsi="微软雅黑" w:eastAsia="微软雅黑" w:cs="微软雅黑"/>
          <w:spacing w:val="7"/>
          <w:lang w:eastAsia="zh-CN"/>
        </w:rPr>
        <w:t>ind、瑞达国际</w:t>
      </w:r>
    </w:p>
    <w:p>
      <w:pPr>
        <w:spacing w:before="120" w:line="190" w:lineRule="auto"/>
        <w:ind w:right="210" w:firstLine="448"/>
        <w:jc w:val="both"/>
        <w:rPr>
          <w:rFonts w:hint="eastAsia" w:ascii="微软雅黑" w:hAnsi="微软雅黑" w:eastAsia="微软雅黑" w:cs="微软雅黑"/>
          <w:spacing w:val="7"/>
          <w:lang w:eastAsia="zh-CN"/>
        </w:rPr>
      </w:pPr>
    </w:p>
    <w:p>
      <w:pPr>
        <w:spacing w:before="103" w:line="256" w:lineRule="auto"/>
        <w:ind w:right="210"/>
        <w:jc w:val="both"/>
        <w:rPr>
          <w:rFonts w:hint="eastAsia" w:ascii="微软雅黑" w:hAnsi="微软雅黑" w:eastAsia="微软雅黑" w:cs="微软雅黑"/>
          <w:b/>
          <w:bCs/>
          <w:spacing w:val="12"/>
          <w:lang w:eastAsia="zh-CN"/>
        </w:rPr>
      </w:pPr>
      <w:r>
        <w:rPr>
          <w:rFonts w:hint="eastAsia" w:ascii="微软雅黑" w:hAnsi="微软雅黑" w:eastAsia="微软雅黑" w:cs="微软雅黑"/>
          <w:b/>
          <w:bCs/>
          <w:spacing w:val="12"/>
          <w:lang w:eastAsia="zh-CN"/>
        </w:rPr>
        <w:t>富时中国A50</w:t>
      </w:r>
    </w:p>
    <w:p>
      <w:pPr>
        <w:spacing w:before="103" w:line="256" w:lineRule="auto"/>
        <w:ind w:right="210" w:firstLine="420"/>
        <w:jc w:val="both"/>
        <w:rPr>
          <w:rFonts w:hint="eastAsia" w:ascii="微软雅黑" w:hAnsi="微软雅黑" w:eastAsia="微软雅黑" w:cs="微软雅黑"/>
          <w:spacing w:val="7"/>
          <w:lang w:eastAsia="zh-CN"/>
        </w:rPr>
      </w:pPr>
      <w:r>
        <w:rPr>
          <w:rFonts w:hint="default" w:ascii="微软雅黑" w:hAnsi="微软雅黑" w:eastAsia="微软雅黑" w:cs="微软雅黑"/>
          <w:spacing w:val="7"/>
          <w:lang w:eastAsia="zh-CN"/>
          <w:woUserID w:val="1"/>
        </w:rPr>
        <w:t>截至12月30日，富时中国A50指数上涨0.14%至15421.9；新交所富时A50期指主力合约上涨0.26%至15406。海外方面，特朗普或将于本周公布新任美联储主席人选，此前，特朗普表示希望新任美联储主席在市场表现良好的情况下降低利率。国内方面，经济基本面，1—11月份全国规模以上工业企业利润增速较上月下滑，结合此前公布的一系列经济数据，11月国内经济基本面仍然面临下行压力。政策端，12月27日至28日召开的全国财政工作会议指出，2026年继续实施更加积极的财政政策；继续安排资金支持消费品以旧换新。整体来看， 11月份经济数据承压对A股上方形成一定压力。然而，27-28日召开的全国财政工作会议对明年财政工作，尤其是以旧换新的安排对市场情绪起到烘托，市场整体宏观氛围偏暖，A股有较强的底部支撑。最后，市场对新任美联储主席鸽派立场的预期带动美元走软，离岸人民币本周再度突破7.0 整数关口，人民币汇率强势支撑2026年1月份宽货币预期</w:t>
      </w:r>
      <w:r>
        <w:rPr>
          <w:rFonts w:hint="eastAsia" w:ascii="微软雅黑" w:hAnsi="微软雅黑" w:eastAsia="微软雅黑" w:cs="微软雅黑"/>
          <w:spacing w:val="7"/>
          <w:lang w:eastAsia="zh-CN"/>
        </w:rPr>
        <w:t>。</w:t>
      </w:r>
    </w:p>
    <w:p>
      <w:pPr>
        <w:spacing w:before="103" w:line="256" w:lineRule="auto"/>
        <w:ind w:right="210" w:firstLine="420"/>
        <w:jc w:val="both"/>
        <w:rPr>
          <w:rFonts w:hint="eastAsia" w:ascii="微软雅黑" w:hAnsi="微软雅黑" w:eastAsia="微软雅黑" w:cs="微软雅黑"/>
          <w:spacing w:val="12"/>
          <w:lang w:eastAsia="zh-CN"/>
        </w:rPr>
      </w:pPr>
      <w:r>
        <w:rPr>
          <w:rFonts w:hint="eastAsia" w:ascii="微软雅黑" w:hAnsi="微软雅黑" w:eastAsia="微软雅黑" w:cs="微软雅黑"/>
          <w:spacing w:val="7"/>
          <w:lang w:eastAsia="zh-CN"/>
        </w:rPr>
        <w:t>图表3：富时中国A50走势图</w:t>
      </w:r>
    </w:p>
    <w:p>
      <w:pPr>
        <w:spacing w:before="120" w:line="190" w:lineRule="auto"/>
        <w:ind w:right="210" w:firstLine="448"/>
        <w:jc w:val="center"/>
        <w:rPr>
          <w:rFonts w:hint="default" w:ascii="新宋体" w:hAnsi="新宋体" w:eastAsia="新宋体"/>
          <w:lang w:eastAsia="zh-CN"/>
        </w:rPr>
      </w:pPr>
      <w:r>
        <w:rPr>
          <w:rFonts w:hint="default" w:ascii="新宋体" w:hAnsi="新宋体" w:eastAsia="新宋体"/>
          <w:lang w:eastAsia="zh-CN"/>
        </w:rPr>
        <w:drawing>
          <wp:inline distT="0" distB="0" distL="114300" distR="114300">
            <wp:extent cx="6569075" cy="1951355"/>
            <wp:effectExtent l="0" t="0" r="3175"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6569075" cy="1951355"/>
                    </a:xfrm>
                    <a:prstGeom prst="rect">
                      <a:avLst/>
                    </a:prstGeom>
                  </pic:spPr>
                </pic:pic>
              </a:graphicData>
            </a:graphic>
          </wp:inline>
        </w:drawing>
      </w:r>
    </w:p>
    <w:p>
      <w:pPr>
        <w:spacing w:before="120" w:line="190" w:lineRule="auto"/>
        <w:ind w:right="210" w:firstLine="448"/>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t>
      </w:r>
      <w:r>
        <w:rPr>
          <w:rFonts w:ascii="微软雅黑" w:hAnsi="微软雅黑" w:eastAsia="微软雅黑" w:cs="微软雅黑"/>
          <w:spacing w:val="7"/>
          <w:lang w:eastAsia="zh-CN"/>
        </w:rPr>
        <w:t>W</w:t>
      </w:r>
      <w:r>
        <w:rPr>
          <w:rFonts w:hint="eastAsia" w:ascii="微软雅黑" w:hAnsi="微软雅黑" w:eastAsia="微软雅黑" w:cs="微软雅黑"/>
          <w:spacing w:val="7"/>
          <w:lang w:eastAsia="zh-CN"/>
        </w:rPr>
        <w:t>ind、瑞达国际</w:t>
      </w:r>
    </w:p>
    <w:p>
      <w:pPr>
        <w:spacing w:before="120" w:line="190" w:lineRule="auto"/>
        <w:ind w:right="210" w:firstLine="448"/>
        <w:jc w:val="both"/>
        <w:rPr>
          <w:rFonts w:hint="eastAsia" w:ascii="微软雅黑" w:hAnsi="微软雅黑" w:eastAsia="微软雅黑" w:cs="微软雅黑"/>
          <w:spacing w:val="7"/>
          <w:lang w:eastAsia="zh-CN"/>
        </w:rPr>
      </w:pPr>
    </w:p>
    <w:p>
      <w:pPr>
        <w:spacing w:before="103" w:line="256" w:lineRule="auto"/>
        <w:ind w:right="210"/>
        <w:jc w:val="both"/>
        <w:rPr>
          <w:rFonts w:hint="eastAsia" w:ascii="微软雅黑" w:hAnsi="微软雅黑" w:eastAsia="微软雅黑" w:cs="微软雅黑"/>
          <w:b/>
          <w:bCs/>
          <w:spacing w:val="12"/>
          <w:lang w:eastAsia="zh-CN"/>
        </w:rPr>
      </w:pPr>
      <w:r>
        <w:rPr>
          <w:rFonts w:hint="eastAsia" w:ascii="微软雅黑" w:hAnsi="微软雅黑" w:eastAsia="微软雅黑" w:cs="微软雅黑"/>
          <w:b/>
          <w:bCs/>
          <w:spacing w:val="12"/>
          <w:lang w:eastAsia="zh-CN"/>
        </w:rPr>
        <w:t>铜</w:t>
      </w:r>
    </w:p>
    <w:p>
      <w:pPr>
        <w:spacing w:before="103" w:line="256" w:lineRule="auto"/>
        <w:ind w:right="210" w:firstLine="448"/>
        <w:jc w:val="both"/>
        <w:rPr>
          <w:rFonts w:hint="eastAsia" w:ascii="微软雅黑" w:hAnsi="微软雅黑" w:eastAsia="微软雅黑" w:cs="微软雅黑"/>
          <w:spacing w:val="12"/>
          <w:lang w:eastAsia="zh-CN"/>
        </w:rPr>
      </w:pPr>
      <w:r>
        <w:rPr>
          <w:rFonts w:hint="eastAsia" w:ascii="微软雅黑" w:hAnsi="微软雅黑" w:eastAsia="微软雅黑" w:cs="微软雅黑"/>
          <w:spacing w:val="12"/>
          <w:lang w:eastAsia="zh-CN"/>
        </w:rPr>
        <w:t>隔夜</w:t>
      </w:r>
      <w:r>
        <w:rPr>
          <w:rFonts w:ascii="微软雅黑" w:hAnsi="微软雅黑" w:eastAsia="微软雅黑" w:cs="微软雅黑"/>
          <w:spacing w:val="12"/>
          <w:lang w:eastAsia="zh-CN"/>
        </w:rPr>
        <w:t>COMEX</w:t>
      </w:r>
      <w:r>
        <w:rPr>
          <w:rFonts w:hint="eastAsia" w:ascii="微软雅黑" w:hAnsi="微软雅黑" w:eastAsia="微软雅黑" w:cs="微软雅黑"/>
          <w:spacing w:val="12"/>
          <w:lang w:eastAsia="zh-CN"/>
        </w:rPr>
        <w:t>铜震荡走强，报收</w:t>
      </w:r>
      <w:r>
        <w:rPr>
          <w:rFonts w:ascii="微软雅黑" w:hAnsi="微软雅黑" w:eastAsia="微软雅黑" w:cs="微软雅黑"/>
          <w:spacing w:val="12"/>
          <w:lang w:eastAsia="zh-CN"/>
        </w:rPr>
        <w:t>5.7465</w:t>
      </w:r>
      <w:r>
        <w:rPr>
          <w:rFonts w:hint="eastAsia" w:ascii="微软雅黑" w:hAnsi="微软雅黑" w:eastAsia="微软雅黑" w:cs="微软雅黑"/>
          <w:spacing w:val="12"/>
          <w:lang w:eastAsia="zh-CN"/>
        </w:rPr>
        <w:t>元</w:t>
      </w:r>
      <w:r>
        <w:rPr>
          <w:rFonts w:ascii="微软雅黑" w:hAnsi="微软雅黑" w:eastAsia="微软雅黑" w:cs="微软雅黑"/>
          <w:spacing w:val="12"/>
          <w:lang w:eastAsia="zh-CN"/>
        </w:rPr>
        <w:t>/</w:t>
      </w:r>
      <w:r>
        <w:rPr>
          <w:rFonts w:hint="eastAsia" w:ascii="微软雅黑" w:hAnsi="微软雅黑" w:eastAsia="微软雅黑" w:cs="微软雅黑"/>
          <w:spacing w:val="12"/>
          <w:lang w:eastAsia="zh-CN"/>
        </w:rPr>
        <w:t>磅，涨跌幅</w:t>
      </w:r>
      <w:r>
        <w:rPr>
          <w:rFonts w:ascii="微软雅黑" w:hAnsi="微软雅黑" w:eastAsia="微软雅黑" w:cs="微软雅黑"/>
          <w:spacing w:val="12"/>
          <w:lang w:eastAsia="zh-CN"/>
        </w:rPr>
        <w:t>+3.23%</w:t>
      </w:r>
      <w:r>
        <w:rPr>
          <w:rFonts w:hint="eastAsia" w:ascii="微软雅黑" w:hAnsi="微软雅黑" w:eastAsia="微软雅黑" w:cs="微软雅黑"/>
          <w:spacing w:val="12"/>
          <w:lang w:eastAsia="zh-CN"/>
        </w:rPr>
        <w:t>。国际方面，美联储公布的</w:t>
      </w:r>
      <w:r>
        <w:rPr>
          <w:rFonts w:ascii="微软雅黑" w:hAnsi="微软雅黑" w:eastAsia="微软雅黑" w:cs="微软雅黑"/>
          <w:spacing w:val="12"/>
          <w:lang w:eastAsia="zh-CN"/>
        </w:rPr>
        <w:t>12</w:t>
      </w:r>
      <w:r>
        <w:rPr>
          <w:rFonts w:hint="eastAsia" w:ascii="微软雅黑" w:hAnsi="微软雅黑" w:eastAsia="微软雅黑" w:cs="微软雅黑"/>
          <w:spacing w:val="12"/>
          <w:lang w:eastAsia="zh-CN"/>
        </w:rPr>
        <w:t>月会议纪要显示，</w:t>
      </w:r>
      <w:r>
        <w:rPr>
          <w:rFonts w:ascii="微软雅黑" w:hAnsi="微软雅黑" w:eastAsia="微软雅黑" w:cs="微软雅黑"/>
          <w:spacing w:val="12"/>
          <w:lang w:eastAsia="zh-CN"/>
        </w:rPr>
        <w:t xml:space="preserve"> FOMC</w:t>
      </w:r>
      <w:r>
        <w:rPr>
          <w:rFonts w:hint="eastAsia" w:ascii="微软雅黑" w:hAnsi="微软雅黑" w:eastAsia="微软雅黑" w:cs="微软雅黑"/>
          <w:spacing w:val="12"/>
          <w:lang w:eastAsia="zh-CN"/>
        </w:rPr>
        <w:t>在</w:t>
      </w:r>
      <w:r>
        <w:rPr>
          <w:rFonts w:ascii="微软雅黑" w:hAnsi="微软雅黑" w:eastAsia="微软雅黑" w:cs="微软雅黑"/>
          <w:spacing w:val="12"/>
          <w:lang w:eastAsia="zh-CN"/>
        </w:rPr>
        <w:t>12</w:t>
      </w:r>
      <w:r>
        <w:rPr>
          <w:rFonts w:hint="eastAsia" w:ascii="微软雅黑" w:hAnsi="微软雅黑" w:eastAsia="微软雅黑" w:cs="微软雅黑"/>
          <w:spacing w:val="12"/>
          <w:lang w:eastAsia="zh-CN"/>
        </w:rPr>
        <w:t>月会议上同意降息，但官员们分歧严重。一些与会者表示，根据他们的经济展望，在本次会议下调利率区间后，可能需要在一段时间内保持目标利率区间不变。纪要同时显示，如果通胀如预期般逐步下降，大多数官员认为进一步降息是合适的。国内方面，</w:t>
      </w:r>
      <w:r>
        <w:rPr>
          <w:rFonts w:ascii="微软雅黑" w:hAnsi="微软雅黑" w:eastAsia="微软雅黑" w:cs="微软雅黑"/>
          <w:spacing w:val="12"/>
          <w:lang w:eastAsia="zh-CN"/>
        </w:rPr>
        <w:t>2026</w:t>
      </w:r>
      <w:r>
        <w:rPr>
          <w:rFonts w:hint="eastAsia" w:ascii="微软雅黑" w:hAnsi="微软雅黑" w:eastAsia="微软雅黑" w:cs="微软雅黑"/>
          <w:spacing w:val="12"/>
          <w:lang w:eastAsia="zh-CN"/>
        </w:rPr>
        <w:t>年国补方案正式发布，国家发改委、财政部印发《关于</w:t>
      </w:r>
      <w:r>
        <w:rPr>
          <w:rFonts w:ascii="微软雅黑" w:hAnsi="微软雅黑" w:eastAsia="微软雅黑" w:cs="微软雅黑"/>
          <w:spacing w:val="12"/>
          <w:lang w:eastAsia="zh-CN"/>
        </w:rPr>
        <w:t>2026</w:t>
      </w:r>
      <w:r>
        <w:rPr>
          <w:rFonts w:hint="eastAsia" w:ascii="微软雅黑" w:hAnsi="微软雅黑" w:eastAsia="微软雅黑" w:cs="微软雅黑"/>
          <w:spacing w:val="12"/>
          <w:lang w:eastAsia="zh-CN"/>
        </w:rPr>
        <w:t>年实施大规模设备更新和消费品以旧换新政策的通知》，同时下达首批</w:t>
      </w:r>
      <w:r>
        <w:rPr>
          <w:rFonts w:ascii="微软雅黑" w:hAnsi="微软雅黑" w:eastAsia="微软雅黑" w:cs="微软雅黑"/>
          <w:spacing w:val="12"/>
          <w:lang w:eastAsia="zh-CN"/>
        </w:rPr>
        <w:t>625</w:t>
      </w:r>
      <w:r>
        <w:rPr>
          <w:rFonts w:hint="eastAsia" w:ascii="微软雅黑" w:hAnsi="微软雅黑" w:eastAsia="微软雅黑" w:cs="微软雅黑"/>
          <w:spacing w:val="12"/>
          <w:lang w:eastAsia="zh-CN"/>
        </w:rPr>
        <w:t>亿元资金支持消费品以旧换新。</w:t>
      </w:r>
      <w:r>
        <w:rPr>
          <w:rFonts w:ascii="微软雅黑" w:hAnsi="微软雅黑" w:eastAsia="微软雅黑" w:cs="微软雅黑"/>
          <w:spacing w:val="12"/>
          <w:lang w:eastAsia="zh-CN"/>
        </w:rPr>
        <w:t>2026</w:t>
      </w:r>
      <w:r>
        <w:rPr>
          <w:rFonts w:hint="eastAsia" w:ascii="微软雅黑" w:hAnsi="微软雅黑" w:eastAsia="微软雅黑" w:cs="微软雅黑"/>
          <w:spacing w:val="12"/>
          <w:lang w:eastAsia="zh-CN"/>
        </w:rPr>
        <w:t>年国补对象新增智能眼镜、智能家居等智能产品，剔除家装、电动自行车两大类。购买新车按车价补贴</w:t>
      </w:r>
      <w:r>
        <w:rPr>
          <w:rFonts w:ascii="微软雅黑" w:hAnsi="微软雅黑" w:eastAsia="微软雅黑" w:cs="微软雅黑"/>
          <w:spacing w:val="12"/>
          <w:lang w:eastAsia="zh-CN"/>
        </w:rPr>
        <w:t>12%</w:t>
      </w:r>
      <w:r>
        <w:rPr>
          <w:rFonts w:hint="eastAsia" w:ascii="微软雅黑" w:hAnsi="微软雅黑" w:eastAsia="微软雅黑" w:cs="微软雅黑"/>
          <w:spacing w:val="12"/>
          <w:lang w:eastAsia="zh-CN"/>
        </w:rPr>
        <w:t>或</w:t>
      </w:r>
      <w:r>
        <w:rPr>
          <w:rFonts w:ascii="微软雅黑" w:hAnsi="微软雅黑" w:eastAsia="微软雅黑" w:cs="微软雅黑"/>
          <w:spacing w:val="12"/>
          <w:lang w:eastAsia="zh-CN"/>
        </w:rPr>
        <w:t>10%</w:t>
      </w:r>
      <w:r>
        <w:rPr>
          <w:rFonts w:hint="eastAsia" w:ascii="微软雅黑" w:hAnsi="微软雅黑" w:eastAsia="微软雅黑" w:cs="微软雅黑"/>
          <w:spacing w:val="12"/>
          <w:lang w:eastAsia="zh-CN"/>
        </w:rPr>
        <w:t>，补贴上限仍延续</w:t>
      </w:r>
      <w:r>
        <w:rPr>
          <w:rFonts w:ascii="微软雅黑" w:hAnsi="微软雅黑" w:eastAsia="微软雅黑" w:cs="微软雅黑"/>
          <w:spacing w:val="12"/>
          <w:lang w:eastAsia="zh-CN"/>
        </w:rPr>
        <w:t>2025</w:t>
      </w:r>
      <w:r>
        <w:rPr>
          <w:rFonts w:hint="eastAsia" w:ascii="微软雅黑" w:hAnsi="微软雅黑" w:eastAsia="微软雅黑" w:cs="微软雅黑"/>
          <w:spacing w:val="12"/>
          <w:lang w:eastAsia="zh-CN"/>
        </w:rPr>
        <w:t>年标准（即</w:t>
      </w:r>
      <w:r>
        <w:rPr>
          <w:rFonts w:ascii="微软雅黑" w:hAnsi="微软雅黑" w:eastAsia="微软雅黑" w:cs="微软雅黑"/>
          <w:spacing w:val="12"/>
          <w:lang w:eastAsia="zh-CN"/>
        </w:rPr>
        <w:t>2</w:t>
      </w:r>
      <w:r>
        <w:rPr>
          <w:rFonts w:hint="eastAsia" w:ascii="微软雅黑" w:hAnsi="微软雅黑" w:eastAsia="微软雅黑" w:cs="微软雅黑"/>
          <w:spacing w:val="12"/>
          <w:lang w:eastAsia="zh-CN"/>
        </w:rPr>
        <w:t>万元或</w:t>
      </w:r>
      <w:r>
        <w:rPr>
          <w:rFonts w:ascii="微软雅黑" w:hAnsi="微软雅黑" w:eastAsia="微软雅黑" w:cs="微软雅黑"/>
          <w:spacing w:val="12"/>
          <w:lang w:eastAsia="zh-CN"/>
        </w:rPr>
        <w:t>1.5</w:t>
      </w:r>
      <w:r>
        <w:rPr>
          <w:rFonts w:hint="eastAsia" w:ascii="微软雅黑" w:hAnsi="微软雅黑" w:eastAsia="微软雅黑" w:cs="微软雅黑"/>
          <w:spacing w:val="12"/>
          <w:lang w:eastAsia="zh-CN"/>
        </w:rPr>
        <w:t>万元）。库存方面，截至</w:t>
      </w:r>
      <w:r>
        <w:rPr>
          <w:rFonts w:ascii="微软雅黑" w:hAnsi="微软雅黑" w:eastAsia="微软雅黑" w:cs="微软雅黑"/>
          <w:spacing w:val="12"/>
          <w:lang w:eastAsia="zh-CN"/>
        </w:rPr>
        <w:t>12</w:t>
      </w:r>
      <w:r>
        <w:rPr>
          <w:rFonts w:hint="eastAsia" w:ascii="微软雅黑" w:hAnsi="微软雅黑" w:eastAsia="微软雅黑" w:cs="微软雅黑"/>
          <w:spacing w:val="12"/>
          <w:lang w:eastAsia="zh-CN"/>
        </w:rPr>
        <w:t>月</w:t>
      </w:r>
      <w:r>
        <w:rPr>
          <w:rFonts w:ascii="微软雅黑" w:hAnsi="微软雅黑" w:eastAsia="微软雅黑" w:cs="微软雅黑"/>
          <w:spacing w:val="12"/>
          <w:lang w:eastAsia="zh-CN"/>
        </w:rPr>
        <w:t>30</w:t>
      </w:r>
      <w:r>
        <w:rPr>
          <w:rFonts w:hint="eastAsia" w:ascii="微软雅黑" w:hAnsi="微软雅黑" w:eastAsia="微软雅黑" w:cs="微软雅黑"/>
          <w:spacing w:val="12"/>
          <w:lang w:eastAsia="zh-CN"/>
        </w:rPr>
        <w:t>日，</w:t>
      </w:r>
      <w:r>
        <w:rPr>
          <w:rFonts w:ascii="微软雅黑" w:hAnsi="微软雅黑" w:eastAsia="微软雅黑" w:cs="微软雅黑"/>
          <w:spacing w:val="12"/>
          <w:lang w:eastAsia="zh-CN"/>
        </w:rPr>
        <w:t>COMEX</w:t>
      </w:r>
      <w:r>
        <w:rPr>
          <w:rFonts w:hint="eastAsia" w:ascii="微软雅黑" w:hAnsi="微软雅黑" w:eastAsia="微软雅黑" w:cs="微软雅黑"/>
          <w:spacing w:val="12"/>
          <w:lang w:eastAsia="zh-CN"/>
        </w:rPr>
        <w:t>铜库存为</w:t>
      </w:r>
      <w:r>
        <w:rPr>
          <w:rFonts w:ascii="微软雅黑" w:hAnsi="微软雅黑" w:eastAsia="微软雅黑" w:cs="微软雅黑"/>
          <w:spacing w:val="12"/>
          <w:lang w:eastAsia="zh-CN"/>
        </w:rPr>
        <w:t>490722</w:t>
      </w:r>
      <w:r>
        <w:rPr>
          <w:rFonts w:hint="eastAsia" w:ascii="微软雅黑" w:hAnsi="微软雅黑" w:eastAsia="微软雅黑" w:cs="微软雅黑"/>
          <w:spacing w:val="12"/>
          <w:lang w:eastAsia="zh-CN"/>
        </w:rPr>
        <w:t>短吨，环比</w:t>
      </w:r>
      <w:r>
        <w:rPr>
          <w:rFonts w:ascii="微软雅黑" w:hAnsi="微软雅黑" w:eastAsia="微软雅黑" w:cs="微软雅黑"/>
          <w:spacing w:val="12"/>
          <w:lang w:eastAsia="zh-CN"/>
        </w:rPr>
        <w:t>+2400</w:t>
      </w:r>
      <w:r>
        <w:rPr>
          <w:rFonts w:hint="eastAsia" w:ascii="微软雅黑" w:hAnsi="微软雅黑" w:eastAsia="微软雅黑" w:cs="微软雅黑"/>
          <w:spacing w:val="12"/>
          <w:lang w:eastAsia="zh-CN"/>
        </w:rPr>
        <w:t>短吨；</w:t>
      </w:r>
      <w:r>
        <w:rPr>
          <w:rFonts w:ascii="微软雅黑" w:hAnsi="微软雅黑" w:eastAsia="微软雅黑" w:cs="微软雅黑"/>
          <w:spacing w:val="12"/>
          <w:lang w:eastAsia="zh-CN"/>
        </w:rPr>
        <w:t>LME</w:t>
      </w:r>
      <w:r>
        <w:rPr>
          <w:rFonts w:hint="eastAsia" w:ascii="微软雅黑" w:hAnsi="微软雅黑" w:eastAsia="微软雅黑" w:cs="微软雅黑"/>
          <w:spacing w:val="12"/>
          <w:lang w:eastAsia="zh-CN"/>
        </w:rPr>
        <w:t>铜库存为</w:t>
      </w:r>
      <w:r>
        <w:rPr>
          <w:rFonts w:ascii="微软雅黑" w:hAnsi="微软雅黑" w:eastAsia="微软雅黑" w:cs="微软雅黑"/>
          <w:spacing w:val="12"/>
          <w:lang w:eastAsia="zh-CN"/>
        </w:rPr>
        <w:t>149475</w:t>
      </w:r>
      <w:r>
        <w:rPr>
          <w:rFonts w:hint="eastAsia" w:ascii="微软雅黑" w:hAnsi="微软雅黑" w:eastAsia="微软雅黑" w:cs="微软雅黑"/>
          <w:spacing w:val="12"/>
          <w:lang w:eastAsia="zh-CN"/>
        </w:rPr>
        <w:t>吨，环比</w:t>
      </w:r>
      <w:r>
        <w:rPr>
          <w:rFonts w:ascii="微软雅黑" w:hAnsi="微软雅黑" w:eastAsia="微软雅黑" w:cs="微软雅黑"/>
          <w:spacing w:val="12"/>
          <w:lang w:eastAsia="zh-CN"/>
        </w:rPr>
        <w:t>-5100</w:t>
      </w:r>
      <w:r>
        <w:rPr>
          <w:rFonts w:hint="eastAsia" w:ascii="微软雅黑" w:hAnsi="微软雅黑" w:eastAsia="微软雅黑" w:cs="微软雅黑"/>
          <w:spacing w:val="12"/>
          <w:lang w:eastAsia="zh-CN"/>
        </w:rPr>
        <w:t>吨；</w:t>
      </w:r>
      <w:r>
        <w:rPr>
          <w:rFonts w:ascii="微软雅黑" w:hAnsi="微软雅黑" w:eastAsia="微软雅黑" w:cs="微软雅黑"/>
          <w:spacing w:val="12"/>
          <w:lang w:eastAsia="zh-CN"/>
        </w:rPr>
        <w:t>SHFE</w:t>
      </w:r>
      <w:r>
        <w:rPr>
          <w:rFonts w:hint="eastAsia" w:ascii="微软雅黑" w:hAnsi="微软雅黑" w:eastAsia="微软雅黑" w:cs="微软雅黑"/>
          <w:spacing w:val="12"/>
          <w:lang w:eastAsia="zh-CN"/>
        </w:rPr>
        <w:t>每日仓单</w:t>
      </w:r>
      <w:r>
        <w:rPr>
          <w:rFonts w:ascii="微软雅黑" w:hAnsi="微软雅黑" w:eastAsia="微软雅黑" w:cs="微软雅黑"/>
          <w:spacing w:val="12"/>
          <w:lang w:eastAsia="zh-CN"/>
        </w:rPr>
        <w:t>71738</w:t>
      </w:r>
      <w:r>
        <w:rPr>
          <w:rFonts w:hint="eastAsia" w:ascii="微软雅黑" w:hAnsi="微软雅黑" w:eastAsia="微软雅黑" w:cs="微软雅黑"/>
          <w:spacing w:val="12"/>
          <w:lang w:eastAsia="zh-CN"/>
        </w:rPr>
        <w:t>吨，环比</w:t>
      </w:r>
      <w:r>
        <w:rPr>
          <w:rFonts w:ascii="微软雅黑" w:hAnsi="微软雅黑" w:eastAsia="微软雅黑" w:cs="微软雅黑"/>
          <w:spacing w:val="12"/>
          <w:lang w:eastAsia="zh-CN"/>
        </w:rPr>
        <w:t>+5860</w:t>
      </w:r>
      <w:r>
        <w:rPr>
          <w:rFonts w:hint="eastAsia" w:ascii="微软雅黑" w:hAnsi="微软雅黑" w:eastAsia="微软雅黑" w:cs="微软雅黑"/>
          <w:spacing w:val="12"/>
          <w:lang w:eastAsia="zh-CN"/>
        </w:rPr>
        <w:t>吨。美元美债方面，美元指数企稳在</w:t>
      </w:r>
      <w:r>
        <w:rPr>
          <w:rFonts w:ascii="微软雅黑" w:hAnsi="微软雅黑" w:eastAsia="微软雅黑" w:cs="微软雅黑"/>
          <w:spacing w:val="12"/>
          <w:lang w:eastAsia="zh-CN"/>
        </w:rPr>
        <w:t>98</w:t>
      </w:r>
      <w:r>
        <w:rPr>
          <w:rFonts w:hint="eastAsia" w:ascii="微软雅黑" w:hAnsi="微软雅黑" w:eastAsia="微软雅黑" w:cs="微软雅黑"/>
          <w:spacing w:val="12"/>
          <w:lang w:eastAsia="zh-CN"/>
        </w:rPr>
        <w:t>关口上方，最终收涨</w:t>
      </w:r>
      <w:r>
        <w:rPr>
          <w:rFonts w:ascii="微软雅黑" w:hAnsi="微软雅黑" w:eastAsia="微软雅黑" w:cs="微软雅黑"/>
          <w:spacing w:val="12"/>
          <w:lang w:eastAsia="zh-CN"/>
        </w:rPr>
        <w:t>0.213%</w:t>
      </w:r>
      <w:r>
        <w:rPr>
          <w:rFonts w:hint="eastAsia" w:ascii="微软雅黑" w:hAnsi="微软雅黑" w:eastAsia="微软雅黑" w:cs="微软雅黑"/>
          <w:spacing w:val="12"/>
          <w:lang w:eastAsia="zh-CN"/>
        </w:rPr>
        <w:t>，报</w:t>
      </w:r>
      <w:r>
        <w:rPr>
          <w:rFonts w:ascii="微软雅黑" w:hAnsi="微软雅黑" w:eastAsia="微软雅黑" w:cs="微软雅黑"/>
          <w:spacing w:val="12"/>
          <w:lang w:eastAsia="zh-CN"/>
        </w:rPr>
        <w:t>98.22</w:t>
      </w:r>
      <w:r>
        <w:rPr>
          <w:rFonts w:hint="eastAsia" w:ascii="微软雅黑" w:hAnsi="微软雅黑" w:eastAsia="微软雅黑" w:cs="微软雅黑"/>
          <w:spacing w:val="12"/>
          <w:lang w:eastAsia="zh-CN"/>
        </w:rPr>
        <w:t>；美债收益率略有上涨，基准的</w:t>
      </w:r>
      <w:r>
        <w:rPr>
          <w:rFonts w:ascii="微软雅黑" w:hAnsi="微软雅黑" w:eastAsia="微软雅黑" w:cs="微软雅黑"/>
          <w:spacing w:val="12"/>
          <w:lang w:eastAsia="zh-CN"/>
        </w:rPr>
        <w:t>10</w:t>
      </w:r>
      <w:r>
        <w:rPr>
          <w:rFonts w:hint="eastAsia" w:ascii="微软雅黑" w:hAnsi="微软雅黑" w:eastAsia="微软雅黑" w:cs="微软雅黑"/>
          <w:spacing w:val="12"/>
          <w:lang w:eastAsia="zh-CN"/>
        </w:rPr>
        <w:t>年期美债收益率最终收报</w:t>
      </w:r>
      <w:r>
        <w:rPr>
          <w:rFonts w:ascii="微软雅黑" w:hAnsi="微软雅黑" w:eastAsia="微软雅黑" w:cs="微软雅黑"/>
          <w:spacing w:val="12"/>
          <w:lang w:eastAsia="zh-CN"/>
        </w:rPr>
        <w:t>4.127%</w:t>
      </w:r>
      <w:r>
        <w:rPr>
          <w:rFonts w:hint="eastAsia" w:ascii="微软雅黑" w:hAnsi="微软雅黑" w:eastAsia="微软雅黑" w:cs="微软雅黑"/>
          <w:spacing w:val="12"/>
          <w:lang w:eastAsia="zh-CN"/>
        </w:rPr>
        <w:t>，对美联储政策利率敏感的</w:t>
      </w:r>
      <w:r>
        <w:rPr>
          <w:rFonts w:ascii="微软雅黑" w:hAnsi="微软雅黑" w:eastAsia="微软雅黑" w:cs="微软雅黑"/>
          <w:spacing w:val="12"/>
          <w:lang w:eastAsia="zh-CN"/>
        </w:rPr>
        <w:t>2</w:t>
      </w:r>
      <w:r>
        <w:rPr>
          <w:rFonts w:hint="eastAsia" w:ascii="微软雅黑" w:hAnsi="微软雅黑" w:eastAsia="微软雅黑" w:cs="微软雅黑"/>
          <w:spacing w:val="12"/>
          <w:lang w:eastAsia="zh-CN"/>
        </w:rPr>
        <w:t>年期美债收益率收报</w:t>
      </w:r>
      <w:r>
        <w:rPr>
          <w:rFonts w:ascii="微软雅黑" w:hAnsi="微软雅黑" w:eastAsia="微软雅黑" w:cs="微软雅黑"/>
          <w:spacing w:val="12"/>
          <w:lang w:eastAsia="zh-CN"/>
        </w:rPr>
        <w:t>3.459%</w:t>
      </w:r>
      <w:r>
        <w:rPr>
          <w:rFonts w:hint="eastAsia" w:ascii="微软雅黑" w:hAnsi="微软雅黑" w:eastAsia="微软雅黑" w:cs="微软雅黑"/>
          <w:spacing w:val="12"/>
          <w:lang w:eastAsia="zh-CN"/>
        </w:rPr>
        <w:t>。操作建议，纽铜主力合约轻仓逢低短多交易，仅供参考。</w:t>
      </w:r>
    </w:p>
    <w:p>
      <w:pPr>
        <w:spacing w:before="103" w:line="256" w:lineRule="auto"/>
        <w:ind w:right="210" w:firstLine="448"/>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7"/>
          <w:lang w:eastAsia="zh-CN"/>
        </w:rPr>
        <w:t>图表4：铜日线走势图</w:t>
      </w:r>
    </w:p>
    <w:p>
      <w:pPr>
        <w:spacing w:before="103" w:line="256" w:lineRule="auto"/>
        <w:ind w:right="210"/>
        <w:jc w:val="center"/>
      </w:pPr>
      <w:r>
        <w:rPr>
          <w:snapToGrid/>
        </w:rPr>
        <w:drawing>
          <wp:inline distT="0" distB="0" distL="0" distR="0">
            <wp:extent cx="5274310" cy="2879090"/>
            <wp:effectExtent l="0" t="0" r="2540" b="0"/>
            <wp:docPr id="1511947152" name="图片 151194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47152" name="图片 1511947152"/>
                    <pic:cNvPicPr>
                      <a:picLocks noChangeAspect="1"/>
                    </pic:cNvPicPr>
                  </pic:nvPicPr>
                  <pic:blipFill>
                    <a:blip r:embed="rId14"/>
                    <a:stretch>
                      <a:fillRect/>
                    </a:stretch>
                  </pic:blipFill>
                  <pic:spPr>
                    <a:xfrm>
                      <a:off x="0" y="0"/>
                      <a:ext cx="5274310" cy="2879090"/>
                    </a:xfrm>
                    <a:prstGeom prst="rect">
                      <a:avLst/>
                    </a:prstGeom>
                  </pic:spPr>
                </pic:pic>
              </a:graphicData>
            </a:graphic>
          </wp:inline>
        </w:drawing>
      </w:r>
    </w:p>
    <w:p>
      <w:pPr>
        <w:spacing w:before="120" w:line="190" w:lineRule="auto"/>
        <w:ind w:right="210" w:firstLine="448"/>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t>
      </w:r>
      <w:r>
        <w:rPr>
          <w:rFonts w:ascii="微软雅黑" w:hAnsi="微软雅黑" w:eastAsia="微软雅黑" w:cs="微软雅黑"/>
          <w:spacing w:val="7"/>
          <w:lang w:eastAsia="zh-CN"/>
        </w:rPr>
        <w:t>W</w:t>
      </w:r>
      <w:r>
        <w:rPr>
          <w:rFonts w:hint="eastAsia" w:ascii="微软雅黑" w:hAnsi="微软雅黑" w:eastAsia="微软雅黑" w:cs="微软雅黑"/>
          <w:spacing w:val="7"/>
          <w:lang w:eastAsia="zh-CN"/>
        </w:rPr>
        <w:t>ind、瑞达国际</w:t>
      </w:r>
    </w:p>
    <w:p>
      <w:pPr>
        <w:spacing w:before="120" w:line="190" w:lineRule="auto"/>
        <w:ind w:right="210" w:firstLine="448"/>
        <w:jc w:val="both"/>
        <w:rPr>
          <w:rFonts w:hint="eastAsia" w:ascii="微软雅黑" w:hAnsi="微软雅黑" w:eastAsia="微软雅黑" w:cs="微软雅黑"/>
          <w:spacing w:val="7"/>
          <w:lang w:eastAsia="zh-CN"/>
        </w:rPr>
      </w:pPr>
    </w:p>
    <w:p>
      <w:pPr>
        <w:spacing w:before="120" w:line="190" w:lineRule="auto"/>
        <w:ind w:right="210"/>
        <w:jc w:val="both"/>
        <w:rPr>
          <w:rFonts w:hint="eastAsia" w:ascii="微软雅黑" w:hAnsi="微软雅黑" w:eastAsia="微软雅黑" w:cs="微软雅黑"/>
          <w:spacing w:val="7"/>
          <w:lang w:eastAsia="zh-CN"/>
        </w:rPr>
      </w:pPr>
      <w:r>
        <w:rPr>
          <w:rFonts w:hint="eastAsia" w:ascii="微软雅黑" w:hAnsi="微软雅黑" w:eastAsia="微软雅黑" w:cs="微软雅黑"/>
          <w:b/>
          <w:bCs/>
          <w:spacing w:val="12"/>
          <w:lang w:eastAsia="zh-CN"/>
        </w:rPr>
        <w:t>黄金</w:t>
      </w:r>
    </w:p>
    <w:p>
      <w:pPr>
        <w:spacing w:before="103" w:line="256" w:lineRule="auto"/>
        <w:ind w:right="210" w:firstLine="468"/>
        <w:jc w:val="both"/>
        <w:rPr>
          <w:rFonts w:hint="eastAsia" w:ascii="微软雅黑" w:hAnsi="微软雅黑" w:eastAsia="微软雅黑" w:cs="微软雅黑"/>
          <w:spacing w:val="7"/>
          <w:lang w:eastAsia="zh-CN"/>
        </w:rPr>
      </w:pPr>
      <w:r>
        <w:rPr>
          <w:rFonts w:hint="default" w:ascii="微软雅黑" w:hAnsi="微软雅黑" w:eastAsia="微软雅黑" w:cs="微软雅黑"/>
          <w:spacing w:val="7"/>
          <w:lang w:eastAsia="zh-CN"/>
          <w:woUserID w:val="1"/>
        </w:rPr>
        <w:t>隔夜，贵金属夜盘黄金企稳，COMEX黄金期货涨0.20%报4352.30美元/盎司，COMEX白银期货涨7.88%报76.02美元/盎司，收复此前因保证金上调引发的跌幅。美联储12月会议纪要显示， FOMC官员立场分歧严重。在本次会议下调利率区间后，可能需要在一段时间内保持目标利率区间不变。若通胀逐步下降，大多数官员支持进一步降息。此外，准备金余额已经下降到充足的水平，美联储或重启扩表以保证充足的准备金供应，提振市场流动性预期。在流动性趋于宽松且降息预期仍存的背景下，贵金属中期看多逻辑尚未明显松动，但近期市场波动放大，谨慎回调风险，本周可关注金银比修复机会。短期来看，震荡回调态势或将延续，但逢低买盘需求仍然较强，给予一定底部支撑。运行区间方面，伦敦金关注上方阻力位4500美元/盎司，下方支撑位4300美元/盎司；伦敦银关注上方阻力位80美元/盎司，下方支撑位70美元/盎</w:t>
      </w:r>
      <w:r>
        <w:rPr>
          <w:rFonts w:hint="eastAsia" w:ascii="微软雅黑" w:hAnsi="微软雅黑" w:eastAsia="微软雅黑" w:cs="微软雅黑"/>
          <w:spacing w:val="7"/>
          <w:lang w:eastAsia="zh-CN"/>
        </w:rPr>
        <w:t>司。</w:t>
      </w:r>
    </w:p>
    <w:p>
      <w:pPr>
        <w:spacing w:before="103" w:line="256" w:lineRule="auto"/>
        <w:ind w:right="210" w:firstLine="468"/>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12"/>
          <w:lang w:eastAsia="zh-CN"/>
        </w:rPr>
        <w:t>图表</w:t>
      </w:r>
      <w:r>
        <w:rPr>
          <w:rFonts w:hint="eastAsia" w:ascii="微软雅黑" w:hAnsi="微软雅黑" w:eastAsia="微软雅黑" w:cs="微软雅黑"/>
          <w:spacing w:val="7"/>
          <w:lang w:eastAsia="zh-CN"/>
        </w:rPr>
        <w:t>5：COMEX黄金日线走势图</w:t>
      </w:r>
    </w:p>
    <w:p>
      <w:pPr>
        <w:spacing w:before="103" w:line="256" w:lineRule="auto"/>
        <w:ind w:right="210" w:firstLine="480"/>
        <w:jc w:val="center"/>
        <w:rPr>
          <w:rFonts w:hint="default" w:ascii="微软雅黑" w:hAnsi="微软雅黑" w:eastAsia="微软雅黑" w:cs="微软雅黑"/>
          <w:spacing w:val="12"/>
          <w:sz w:val="24"/>
          <w:szCs w:val="24"/>
          <w:lang w:eastAsia="zh-CN"/>
        </w:rPr>
      </w:pPr>
      <w:r>
        <w:rPr>
          <w:rFonts w:hint="default" w:ascii="微软雅黑" w:hAnsi="微软雅黑" w:eastAsia="微软雅黑" w:cs="微软雅黑"/>
          <w:spacing w:val="12"/>
          <w:sz w:val="24"/>
          <w:szCs w:val="24"/>
          <w:lang w:eastAsia="zh-CN"/>
        </w:rPr>
        <w:drawing>
          <wp:inline distT="0" distB="0" distL="114300" distR="114300">
            <wp:extent cx="6569075" cy="2234565"/>
            <wp:effectExtent l="0" t="0" r="3175"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6569075" cy="2234565"/>
                    </a:xfrm>
                    <a:prstGeom prst="rect">
                      <a:avLst/>
                    </a:prstGeom>
                  </pic:spPr>
                </pic:pic>
              </a:graphicData>
            </a:graphic>
          </wp:inline>
        </w:drawing>
      </w:r>
    </w:p>
    <w:p>
      <w:pPr>
        <w:spacing w:before="120" w:line="190" w:lineRule="auto"/>
        <w:ind w:right="210" w:firstLine="448"/>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资料来源：Wind、瑞达国际</w:t>
      </w:r>
    </w:p>
    <w:p>
      <w:pPr>
        <w:spacing w:before="120" w:line="190" w:lineRule="auto"/>
        <w:ind w:right="210"/>
        <w:jc w:val="both"/>
        <w:rPr>
          <w:rFonts w:hint="eastAsia" w:ascii="微软雅黑" w:hAnsi="微软雅黑" w:eastAsia="微软雅黑" w:cs="微软雅黑"/>
          <w:b/>
          <w:bCs/>
          <w:spacing w:val="12"/>
          <w:lang w:eastAsia="zh-CN"/>
        </w:rPr>
      </w:pPr>
    </w:p>
    <w:p>
      <w:pPr>
        <w:spacing w:before="120" w:line="190" w:lineRule="auto"/>
        <w:ind w:right="210"/>
        <w:jc w:val="both"/>
        <w:rPr>
          <w:rFonts w:hint="eastAsia" w:ascii="微软雅黑" w:hAnsi="微软雅黑" w:eastAsia="微软雅黑" w:cs="微软雅黑"/>
          <w:b/>
          <w:bCs/>
          <w:spacing w:val="12"/>
          <w:lang w:eastAsia="zh-CN"/>
        </w:rPr>
      </w:pPr>
      <w:r>
        <w:rPr>
          <w:rFonts w:hint="eastAsia" w:ascii="微软雅黑" w:hAnsi="微软雅黑" w:eastAsia="微软雅黑" w:cs="微软雅黑"/>
          <w:b/>
          <w:bCs/>
          <w:spacing w:val="12"/>
          <w:lang w:eastAsia="zh-CN"/>
        </w:rPr>
        <w:t>ICE</w:t>
      </w:r>
      <w:bookmarkStart w:id="1" w:name="OLE_LINK4"/>
      <w:bookmarkStart w:id="2" w:name="OLE_LINK3"/>
      <w:r>
        <w:rPr>
          <w:rFonts w:hint="eastAsia" w:ascii="微软雅黑" w:hAnsi="微软雅黑" w:eastAsia="微软雅黑" w:cs="微软雅黑"/>
          <w:b/>
          <w:bCs/>
          <w:spacing w:val="12"/>
          <w:lang w:eastAsia="zh-CN"/>
        </w:rPr>
        <w:t>原糖</w:t>
      </w:r>
      <w:bookmarkEnd w:id="1"/>
      <w:bookmarkEnd w:id="2"/>
    </w:p>
    <w:p>
      <w:pPr>
        <w:spacing w:before="103" w:line="256" w:lineRule="auto"/>
        <w:ind w:left="420" w:leftChars="200" w:right="210" w:firstLine="448" w:firstLineChars="200"/>
        <w:jc w:val="both"/>
        <w:rPr>
          <w:rFonts w:hint="default" w:ascii="微软雅黑" w:hAnsi="微软雅黑" w:eastAsia="微软雅黑" w:cs="微软雅黑"/>
          <w:spacing w:val="7"/>
          <w:lang w:eastAsia="zh-CN"/>
          <w:woUserID w:val="1"/>
        </w:rPr>
      </w:pPr>
      <w:r>
        <w:rPr>
          <w:rFonts w:hint="default" w:ascii="微软雅黑" w:hAnsi="微软雅黑" w:eastAsia="微软雅黑" w:cs="微软雅黑"/>
          <w:spacing w:val="7"/>
          <w:lang w:eastAsia="zh-CN"/>
          <w:woUserID w:val="1"/>
        </w:rPr>
        <w:t>洲际交易所(ICE)原糖期货周二收跌，主要受技术面交易推动。ICE交投最活跃的3月原糖期货收跌0.42美分或2.80%，结算价报每磅14.84美分。</w:t>
      </w:r>
    </w:p>
    <w:p>
      <w:pPr>
        <w:spacing w:before="103" w:line="256" w:lineRule="auto"/>
        <w:ind w:left="420" w:leftChars="200" w:right="210" w:firstLine="448" w:firstLineChars="200"/>
        <w:jc w:val="both"/>
        <w:rPr>
          <w:rFonts w:hint="default" w:ascii="微软雅黑" w:hAnsi="微软雅黑" w:eastAsia="微软雅黑" w:cs="微软雅黑"/>
          <w:spacing w:val="7"/>
          <w:lang w:eastAsia="zh-CN"/>
          <w:woUserID w:val="1"/>
        </w:rPr>
      </w:pPr>
      <w:r>
        <w:rPr>
          <w:rFonts w:hint="default" w:ascii="微软雅黑" w:hAnsi="微软雅黑" w:eastAsia="微软雅黑" w:cs="微软雅黑"/>
          <w:spacing w:val="7"/>
          <w:lang w:eastAsia="zh-CN"/>
          <w:woUserID w:val="1"/>
        </w:rPr>
        <w:t>国际方面，泰国2025/26榨季截至12月24日累计压榨甘蔗入榨量1153.21万吨，同比降幅14.54%；产糖100.05万吨，同比降幅14.28%；甘蔗含糖分11.40%，同比减少0.08%，产糖率8.676%，同比增加0.027%，甘蔗含糖分及产糖进度均同比下滑。</w:t>
      </w:r>
    </w:p>
    <w:p>
      <w:pPr>
        <w:spacing w:before="103" w:line="256" w:lineRule="auto"/>
        <w:ind w:left="420" w:leftChars="200" w:right="210" w:firstLine="448" w:firstLineChars="200"/>
        <w:jc w:val="both"/>
        <w:rPr>
          <w:rFonts w:hint="default" w:ascii="微软雅黑" w:hAnsi="微软雅黑" w:eastAsia="微软雅黑" w:cs="微软雅黑"/>
          <w:spacing w:val="7"/>
          <w:lang w:eastAsia="zh-CN"/>
          <w:woUserID w:val="1"/>
        </w:rPr>
      </w:pPr>
      <w:r>
        <w:rPr>
          <w:rFonts w:hint="default" w:ascii="微软雅黑" w:hAnsi="微软雅黑" w:eastAsia="微软雅黑" w:cs="微软雅黑"/>
          <w:spacing w:val="7"/>
          <w:lang w:eastAsia="zh-CN"/>
          <w:woUserID w:val="1"/>
        </w:rPr>
        <w:t>美糖主力价格关注上方压力15.80美分/磅，下方支撑14.0美分/磅。建议3月 ICE 期糖短期观</w:t>
      </w:r>
      <w:r>
        <w:rPr>
          <w:rFonts w:hint="eastAsia" w:ascii="微软雅黑" w:hAnsi="微软雅黑" w:eastAsia="微软雅黑" w:cs="微软雅黑"/>
          <w:spacing w:val="7"/>
          <w:lang w:eastAsia="zh-CN"/>
        </w:rPr>
        <w:t>望</w:t>
      </w:r>
      <w:r>
        <w:rPr>
          <w:rFonts w:hint="default" w:ascii="微软雅黑" w:hAnsi="微软雅黑" w:eastAsia="微软雅黑" w:cs="微软雅黑"/>
          <w:spacing w:val="7"/>
          <w:lang w:eastAsia="zh-CN"/>
          <w:woUserID w:val="1"/>
        </w:rPr>
        <w:t>。</w:t>
      </w:r>
    </w:p>
    <w:p>
      <w:pPr>
        <w:spacing w:before="103" w:line="256" w:lineRule="auto"/>
        <w:ind w:left="420" w:leftChars="200" w:right="210"/>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图表6：</w:t>
      </w:r>
      <w:r>
        <w:rPr>
          <w:rFonts w:ascii="微软雅黑" w:hAnsi="微软雅黑" w:eastAsia="微软雅黑" w:cs="微软雅黑"/>
          <w:spacing w:val="7"/>
          <w:lang w:eastAsia="zh-CN"/>
        </w:rPr>
        <w:t>ICE</w:t>
      </w:r>
      <w:r>
        <w:rPr>
          <w:rFonts w:hint="eastAsia" w:ascii="微软雅黑" w:hAnsi="微软雅黑" w:eastAsia="微软雅黑" w:cs="微软雅黑"/>
          <w:spacing w:val="7"/>
          <w:lang w:eastAsia="zh-CN"/>
        </w:rPr>
        <w:t>原糖主力合约价格走势图</w:t>
      </w:r>
    </w:p>
    <w:p>
      <w:pPr>
        <w:spacing w:before="103" w:line="256" w:lineRule="auto"/>
        <w:ind w:right="210"/>
        <w:jc w:val="center"/>
        <w:rPr>
          <w:rFonts w:hint="default" w:ascii="微软雅黑" w:hAnsi="微软雅黑" w:eastAsia="微软雅黑" w:cs="微软雅黑"/>
          <w:spacing w:val="7"/>
          <w:lang w:eastAsia="zh-CN"/>
        </w:rPr>
      </w:pPr>
      <w:r>
        <w:rPr>
          <w:rFonts w:hint="default" w:ascii="微软雅黑" w:hAnsi="微软雅黑" w:eastAsia="微软雅黑" w:cs="微软雅黑"/>
          <w:spacing w:val="7"/>
          <w:lang w:eastAsia="zh-CN"/>
        </w:rPr>
        <w:drawing>
          <wp:inline distT="0" distB="0" distL="114300" distR="114300">
            <wp:extent cx="6569075" cy="2673985"/>
            <wp:effectExtent l="0" t="0" r="3175"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6569075" cy="2673985"/>
                    </a:xfrm>
                    <a:prstGeom prst="rect">
                      <a:avLst/>
                    </a:prstGeom>
                  </pic:spPr>
                </pic:pic>
              </a:graphicData>
            </a:graphic>
          </wp:inline>
        </w:drawing>
      </w:r>
    </w:p>
    <w:p>
      <w:pPr>
        <w:spacing w:before="120" w:line="190" w:lineRule="auto"/>
        <w:ind w:right="210" w:firstLine="448"/>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资料来源：Wind、瑞达国际</w:t>
      </w:r>
    </w:p>
    <w:p>
      <w:pPr>
        <w:spacing w:before="103" w:line="256" w:lineRule="auto"/>
        <w:ind w:right="210"/>
        <w:jc w:val="center"/>
        <w:rPr>
          <w:rFonts w:hint="eastAsia" w:ascii="微软雅黑" w:hAnsi="微软雅黑" w:eastAsia="微软雅黑" w:cs="微软雅黑"/>
          <w:spacing w:val="7"/>
          <w:lang w:eastAsia="zh-CN"/>
        </w:rPr>
      </w:pPr>
    </w:p>
    <w:p>
      <w:pPr>
        <w:spacing w:before="103" w:line="256" w:lineRule="auto"/>
        <w:ind w:right="210"/>
        <w:jc w:val="both"/>
        <w:rPr>
          <w:rFonts w:hint="eastAsia" w:ascii="微软雅黑" w:hAnsi="微软雅黑" w:eastAsia="微软雅黑" w:cs="微软雅黑"/>
          <w:b/>
          <w:bCs/>
          <w:spacing w:val="12"/>
          <w:lang w:eastAsia="zh-CN"/>
        </w:rPr>
      </w:pPr>
      <w:r>
        <w:rPr>
          <w:rFonts w:ascii="微软雅黑" w:hAnsi="微软雅黑" w:eastAsia="微软雅黑" w:cs="微软雅黑"/>
          <w:b/>
          <w:bCs/>
          <w:spacing w:val="12"/>
          <w:lang w:eastAsia="zh-CN"/>
        </w:rPr>
        <w:t>ICE</w:t>
      </w:r>
      <w:r>
        <w:rPr>
          <w:rFonts w:hint="eastAsia" w:ascii="微软雅黑" w:hAnsi="微软雅黑" w:eastAsia="微软雅黑" w:cs="微软雅黑"/>
          <w:b/>
          <w:bCs/>
          <w:spacing w:val="12"/>
          <w:lang w:eastAsia="zh-CN"/>
        </w:rPr>
        <w:t>棉花</w:t>
      </w:r>
    </w:p>
    <w:p>
      <w:pPr>
        <w:spacing w:before="103" w:line="256" w:lineRule="auto"/>
        <w:ind w:right="210" w:firstLine="468"/>
        <w:jc w:val="both"/>
        <w:rPr>
          <w:rFonts w:hint="default" w:ascii="微软雅黑" w:hAnsi="微软雅黑" w:eastAsia="微软雅黑" w:cs="微软雅黑"/>
          <w:spacing w:val="7"/>
          <w:lang w:eastAsia="zh-CN"/>
          <w:woUserID w:val="1"/>
        </w:rPr>
      </w:pPr>
      <w:r>
        <w:rPr>
          <w:rFonts w:hint="default" w:ascii="微软雅黑" w:hAnsi="微软雅黑" w:eastAsia="微软雅黑" w:cs="微软雅黑"/>
          <w:spacing w:val="7"/>
          <w:lang w:eastAsia="zh-CN"/>
          <w:woUserID w:val="1"/>
        </w:rPr>
        <w:t>洲际交易所(ICE)棉花期货周二下跌，受大宗商品整体走弱拖累，ICE 3月棉花期货合约收跌0.03美分，或0.05%，结算价报每磅64.32分。</w:t>
      </w:r>
    </w:p>
    <w:p>
      <w:pPr>
        <w:spacing w:before="103" w:line="256" w:lineRule="auto"/>
        <w:ind w:right="210" w:firstLine="468"/>
        <w:jc w:val="both"/>
        <w:rPr>
          <w:rFonts w:hint="default" w:ascii="微软雅黑" w:hAnsi="微软雅黑" w:eastAsia="微软雅黑" w:cs="微软雅黑"/>
          <w:spacing w:val="7"/>
          <w:lang w:eastAsia="zh-CN"/>
          <w:woUserID w:val="1"/>
        </w:rPr>
      </w:pPr>
      <w:r>
        <w:rPr>
          <w:rFonts w:hint="default" w:ascii="微软雅黑" w:hAnsi="微软雅黑" w:eastAsia="微软雅黑" w:cs="微软雅黑"/>
          <w:spacing w:val="7"/>
          <w:lang w:eastAsia="zh-CN"/>
          <w:woUserID w:val="1"/>
        </w:rPr>
        <w:t>国际方面，据美国农业部(USDA)报告显示，12月11日止当周，2025/26年度美国陆地棉出口销售净增30.47万包，较前周增加99%，较前四周均值增加95%。2025/26年度美国陆地棉出口装运量13.44万包，较前周增加32%，较前4周平均水平增加17%。当周美国棉花出口签约量、装运量环比均增加。</w:t>
      </w:r>
    </w:p>
    <w:p>
      <w:pPr>
        <w:spacing w:before="103" w:line="256" w:lineRule="auto"/>
        <w:ind w:right="210" w:firstLine="468"/>
        <w:jc w:val="both"/>
        <w:rPr>
          <w:rFonts w:hint="eastAsia" w:ascii="微软雅黑" w:hAnsi="微软雅黑" w:eastAsia="微软雅黑" w:cs="微软雅黑"/>
          <w:spacing w:val="7"/>
          <w:lang w:eastAsia="zh-CN"/>
        </w:rPr>
      </w:pPr>
      <w:r>
        <w:rPr>
          <w:rFonts w:hint="default" w:ascii="微软雅黑" w:hAnsi="微软雅黑" w:eastAsia="微软雅黑" w:cs="微软雅黑"/>
          <w:spacing w:val="7"/>
          <w:lang w:eastAsia="zh-CN"/>
          <w:woUserID w:val="1"/>
        </w:rPr>
        <w:t>美棉主力价格关注上方压力70美分/磅，下方支撑58美分/磅。建议 ICE 3月期棉短期暂时观望</w:t>
      </w:r>
      <w:r>
        <w:rPr>
          <w:rFonts w:hint="eastAsia" w:ascii="微软雅黑" w:hAnsi="微软雅黑" w:eastAsia="微软雅黑" w:cs="微软雅黑"/>
          <w:spacing w:val="7"/>
          <w:lang w:eastAsia="zh-CN"/>
        </w:rPr>
        <w:t>。</w:t>
      </w:r>
    </w:p>
    <w:p>
      <w:pPr>
        <w:spacing w:before="103" w:line="256" w:lineRule="auto"/>
        <w:ind w:right="210" w:firstLine="468"/>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图表7：</w:t>
      </w:r>
      <w:r>
        <w:rPr>
          <w:rFonts w:ascii="微软雅黑" w:hAnsi="微软雅黑" w:eastAsia="微软雅黑" w:cs="微软雅黑"/>
          <w:spacing w:val="7"/>
          <w:lang w:eastAsia="zh-CN"/>
        </w:rPr>
        <w:t>ICE</w:t>
      </w:r>
      <w:r>
        <w:rPr>
          <w:rFonts w:hint="eastAsia" w:ascii="微软雅黑" w:hAnsi="微软雅黑" w:eastAsia="微软雅黑" w:cs="微软雅黑"/>
          <w:spacing w:val="7"/>
          <w:lang w:eastAsia="zh-CN"/>
        </w:rPr>
        <w:t>美棉主力合约价格走势图</w:t>
      </w:r>
    </w:p>
    <w:p>
      <w:pPr>
        <w:spacing w:before="103" w:line="256" w:lineRule="auto"/>
        <w:ind w:right="210" w:firstLine="448"/>
        <w:jc w:val="center"/>
        <w:rPr>
          <w:rFonts w:hint="default" w:ascii="微软雅黑" w:hAnsi="微软雅黑" w:eastAsia="微软雅黑" w:cs="微软雅黑"/>
          <w:spacing w:val="7"/>
          <w:lang w:eastAsia="zh-CN"/>
        </w:rPr>
      </w:pPr>
      <w:bookmarkStart w:id="3" w:name="_GoBack"/>
      <w:r>
        <w:rPr>
          <w:rFonts w:hint="default" w:ascii="微软雅黑" w:hAnsi="微软雅黑" w:eastAsia="微软雅黑" w:cs="微软雅黑"/>
          <w:spacing w:val="7"/>
          <w:lang w:eastAsia="zh-CN"/>
        </w:rPr>
        <w:drawing>
          <wp:inline distT="0" distB="0" distL="114300" distR="114300">
            <wp:extent cx="6565265" cy="2703195"/>
            <wp:effectExtent l="0" t="0" r="698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6565265" cy="2703195"/>
                    </a:xfrm>
                    <a:prstGeom prst="rect">
                      <a:avLst/>
                    </a:prstGeom>
                  </pic:spPr>
                </pic:pic>
              </a:graphicData>
            </a:graphic>
          </wp:inline>
        </w:drawing>
      </w:r>
      <w:bookmarkEnd w:id="3"/>
    </w:p>
    <w:p>
      <w:pPr>
        <w:spacing w:before="120" w:line="190" w:lineRule="auto"/>
        <w:ind w:right="210" w:firstLine="448"/>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资料来源：Wind、瑞达国际</w:t>
      </w:r>
    </w:p>
    <w:p>
      <w:pPr>
        <w:spacing w:before="103" w:line="256" w:lineRule="auto"/>
        <w:ind w:right="210" w:firstLine="448"/>
        <w:jc w:val="center"/>
        <w:rPr>
          <w:rFonts w:hint="eastAsia" w:ascii="微软雅黑" w:hAnsi="微软雅黑" w:eastAsia="微软雅黑" w:cs="微软雅黑"/>
          <w:spacing w:val="7"/>
          <w:lang w:eastAsia="zh-CN"/>
        </w:rPr>
      </w:pPr>
    </w:p>
    <w:p>
      <w:pPr>
        <w:spacing w:before="172" w:line="417" w:lineRule="exact"/>
        <w:ind w:right="210"/>
        <w:rPr>
          <w:rFonts w:hint="eastAsia" w:ascii="微软雅黑" w:hAnsi="微软雅黑" w:eastAsia="微软雅黑" w:cs="微软雅黑"/>
          <w:sz w:val="20"/>
          <w:szCs w:val="20"/>
          <w:lang w:eastAsia="zh-CN"/>
        </w:rPr>
      </w:pPr>
      <w:r>
        <w:rPr>
          <w:rFonts w:ascii="微软雅黑" w:hAnsi="微软雅黑" w:eastAsia="微软雅黑" w:cs="微软雅黑"/>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8"/>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lang w:eastAsia="zh-CN"/>
        </w:rPr>
        <w:t xml:space="preserve"> </w:t>
      </w:r>
      <w:r>
        <w:rPr>
          <w:rFonts w:ascii="微软雅黑" w:hAnsi="微软雅黑" w:eastAsia="微软雅黑" w:cs="微软雅黑"/>
          <w:color w:val="CE393F"/>
          <w:spacing w:val="8"/>
          <w:position w:val="2"/>
          <w:sz w:val="40"/>
          <w:szCs w:val="40"/>
          <w:lang w:eastAsia="zh-CN"/>
        </w:rPr>
        <w:t>△</w:t>
      </w:r>
      <w:r>
        <w:rPr>
          <w:rFonts w:ascii="微软雅黑" w:hAnsi="微软雅黑" w:eastAsia="微软雅黑" w:cs="微软雅黑"/>
          <w:color w:val="CE393F"/>
          <w:spacing w:val="-38"/>
          <w:position w:val="2"/>
          <w:sz w:val="40"/>
          <w:szCs w:val="40"/>
          <w:lang w:eastAsia="zh-CN"/>
        </w:rPr>
        <w:t xml:space="preserve"> </w:t>
      </w:r>
      <w:r>
        <w:rPr>
          <w:rFonts w:ascii="微软雅黑" w:hAnsi="微软雅黑" w:eastAsia="微软雅黑" w:cs="微软雅黑"/>
          <w:spacing w:val="8"/>
          <w:position w:val="2"/>
          <w:sz w:val="20"/>
          <w:szCs w:val="20"/>
          <w:lang w:eastAsia="zh-CN"/>
        </w:rPr>
        <w:t>免责声明</w:t>
      </w:r>
    </w:p>
    <w:p>
      <w:pPr>
        <w:spacing w:before="63" w:line="193" w:lineRule="auto"/>
        <w:ind w:left="210" w:right="210" w:firstLine="372"/>
        <w:jc w:val="both"/>
        <w:rPr>
          <w:rFonts w:hint="eastAsia" w:ascii="微软雅黑" w:hAnsi="微软雅黑" w:eastAsia="微软雅黑" w:cs="微软雅黑"/>
          <w:color w:val="898989"/>
          <w:spacing w:val="-8"/>
          <w:sz w:val="18"/>
          <w:szCs w:val="18"/>
          <w:lang w:eastAsia="zh-CN"/>
        </w:rPr>
      </w:pPr>
      <w:r>
        <w:rPr>
          <w:rFonts w:ascii="微软雅黑" w:hAnsi="微软雅黑" w:eastAsia="微软雅黑" w:cs="微软雅黑"/>
          <w:color w:val="898989"/>
          <w:spacing w:val="3"/>
          <w:sz w:val="18"/>
          <w:szCs w:val="18"/>
          <w:lang w:eastAsia="zh-CN"/>
        </w:rPr>
        <w:t>此报告由瑞达国际所编制。本报告采用之资料及意见均相信可靠及准确</w:t>
      </w:r>
      <w:r>
        <w:rPr>
          <w:rFonts w:ascii="微软雅黑" w:hAnsi="微软雅黑" w:eastAsia="微软雅黑" w:cs="微软雅黑"/>
          <w:color w:val="898989"/>
          <w:spacing w:val="2"/>
          <w:sz w:val="18"/>
          <w:szCs w:val="18"/>
          <w:lang w:eastAsia="zh-CN"/>
        </w:rPr>
        <w:t>，但本公司并不对各分析或有关资料之可</w:t>
      </w:r>
      <w:r>
        <w:rPr>
          <w:rFonts w:ascii="微软雅黑" w:hAnsi="微软雅黑" w:eastAsia="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lang w:eastAsia="zh-CN"/>
        </w:rPr>
        <w:t>资准</w:t>
      </w:r>
      <w:r>
        <w:rPr>
          <w:rFonts w:ascii="微软雅黑" w:hAnsi="微软雅黑" w:eastAsia="微软雅黑" w:cs="微软雅黑"/>
          <w:color w:val="898989"/>
          <w:spacing w:val="-8"/>
          <w:sz w:val="18"/>
          <w:szCs w:val="18"/>
          <w:lang w:eastAsia="zh-CN"/>
        </w:rPr>
        <w:t>则。</w:t>
      </w:r>
    </w:p>
    <w:p>
      <w:pPr>
        <w:spacing w:before="63" w:line="193" w:lineRule="auto"/>
        <w:ind w:left="210" w:right="210" w:firstLine="372"/>
        <w:jc w:val="both"/>
        <w:rPr>
          <w:rFonts w:eastAsiaTheme="minorEastAsia"/>
          <w:lang w:eastAsia="zh-CN"/>
        </w:rPr>
      </w:pPr>
      <w:r>
        <w:rPr>
          <w:rFonts w:ascii="微软雅黑" w:hAnsi="微软雅黑" w:eastAsia="微软雅黑" w:cs="微软雅黑"/>
          <w:color w:val="898989"/>
          <w:spacing w:val="3"/>
          <w:sz w:val="18"/>
          <w:szCs w:val="18"/>
          <w:lang w:eastAsia="zh-CN"/>
        </w:rPr>
        <w:t>本报告之资料及意见如有任何更改，恕不另行通知。本报告并非及并无意图</w:t>
      </w:r>
      <w:r>
        <w:rPr>
          <w:rFonts w:ascii="微软雅黑" w:hAnsi="微软雅黑" w:eastAsia="微软雅黑" w:cs="微软雅黑"/>
          <w:color w:val="898989"/>
          <w:spacing w:val="2"/>
          <w:sz w:val="18"/>
          <w:szCs w:val="18"/>
          <w:lang w:eastAsia="zh-CN"/>
        </w:rPr>
        <w:t>构成任何作价或招揽进行买卖本报告</w:t>
      </w:r>
      <w:r>
        <w:rPr>
          <w:rFonts w:ascii="微软雅黑" w:hAnsi="微软雅黑" w:eastAsia="微软雅黑" w:cs="微软雅黑"/>
          <w:color w:val="898989"/>
          <w:sz w:val="18"/>
          <w:szCs w:val="18"/>
          <w:lang w:eastAsia="zh-CN"/>
        </w:rPr>
        <w:t xml:space="preserve"> </w:t>
      </w:r>
      <w:r>
        <w:rPr>
          <w:rFonts w:ascii="微软雅黑" w:hAnsi="微软雅黑" w:eastAsia="微软雅黑" w:cs="微软雅黑"/>
          <w:color w:val="898989"/>
          <w:spacing w:val="2"/>
          <w:sz w:val="18"/>
          <w:szCs w:val="18"/>
          <w:lang w:eastAsia="zh-CN"/>
        </w:rPr>
        <w:t>提及的商品。本公司不会对任何因依靠本报告作出任何买卖而引致之任何损失承担任</w:t>
      </w:r>
      <w:r>
        <w:rPr>
          <w:rFonts w:ascii="微软雅黑" w:hAnsi="微软雅黑" w:eastAsia="微软雅黑" w:cs="微软雅黑"/>
          <w:color w:val="898989"/>
          <w:spacing w:val="1"/>
          <w:sz w:val="18"/>
          <w:szCs w:val="18"/>
          <w:lang w:eastAsia="zh-CN"/>
        </w:rPr>
        <w:t>何责任。</w:t>
      </w:r>
    </w:p>
    <w:p>
      <w:pPr>
        <w:spacing w:before="63" w:line="193" w:lineRule="auto"/>
        <w:ind w:left="210" w:right="210" w:firstLine="372"/>
        <w:jc w:val="both"/>
        <w:rPr>
          <w:rFonts w:eastAsiaTheme="minorEastAsia"/>
          <w:lang w:eastAsia="zh-CN"/>
        </w:rPr>
      </w:pPr>
    </w:p>
    <w:p>
      <w:pPr>
        <w:spacing w:line="3052" w:lineRule="exact"/>
        <w:ind w:right="210" w:firstLine="420"/>
        <w:jc w:val="center"/>
      </w:pPr>
      <w:r>
        <w:rPr>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9"/>
                    <a:stretch>
                      <a:fillRect/>
                    </a:stretch>
                  </pic:blipFill>
                  <pic:spPr>
                    <a:xfrm>
                      <a:off x="0" y="0"/>
                      <a:ext cx="1936488" cy="1938179"/>
                    </a:xfrm>
                    <a:prstGeom prst="rect">
                      <a:avLst/>
                    </a:prstGeom>
                  </pic:spPr>
                </pic:pic>
              </a:graphicData>
            </a:graphic>
          </wp:inline>
        </w:drawing>
      </w:r>
    </w:p>
    <w:p>
      <w:pPr>
        <w:pStyle w:val="4"/>
        <w:spacing w:line="371" w:lineRule="auto"/>
        <w:ind w:right="210"/>
        <w:jc w:val="center"/>
      </w:pPr>
    </w:p>
    <w:p>
      <w:pPr>
        <w:spacing w:before="103" w:line="191" w:lineRule="auto"/>
        <w:ind w:right="210" w:firstLine="508"/>
        <w:jc w:val="center"/>
        <w:rPr>
          <w:rFonts w:hint="eastAsia" w:ascii="微软雅黑" w:hAnsi="微软雅黑" w:eastAsia="微软雅黑" w:cs="微软雅黑"/>
          <w:sz w:val="24"/>
          <w:szCs w:val="24"/>
          <w:lang w:eastAsia="zh-CN"/>
        </w:rPr>
      </w:pPr>
      <w:r>
        <w:rPr>
          <w:rFonts w:ascii="微软雅黑" w:hAnsi="微软雅黑" w:eastAsia="微软雅黑" w:cs="微软雅黑"/>
          <w:spacing w:val="7"/>
          <w:sz w:val="24"/>
          <w:szCs w:val="24"/>
          <w:lang w:eastAsia="zh-CN"/>
        </w:rPr>
        <w:t>24小时客服电话： 00852</w:t>
      </w:r>
      <w:r>
        <w:rPr>
          <w:rFonts w:ascii="微软雅黑" w:hAnsi="微软雅黑" w:eastAsia="微软雅黑" w:cs="微软雅黑"/>
          <w:spacing w:val="-33"/>
          <w:sz w:val="24"/>
          <w:szCs w:val="24"/>
          <w:lang w:eastAsia="zh-CN"/>
        </w:rPr>
        <w:t xml:space="preserve"> </w:t>
      </w:r>
      <w:r>
        <w:rPr>
          <w:rFonts w:ascii="微软雅黑" w:hAnsi="微软雅黑" w:eastAsia="微软雅黑" w:cs="微软雅黑"/>
          <w:spacing w:val="7"/>
          <w:sz w:val="24"/>
          <w:szCs w:val="24"/>
          <w:lang w:eastAsia="zh-CN"/>
        </w:rPr>
        <w:t>-</w:t>
      </w:r>
      <w:r>
        <w:rPr>
          <w:rFonts w:ascii="微软雅黑" w:hAnsi="微软雅黑" w:eastAsia="微软雅黑" w:cs="微软雅黑"/>
          <w:spacing w:val="-37"/>
          <w:sz w:val="24"/>
          <w:szCs w:val="24"/>
          <w:lang w:eastAsia="zh-CN"/>
        </w:rPr>
        <w:t xml:space="preserve"> </w:t>
      </w:r>
      <w:r>
        <w:rPr>
          <w:rFonts w:ascii="微软雅黑" w:hAnsi="微软雅黑" w:eastAsia="微软雅黑" w:cs="微软雅黑"/>
          <w:spacing w:val="7"/>
          <w:sz w:val="24"/>
          <w:szCs w:val="24"/>
          <w:lang w:eastAsia="zh-CN"/>
        </w:rPr>
        <w:t>25342000/86</w:t>
      </w:r>
      <w:r>
        <w:rPr>
          <w:rFonts w:ascii="微软雅黑" w:hAnsi="微软雅黑" w:eastAsia="微软雅黑" w:cs="微软雅黑"/>
          <w:spacing w:val="-36"/>
          <w:sz w:val="24"/>
          <w:szCs w:val="24"/>
          <w:lang w:eastAsia="zh-CN"/>
        </w:rPr>
        <w:t xml:space="preserve"> </w:t>
      </w:r>
      <w:r>
        <w:rPr>
          <w:rFonts w:ascii="微软雅黑" w:hAnsi="微软雅黑" w:eastAsia="微软雅黑" w:cs="微软雅黑"/>
          <w:spacing w:val="7"/>
          <w:sz w:val="24"/>
          <w:szCs w:val="24"/>
          <w:lang w:eastAsia="zh-CN"/>
        </w:rPr>
        <w:t>-</w:t>
      </w:r>
      <w:r>
        <w:rPr>
          <w:rFonts w:ascii="微软雅黑" w:hAnsi="微软雅黑" w:eastAsia="微软雅黑" w:cs="微软雅黑"/>
          <w:spacing w:val="-26"/>
          <w:sz w:val="24"/>
          <w:szCs w:val="24"/>
          <w:lang w:eastAsia="zh-CN"/>
        </w:rPr>
        <w:t xml:space="preserve"> </w:t>
      </w:r>
      <w:r>
        <w:rPr>
          <w:rFonts w:ascii="微软雅黑" w:hAnsi="微软雅黑" w:eastAsia="微软雅黑" w:cs="微软雅黑"/>
          <w:spacing w:val="7"/>
          <w:sz w:val="24"/>
          <w:szCs w:val="24"/>
          <w:lang w:eastAsia="zh-CN"/>
        </w:rPr>
        <w:t>13603059885</w:t>
      </w:r>
    </w:p>
    <w:p>
      <w:pPr>
        <w:spacing w:before="233" w:line="175" w:lineRule="auto"/>
        <w:ind w:right="210" w:firstLine="500"/>
        <w:jc w:val="center"/>
        <w:rPr>
          <w:rFonts w:hint="eastAsia" w:ascii="微软雅黑" w:hAnsi="微软雅黑" w:eastAsia="微软雅黑" w:cs="微软雅黑"/>
          <w:sz w:val="24"/>
          <w:szCs w:val="24"/>
          <w:lang w:eastAsia="zh-CN"/>
        </w:rPr>
      </w:pPr>
      <w:r>
        <w:rPr>
          <w:rFonts w:ascii="微软雅黑" w:hAnsi="微软雅黑" w:eastAsia="微软雅黑" w:cs="微软雅黑"/>
          <w:spacing w:val="5"/>
          <w:sz w:val="24"/>
          <w:szCs w:val="24"/>
          <w:lang w:eastAsia="zh-CN"/>
        </w:rPr>
        <w:t>24小时传真电话： 00852</w:t>
      </w:r>
      <w:r>
        <w:rPr>
          <w:rFonts w:ascii="微软雅黑" w:hAnsi="微软雅黑" w:eastAsia="微软雅黑" w:cs="微软雅黑"/>
          <w:spacing w:val="-32"/>
          <w:sz w:val="24"/>
          <w:szCs w:val="24"/>
          <w:lang w:eastAsia="zh-CN"/>
        </w:rPr>
        <w:t xml:space="preserve"> </w:t>
      </w:r>
      <w:r>
        <w:rPr>
          <w:rFonts w:ascii="微软雅黑" w:hAnsi="微软雅黑" w:eastAsia="微软雅黑" w:cs="微软雅黑"/>
          <w:spacing w:val="5"/>
          <w:sz w:val="24"/>
          <w:szCs w:val="24"/>
          <w:lang w:eastAsia="zh-CN"/>
        </w:rPr>
        <w:t>-</w:t>
      </w:r>
      <w:r>
        <w:rPr>
          <w:rFonts w:ascii="微软雅黑" w:hAnsi="微软雅黑" w:eastAsia="微软雅黑" w:cs="微软雅黑"/>
          <w:spacing w:val="-38"/>
          <w:sz w:val="24"/>
          <w:szCs w:val="24"/>
          <w:lang w:eastAsia="zh-CN"/>
        </w:rPr>
        <w:t xml:space="preserve"> </w:t>
      </w:r>
      <w:r>
        <w:rPr>
          <w:rFonts w:ascii="微软雅黑" w:hAnsi="微软雅黑" w:eastAsia="微软雅黑" w:cs="微软雅黑"/>
          <w:spacing w:val="5"/>
          <w:sz w:val="24"/>
          <w:szCs w:val="24"/>
          <w:lang w:eastAsia="zh-CN"/>
        </w:rPr>
        <w:t>25632368</w:t>
      </w:r>
    </w:p>
    <w:p>
      <w:pPr>
        <w:spacing w:before="258" w:line="190" w:lineRule="auto"/>
        <w:ind w:right="210" w:firstLine="532"/>
        <w:jc w:val="center"/>
        <w:rPr>
          <w:rFonts w:hint="eastAsia"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ind w:right="210" w:firstLine="512"/>
        <w:jc w:val="center"/>
        <w:rPr>
          <w:rFonts w:hint="eastAsia"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ind w:right="210" w:firstLine="564"/>
        <w:jc w:val="center"/>
        <w:rPr>
          <w:rFonts w:hint="eastAsia"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ind w:right="210" w:firstLine="544"/>
        <w:jc w:val="center"/>
        <w:rPr>
          <w:rFonts w:hint="eastAsia" w:ascii="微软雅黑" w:hAnsi="微软雅黑" w:eastAsia="微软雅黑" w:cs="微软雅黑"/>
          <w:sz w:val="24"/>
          <w:szCs w:val="24"/>
          <w:lang w:eastAsia="zh-CN"/>
        </w:rPr>
      </w:pPr>
      <w:r>
        <w:rPr>
          <w:rFonts w:ascii="微软雅黑" w:hAnsi="微软雅黑" w:eastAsia="微软雅黑" w:cs="微软雅黑"/>
          <w:spacing w:val="16"/>
          <w:sz w:val="24"/>
          <w:szCs w:val="24"/>
          <w:lang w:eastAsia="zh-CN"/>
        </w:rPr>
        <w:t>地址:</w:t>
      </w:r>
      <w:r>
        <w:rPr>
          <w:rFonts w:ascii="微软雅黑" w:hAnsi="微软雅黑" w:eastAsia="微软雅黑" w:cs="微软雅黑"/>
          <w:spacing w:val="45"/>
          <w:w w:val="101"/>
          <w:sz w:val="24"/>
          <w:szCs w:val="24"/>
          <w:lang w:eastAsia="zh-CN"/>
        </w:rPr>
        <w:t xml:space="preserve"> </w:t>
      </w:r>
      <w:r>
        <w:rPr>
          <w:rFonts w:ascii="微软雅黑" w:hAnsi="微软雅黑" w:eastAsia="微软雅黑" w:cs="微软雅黑"/>
          <w:spacing w:val="16"/>
          <w:sz w:val="24"/>
          <w:szCs w:val="24"/>
          <w:lang w:eastAsia="zh-CN"/>
        </w:rPr>
        <w:t>香港湾仔菲林明道8号大同大厦17楼05</w:t>
      </w:r>
      <w:r>
        <w:rPr>
          <w:rFonts w:ascii="微软雅黑" w:hAnsi="微软雅黑" w:eastAsia="微软雅黑" w:cs="微软雅黑"/>
          <w:spacing w:val="-36"/>
          <w:sz w:val="24"/>
          <w:szCs w:val="24"/>
          <w:lang w:eastAsia="zh-CN"/>
        </w:rPr>
        <w:t xml:space="preserve"> </w:t>
      </w:r>
      <w:r>
        <w:rPr>
          <w:rFonts w:ascii="微软雅黑" w:hAnsi="微软雅黑" w:eastAsia="微软雅黑" w:cs="微软雅黑"/>
          <w:spacing w:val="16"/>
          <w:sz w:val="24"/>
          <w:szCs w:val="24"/>
          <w:lang w:eastAsia="zh-CN"/>
        </w:rPr>
        <w:t>-</w:t>
      </w:r>
      <w:r>
        <w:rPr>
          <w:rFonts w:ascii="微软雅黑" w:hAnsi="微软雅黑" w:eastAsia="微软雅黑" w:cs="微软雅黑"/>
          <w:spacing w:val="-36"/>
          <w:sz w:val="24"/>
          <w:szCs w:val="24"/>
          <w:lang w:eastAsia="zh-CN"/>
        </w:rPr>
        <w:t xml:space="preserve"> </w:t>
      </w:r>
      <w:r>
        <w:rPr>
          <w:rFonts w:ascii="微软雅黑" w:hAnsi="微软雅黑" w:eastAsia="微软雅黑" w:cs="微软雅黑"/>
          <w:spacing w:val="16"/>
          <w:sz w:val="24"/>
          <w:szCs w:val="24"/>
          <w:lang w:eastAsia="zh-CN"/>
        </w:rPr>
        <w:t>06室</w:t>
      </w:r>
    </w:p>
    <w:sectPr>
      <w:headerReference r:id="rId4" w:type="default"/>
      <w:footerReference r:id="rId5" w:type="default"/>
      <w:pgSz w:w="11923" w:h="16837"/>
      <w:pgMar w:top="400" w:right="556" w:bottom="0" w:left="1015" w:header="340" w:footer="34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16" w:usb3="00000000" w:csb0="00040001" w:csb1="00000000"/>
  </w:font>
  <w:font w:name="汉仪旗黑KW 55S">
    <w:panose1 w:val="00020600040101010101"/>
    <w:charset w:val="86"/>
    <w:family w:val="auto"/>
    <w:pitch w:val="default"/>
    <w:sig w:usb0="A00002BF" w:usb1="3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210" w:firstLine="360"/>
    </w:pPr>
    <w:r>
      <w:rPr>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DK3dcMXAQAAFcEAAAOAAAAZHJzL2Uyb0RvYy54bWwBVwSo+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IiBuYW1lPSLmlofmnKzmoYYgMTAiLz48d3BzOmNOdlNwUHIg&#10;dHhCb3g9IjEiLz48d3BzOnNwUHI+PGE6eGZybT48YTpvZmYgeD0iMCIgeT0iMCIvPjxhOmV4dCBj&#10;eD0iMTgyODgwMCIgY3k9IjE4Mjg4MDAiLz48L2E6eGZybT48YTpwcnN0R2VvbSBwcnN0PSJyZWN0&#10;Ij48YTphdkxzdC8+PC9hOnByc3RHZW9tPjxhOm5vRmlsbC8+PGE6bG4gdz0iNjM1MCI+PGE6bm9G&#10;aWxsLz48L2E6bG4+PC93cHM6c3BQcj48d3BzOnR4YngvPjx3cHM6Ym9keVByIHJvdD0iMCIgc3Bj&#10;Rmlyc3RMYXN0UGFyYT0iMCIgdmVydE92ZXJmbG93PSJvdmVyZmxvdyIgaG9yek92ZXJmbG93PSJv&#10;dmVyZmxvdyIgdmVydD0iaG9yeiIgd3JhcD0ibm9uZSIgbElucz0iMCIgdElucz0iMCIgcklucz0i&#10;MCIgYklucz0iMCIgbnVtQ29sPSIxIiBzcGNDb2w9IjAiIHJ0bENvbD0iMCIgZnJvbVdvcmRBcnQ9&#10;IjAiIGFuY2hvcj0idCIgYW5jaG9yQ3RyPSIwIiBmb3JjZUFBPSIwIiBjb21wYXRMblNwYz0iMSI+&#10;PGE6c3BBdXRvRml0Lz48L3dwczpib2R5UHI+PC93cHM6d3NwPjwvYTpncmFwaGljRGF0YT48L2E6&#10;Z3JhcGhpYz48L3dwOmUyb2hvbGRlcj5QSwMECgAAAAAAh07iQAAAAAAAAAAAAAAAAAYAAABfcmVs&#10;cy9QSwMEFAAAAAgAh07iQIoUZjyZAQAAlAEAAAsAAABfcmVscy8ucmVscwGUAWv+PD94bWwgdmVy&#10;c2lvbj0iMS4wIiBlbmNvZGluZz0iVVRGLTgiIHN0YW5kYWxvbmU9InllcyI/Pg0KPFJlbGF0aW9u&#10;c2hpcHMgeG1sbnM9Imh0dHA6Ly9zY2hlbWFzLm9wZW54bWxmb3JtYXRzLm9yZy9wYWNrYWdlLzIw&#10;MDYvcmVsYXRpb25zaGlwcyI+PFJlbGF0aW9uc2hpcCBJZD0icklkMiIgVHlwZT0iaHR0cDovL3Nj&#10;aGVtYXMubWljcm9zb2Z0LmNvbS9vZmZpY2UvMjAwNi9yZWxhdGlvbnNoaXBzL2dyYXBoaWNGcmFt&#10;ZURvYyIgVGFyZ2V0PSJkcnMvZTJvRG9jLnhtbCIvPjxSZWxhdGlvbnNoaXAgSWQ9InJJZDEiIFR5&#10;cGU9Imh0dHA6Ly9zY2hlbWFzLm1pY3Jvc29mdC5jb20vb2ZmaWNlLzIwMDYvcmVsYXRpb25zaGlw&#10;cy9kb3duUmV2IiBUYXJnZXQ9ImRycy9kb3ducmV2LnhtbCIvPjwvUmVsYXRpb25zaGlwcz5QSwME&#10;FAAAAAgAh07iQH7m5SDmAQAA4QEAABMAAABbQ29udGVudF9UeXBlc10ueG1sAeEBHv48P3htbCB2&#10;ZXJzaW9uPSIxLjAiIGVuY29kaW5nPSJVVEYtOCIgc3RhbmRhbG9uZT0ieWVzIj8+DQo8VHlwZXMg&#10;eG1sbnM9Imh0dHA6Ly9zY2hlbWFzLm9wZW54bWxmb3JtYXRzLm9yZy9wYWNrYWdlLzIwMDYvY29u&#10;dGVudC10eXBlcyI+PERlZmF1bHQgRXh0ZW5zaW9uPSJyZWxzIiBDb250ZW50VHlwZT0iYXBwbGlj&#10;YXRpb24vdm5kLm9wZW54bWxmb3JtYXRzLXBhY2thZ2UucmVsYXRpb25zaGlwcyt4bWwiLz48RGVm&#10;YXVsdCBFeHRlbnNpb249InhtbCIgQ29udGVudFR5cGU9ImFwcGxpY2F0aW9uL3htbCIvPjxPdmVy&#10;cmlkZSBQYXJ0TmFtZT0iL2Rycy9kb3ducmV2LnhtbCIgQ29udGVudFR5cGU9ImFwcGxpY2F0aW9u&#10;L3ZuZC5tcy1vZmZpY2UuRHJzRG93blJldit4bWwiLz48T3ZlcnJpZGUgUGFydE5hbWU9Ii9kcnMv&#10;ZTJvRG9jLnhtbCIgQ29udGVudFR5cGU9ImFwcGxpY2F0aW9uL3ZuZC5tcy1vZmZpY2UuRHJzRTJv&#10;RG9jK3htbCIvPjwvVHlwZXM+UEsBAhQAFAAAAAgAh07iQH7m5SDmAQAA4QEAABMAAAAAAAAAAQAg&#10;AAAAxwcAAFtDb250ZW50X1R5cGVzXS54bWxQSwECFAAKAAAAAACHTuJAAAAAAAAAAAAAAAAABgAA&#10;AAAAAAAAABAAAADhBQAAX3JlbHMvUEsBAhQAFAAAAAgAh07iQIoUZjyZAQAAlAEAAAsAAAAAAAAA&#10;AQAgAAAABQYAAF9yZWxzLy5yZWxzUEsBAhQACgAAAAAAh07iQAAAAAAAAAAAAAAAAAQAAAAAAAAA&#10;AAAQAAAAAAAAAGRycy9QSwECFAAUAAAACACHTuJAs0lY7goBAAAFAQAADwAAAAAAAAABACAAAAAi&#10;AAAAZHJzL2Rvd25yZXYueG1sUEsBAhQAFAAAAAgAh07iQMrd1wxcBAAAVwQAAA4AAAAAAAAAAQAg&#10;AAAAWQEAAGRycy9lMm9Eb2MueG1sUEsFBgAAAAAGAAYAWQEAAN4JAAAAAA==&#10;">
              <v:fill on="f" focussize="0,0"/>
              <v:stroke on="f" weight="0.5pt"/>
              <v:imagedata o:title=""/>
              <o:lock v:ext="edit" aspectratio="f"/>
              <v:textbox inset="0mm,0mm,0mm,0mm" style="mso-fit-shape-to-text:t;">
                <w:txbxContent>
                  <w:p>
                    <w:pPr>
                      <w:pStyle w:val="5"/>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8</w:t>
                    </w:r>
                    <w:r>
                      <w:rPr>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double" w:color="0766D4" w:sz="8" w:space="0"/>
      </w:pBdr>
      <w:spacing w:line="14" w:lineRule="auto"/>
      <w:ind w:firstLine="420"/>
      <w:rPr>
        <w:sz w:val="2"/>
      </w:rPr>
    </w:pPr>
    <w:r>
      <w:rPr>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903944883"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1"/>
        <w:left w:val="none" w:color="auto" w:sz="0" w:space="4"/>
        <w:bottom w:val="thinThickSmallGap" w:color="3669AB" w:sz="24" w:space="0"/>
        <w:right w:val="none" w:color="auto" w:sz="0" w:space="4"/>
      </w:pBdr>
      <w:ind w:right="420" w:rightChars="200" w:firstLine="40"/>
      <w:jc w:val="right"/>
      <w:rPr>
        <w:rFonts w:eastAsia="宋体"/>
        <w:sz w:val="2"/>
        <w:lang w:eastAsia="zh-CN"/>
      </w:rPr>
    </w:pPr>
    <w:r>
      <w:rPr>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DKv6PlWgQAAFUEAAAOAAAAZHJzL2Uyb0RvYy54bWwBVQSq+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kiIG5hbWU9IuaWh+acrOahhiA5Ii8+PHdwczpjTnZTcFByIHR4&#10;Qm94PSIxIi8+PHdwczpzcFByPjxhOnhmcm0+PGE6b2ZmIHg9IjAiIHk9IjAiLz48YTpleHQgY3g9&#10;IjE4Mjg4MDAiIGN5PSIxODI4ODAwIi8+PC9hOnhmcm0+PGE6cHJzdEdlb20gcHJzdD0icmVjdCI+&#10;PGE6YXZMc3QvPjwvYTpwcnN0R2VvbT48YTpub0ZpbGwvPjxhOmxuIHc9IjYzNTAiPjxhOm5vRmls&#10;bC8+PC9hOmxuPjwvd3BzOnNwUHI+PHdwczp0eGJ4Lz48d3BzOmJvZHlQciByb3Q9IjAiIHNwY0Zp&#10;cnN0TGFzdFBhcmE9IjAiIHZlcnRPdmVyZmxvdz0ib3ZlcmZsb3ciIGhvcnpPdmVyZmxvdz0ib3Zl&#10;cmZsb3ciIHZlcnQ9ImhvcnoiIHdyYXA9Im5vbmUiIGxJbnM9IjAiIHRJbnM9IjAiIHJJbnM9IjAi&#10;IGJJbnM9IjAiIG51bUNvbD0iMSIgc3BjQ29sPSIwIiBydGxDb2w9IjAiIGZyb21Xb3JkQXJ0PSIw&#10;IiBhbmNob3I9InQiIGFuY2hvckN0cj0iMCIgZm9yY2VBQT0iMCIgY29tcGF0TG5TcGM9IjEiPjxh&#10;OnNwQXV0b0ZpdC8+PC93cHM6Ym9keVByPjwvd3BzOndzcD48L2E6Z3JhcGhpY0RhdGE+PC9hOmdy&#10;YXBoaWM+PC93cDplMm9ob2xkZXI+UEsDBAoAAAAAAIdO4kAAAAAAAAAAAAAAAAAGAAAAX3JlbHMv&#10;UEsDBBQAAAAIAIdO4kCKFGY8mQEAAJQBAAALAAAAX3JlbHMvLnJlbHMBlAFr/jw/eG1sIHZlcnNp&#10;b249IjEuMCIgZW5jb2Rpbmc9IlVURi04IiBzdGFuZGFsb25lPSJ5ZXMiPz4NCjxSZWxhdGlvbnNo&#10;aXBzIHhtbG5zPSJodHRwOi8vc2NoZW1hcy5vcGVueG1sZm9ybWF0cy5vcmcvcGFja2FnZS8yMDA2&#10;L3JlbGF0aW9uc2hpcHMiPjxSZWxhdGlvbnNoaXAgSWQ9InJJZDIiIFR5cGU9Imh0dHA6Ly9zY2hl&#10;bWFzLm1pY3Jvc29mdC5jb20vb2ZmaWNlLzIwMDYvcmVsYXRpb25zaGlwcy9ncmFwaGljRnJhbWVE&#10;b2MiIFRhcmdldD0iZHJzL2Uyb0RvYy54bWwiLz48UmVsYXRpb25zaGlwIElkPSJySWQxIiBUeXBl&#10;PSJodHRwOi8vc2NoZW1hcy5taWNyb3NvZnQuY29tL29mZmljZS8yMDA2L3JlbGF0aW9uc2hpcHMv&#10;ZG93blJldiIgVGFyZ2V0PSJkcnMvZG93bnJldi54bWwiLz48L1JlbGF0aW9uc2hpcHM+UEsDBBQA&#10;AAAIAIdO4kB+5uUg5gEAAOEBAAATAAAAW0NvbnRlbnRfVHlwZXNdLnhtbAHhAR7+PD94bWwgdmVy&#10;c2lvbj0iMS4wIiBlbmNvZGluZz0iVVRGLTgiIHN0YW5kYWxvbmU9InllcyI/Pg0KPFR5cGVzIHht&#10;bG5zPSJodHRwOi8vc2NoZW1hcy5vcGVueG1sZm9ybWF0cy5vcmcvcGFja2FnZS8yMDA2L2NvbnRl&#10;bnQtdHlwZXMiPjxEZWZhdWx0IEV4dGVuc2lvbj0icmVscyIgQ29udGVudFR5cGU9ImFwcGxpY2F0&#10;aW9uL3ZuZC5vcGVueG1sZm9ybWF0cy1wYWNrYWdlLnJlbGF0aW9uc2hpcHMreG1sIi8+PERlZmF1&#10;bHQgRXh0ZW5zaW9uPSJ4bWwiIENvbnRlbnRUeXBlPSJhcHBsaWNhdGlvbi94bWwiLz48T3ZlcnJp&#10;ZGUgUGFydE5hbWU9Ii9kcnMvZG93bnJldi54bWwiIENvbnRlbnRUeXBlPSJhcHBsaWNhdGlvbi92&#10;bmQubXMtb2ZmaWNlLkRyc0Rvd25SZXYreG1sIi8+PE92ZXJyaWRlIFBhcnROYW1lPSIvZHJzL2Uy&#10;b0RvYy54bWwiIENvbnRlbnRUeXBlPSJhcHBsaWNhdGlvbi92bmQubXMtb2ZmaWNlLkRyc0Uyb0Rv&#10;Yyt4bWwiLz48L1R5cGVzPlBLAQIUABQAAAAIAIdO4kB+5uUg5gEAAOEBAAATAAAAAAAAAAEAIAAA&#10;AMUHAABbQ29udGVudF9UeXBlc10ueG1sUEsBAhQACgAAAAAAh07iQAAAAAAAAAAAAAAAAAYAAAAA&#10;AAAAAAAQAAAA3wUAAF9yZWxzL1BLAQIUABQAAAAIAIdO4kCKFGY8mQEAAJQBAAALAAAAAAAAAAEA&#10;IAAAAAMGAABfcmVscy8ucmVsc1BLAQIUAAoAAAAAAIdO4kAAAAAAAAAAAAAAAAAEAAAAAAAAAAAA&#10;EAAAAAAAAABkcnMvUEsBAhQAFAAAAAgAh07iQLNJWO4KAQAABQEAAA8AAAAAAAAAAQAgAAAAIgAA&#10;AGRycy9kb3ducmV2LnhtbFBLAQIUABQAAAAIAIdO4kDKv6PlWgQAAFUEAAAOAAAAAAAAAAEAIAAA&#10;AFkBAABkcnMvZTJvRG9jLnhtbFBLBQYAAAAABgAGAFkBAADcCQAAAAA=&#10;">
              <v:fill on="f" focussize="0,0"/>
              <v:stroke on="f" weight="0.5pt"/>
              <v:imagedata o:title=""/>
              <o:lock v:ext="edit" aspectratio="f"/>
              <v:textbox inset="0mm,0mm,0mm,0mm" style="mso-fit-shape-to-text:t;">
                <w:txbxContent>
                  <w:p>
                    <w:pPr>
                      <w:pStyle w:val="6"/>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4"/>
      <w:pBdr>
        <w:bottom w:val="single" w:color="3669AB" w:sz="4" w:space="0"/>
      </w:pBdr>
      <w:ind w:right="420" w:rightChars="200" w:firstLine="88"/>
      <w:jc w:val="both"/>
      <w:rPr>
        <w:rFonts w:eastAsia="宋体"/>
        <w:color w:val="FFFFFF" w:themeColor="background1"/>
        <w:sz w:val="2"/>
        <w:lang w:eastAsia="zh-CN"/>
        <w14:textFill>
          <w14:solidFill>
            <w14:schemeClr w14:val="bg1"/>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9px" o:bullet="t">
        <v:imagedata r:id="rId1" o:title=""/>
      </v:shape>
    </w:pict>
  </w:numPicBullet>
  <w:numPicBullet w:numPicBulletId="1">
    <w:pict>
      <v:shape id="1" type="#_x0000_t75" style="width:15px;height:19px" o:bullet="t">
        <v:imagedata r:id="rId2" o:title=""/>
      </v:shape>
    </w:pict>
  </w:numPicBullet>
  <w:abstractNum w:abstractNumId="0">
    <w:nsid w:val="22B06491"/>
    <w:multiLevelType w:val="multilevel"/>
    <w:tmpl w:val="22B06491"/>
    <w:lvl w:ilvl="0" w:tentative="0">
      <w:start w:val="1"/>
      <w:numFmt w:val="bullet"/>
      <w:lvlText w:val=""/>
      <w:lvlPicBulletId w:val="1"/>
      <w:lvlJc w:val="left"/>
      <w:pPr>
        <w:tabs>
          <w:tab w:val="left" w:pos="440"/>
        </w:tabs>
        <w:ind w:left="440" w:firstLine="0"/>
      </w:pPr>
      <w:rPr>
        <w:rFonts w:hint="default" w:ascii="Symbol" w:hAnsi="Symbol"/>
      </w:rPr>
    </w:lvl>
    <w:lvl w:ilvl="1" w:tentative="0">
      <w:start w:val="1"/>
      <w:numFmt w:val="bullet"/>
      <w:lvlText w:val=""/>
      <w:lvlJc w:val="left"/>
      <w:pPr>
        <w:tabs>
          <w:tab w:val="left" w:pos="880"/>
        </w:tabs>
        <w:ind w:left="880" w:firstLine="0"/>
      </w:pPr>
      <w:rPr>
        <w:rFonts w:hint="default" w:ascii="Symbol" w:hAnsi="Symbol"/>
      </w:rPr>
    </w:lvl>
    <w:lvl w:ilvl="2" w:tentative="0">
      <w:start w:val="1"/>
      <w:numFmt w:val="bullet"/>
      <w:lvlText w:val=""/>
      <w:lvlJc w:val="left"/>
      <w:pPr>
        <w:tabs>
          <w:tab w:val="left" w:pos="1320"/>
        </w:tabs>
        <w:ind w:left="1320" w:firstLine="0"/>
      </w:pPr>
      <w:rPr>
        <w:rFonts w:hint="default" w:ascii="Symbol" w:hAnsi="Symbol"/>
      </w:rPr>
    </w:lvl>
    <w:lvl w:ilvl="3" w:tentative="0">
      <w:start w:val="1"/>
      <w:numFmt w:val="bullet"/>
      <w:lvlText w:val=""/>
      <w:lvlJc w:val="left"/>
      <w:pPr>
        <w:tabs>
          <w:tab w:val="left" w:pos="1760"/>
        </w:tabs>
        <w:ind w:left="1760" w:firstLine="0"/>
      </w:pPr>
      <w:rPr>
        <w:rFonts w:hint="default" w:ascii="Symbol" w:hAnsi="Symbol"/>
      </w:rPr>
    </w:lvl>
    <w:lvl w:ilvl="4" w:tentative="0">
      <w:start w:val="1"/>
      <w:numFmt w:val="bullet"/>
      <w:lvlText w:val=""/>
      <w:lvlJc w:val="left"/>
      <w:pPr>
        <w:tabs>
          <w:tab w:val="left" w:pos="2200"/>
        </w:tabs>
        <w:ind w:left="2200" w:firstLine="0"/>
      </w:pPr>
      <w:rPr>
        <w:rFonts w:hint="default" w:ascii="Symbol" w:hAnsi="Symbol"/>
      </w:rPr>
    </w:lvl>
    <w:lvl w:ilvl="5" w:tentative="0">
      <w:start w:val="1"/>
      <w:numFmt w:val="bullet"/>
      <w:lvlText w:val=""/>
      <w:lvlJc w:val="left"/>
      <w:pPr>
        <w:tabs>
          <w:tab w:val="left" w:pos="2640"/>
        </w:tabs>
        <w:ind w:left="2640" w:firstLine="0"/>
      </w:pPr>
      <w:rPr>
        <w:rFonts w:hint="default" w:ascii="Symbol" w:hAnsi="Symbol"/>
      </w:rPr>
    </w:lvl>
    <w:lvl w:ilvl="6" w:tentative="0">
      <w:start w:val="1"/>
      <w:numFmt w:val="bullet"/>
      <w:lvlText w:val=""/>
      <w:lvlJc w:val="left"/>
      <w:pPr>
        <w:tabs>
          <w:tab w:val="left" w:pos="3080"/>
        </w:tabs>
        <w:ind w:left="3080" w:firstLine="0"/>
      </w:pPr>
      <w:rPr>
        <w:rFonts w:hint="default" w:ascii="Symbol" w:hAnsi="Symbol"/>
      </w:rPr>
    </w:lvl>
    <w:lvl w:ilvl="7" w:tentative="0">
      <w:start w:val="1"/>
      <w:numFmt w:val="bullet"/>
      <w:lvlText w:val=""/>
      <w:lvlJc w:val="left"/>
      <w:pPr>
        <w:tabs>
          <w:tab w:val="left" w:pos="3520"/>
        </w:tabs>
        <w:ind w:left="3520" w:firstLine="0"/>
      </w:pPr>
      <w:rPr>
        <w:rFonts w:hint="default" w:ascii="Symbol" w:hAnsi="Symbol"/>
      </w:rPr>
    </w:lvl>
    <w:lvl w:ilvl="8" w:tentative="0">
      <w:start w:val="1"/>
      <w:numFmt w:val="bullet"/>
      <w:lvlText w:val=""/>
      <w:lvlJc w:val="left"/>
      <w:pPr>
        <w:tabs>
          <w:tab w:val="left" w:pos="3960"/>
        </w:tabs>
        <w:ind w:left="3960" w:firstLine="0"/>
      </w:pPr>
      <w:rPr>
        <w:rFonts w:hint="default" w:ascii="Symbol" w:hAnsi="Symbol"/>
      </w:rPr>
    </w:lvl>
  </w:abstractNum>
  <w:abstractNum w:abstractNumId="1">
    <w:nsid w:val="2F435536"/>
    <w:multiLevelType w:val="multilevel"/>
    <w:tmpl w:val="2F435536"/>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DF4B44"/>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CFBDD9"/>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9CE112"/>
    <w:rsid w:val="7FA501CC"/>
    <w:rsid w:val="7FAE52D2"/>
    <w:rsid w:val="7FBB354B"/>
    <w:rsid w:val="7FC66C16"/>
    <w:rsid w:val="7FC9626B"/>
    <w:rsid w:val="7FD0349B"/>
    <w:rsid w:val="7FD60385"/>
    <w:rsid w:val="7FDD1714"/>
    <w:rsid w:val="7FE27939"/>
    <w:rsid w:val="7FE505C8"/>
    <w:rsid w:val="7FEC7BA9"/>
    <w:rsid w:val="7FF579A5"/>
    <w:rsid w:val="A3FFE3D5"/>
    <w:rsid w:val="CFFE0F1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paragraph" w:styleId="3">
    <w:name w:val="heading 3"/>
    <w:basedOn w:val="1"/>
    <w:next w:val="1"/>
    <w:semiHidden/>
    <w:unhideWhenUsed/>
    <w:qFormat/>
    <w:uiPriority w:val="0"/>
    <w:pPr>
      <w:spacing w:beforeAutospacing="1" w:afterAutospacing="1"/>
      <w:outlineLvl w:val="2"/>
    </w:pPr>
    <w:rPr>
      <w:rFonts w:hint="eastAsia" w:ascii="宋体" w:hAnsi="宋体" w:eastAsia="宋体" w:cs="Times New Roman"/>
      <w:b/>
      <w:bCs/>
      <w:sz w:val="27"/>
      <w:szCs w:val="27"/>
      <w:lang w:eastAsia="zh-CN"/>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style>
  <w:style w:type="paragraph" w:styleId="5">
    <w:name w:val="footer"/>
    <w:basedOn w:val="1"/>
    <w:qFormat/>
    <w:uiPriority w:val="0"/>
    <w:pPr>
      <w:tabs>
        <w:tab w:val="center" w:pos="4153"/>
        <w:tab w:val="right" w:pos="8306"/>
      </w:tabs>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7">
    <w:name w:val="Normal (Web)"/>
    <w:basedOn w:val="1"/>
    <w:qFormat/>
    <w:uiPriority w:val="0"/>
    <w:pPr>
      <w:spacing w:beforeAutospacing="1" w:afterAutospacing="1"/>
    </w:pPr>
    <w:rPr>
      <w:rFonts w:cs="Times New Roman"/>
      <w:sz w:val="24"/>
      <w:lang w:eastAsia="zh-CN"/>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customStyle="1" w:styleId="13">
    <w:name w:val="Table Text"/>
    <w:basedOn w:val="1"/>
    <w:semiHidden/>
    <w:qFormat/>
    <w:uiPriority w:val="0"/>
    <w:pPr>
      <w:spacing w:before="230" w:line="191" w:lineRule="auto"/>
      <w:ind w:right="210"/>
      <w:jc w:val="center"/>
    </w:pPr>
    <w:rPr>
      <w:rFonts w:ascii="微软雅黑" w:hAnsi="微软雅黑" w:eastAsia="微软雅黑" w:cs="微软雅黑"/>
      <w:b/>
      <w:bCs/>
      <w:spacing w:val="3"/>
      <w:sz w:val="19"/>
      <w:szCs w:val="19"/>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列表段落1"/>
    <w:basedOn w:val="1"/>
    <w:qFormat/>
    <w:uiPriority w:val="34"/>
    <w:pPr>
      <w:ind w:left="480" w:leftChars="200"/>
    </w:pPr>
    <w:rPr>
      <w:rFonts w:asciiTheme="minorHAnsi" w:hAnsiTheme="minorHAnsi" w:eastAsiaTheme="minorEastAsia" w:cstheme="minorBidi"/>
      <w:sz w:val="24"/>
      <w:szCs w:val="22"/>
      <w:lang w:eastAsia="zh-TW"/>
    </w:rPr>
  </w:style>
  <w:style w:type="paragraph" w:styleId="16">
    <w:name w:val="List Paragraph"/>
    <w:basedOn w:val="1"/>
    <w:uiPriority w:val="99"/>
    <w:pPr>
      <w:ind w:firstLine="420" w:firstLineChars="200"/>
    </w:pPr>
  </w:style>
  <w:style w:type="character" w:customStyle="1" w:styleId="17">
    <w:name w:val="标题 1 字符"/>
    <w:basedOn w:val="10"/>
    <w:link w:val="2"/>
    <w:qFormat/>
    <w:uiPriority w:val="0"/>
    <w:rPr>
      <w:rFonts w:ascii="Arial" w:hAnsi="Arial" w:eastAsia="Arial" w:cs="Arial"/>
      <w:b/>
      <w:bCs/>
      <w:snapToGrid w:val="0"/>
      <w:color w:val="000000"/>
      <w:kern w:val="44"/>
      <w:sz w:val="44"/>
      <w:szCs w:val="44"/>
      <w:lang w:eastAsia="en-US"/>
    </w:rPr>
  </w:style>
  <w:style w:type="character" w:customStyle="1" w:styleId="18">
    <w:name w:val="未处理的提及1"/>
    <w:basedOn w:val="10"/>
    <w:semiHidden/>
    <w:unhideWhenUsed/>
    <w:qFormat/>
    <w:uiPriority w:val="99"/>
    <w:rPr>
      <w:color w:val="605E5C"/>
      <w:shd w:val="clear" w:color="auto" w:fill="E1DFDD"/>
    </w:rPr>
  </w:style>
  <w:style w:type="table" w:customStyle="1" w:styleId="19">
    <w:name w:val="Table Normal1"/>
    <w:semiHidden/>
    <w:unhideWhenUsed/>
    <w:qFormat/>
    <w:uiPriority w:val="0"/>
    <w:tblPr>
      <w:tblCellMar>
        <w:top w:w="0" w:type="dxa"/>
        <w:left w:w="0" w:type="dxa"/>
        <w:bottom w:w="0" w:type="dxa"/>
        <w:right w:w="0" w:type="dxa"/>
      </w:tblCellMar>
    </w:tblPr>
  </w:style>
  <w:style w:type="character" w:customStyle="1" w:styleId="20">
    <w:name w:val="data-name-text"/>
    <w:basedOn w:val="10"/>
    <w:qFormat/>
    <w:uiPriority w:val="0"/>
  </w:style>
  <w:style w:type="character" w:customStyle="1" w:styleId="21">
    <w:name w:val="w-text-emphasis"/>
    <w:basedOn w:val="1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datastoreItem>
</file>

<file path=docProps/app.xml><?xml version="1.0" encoding="utf-8"?>
<Properties xmlns="http://schemas.openxmlformats.org/officeDocument/2006/extended-properties" xmlns:vt="http://schemas.openxmlformats.org/officeDocument/2006/docPropsVTypes">
  <Pages>8</Pages>
  <Words>677</Words>
  <Characters>3865</Characters>
  <Lines>32</Lines>
  <Paragraphs>9</Paragraphs>
  <TotalTime>9</TotalTime>
  <ScaleCrop>false</ScaleCrop>
  <LinksUpToDate>false</LinksUpToDate>
  <CharactersWithSpaces>4533</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2025-12-31T16:19:00Z</dcterms:created>
  <dc:creator>WPS_1180513195</dc:creator>
  <cp:lastModifiedBy>陈伊霖</cp:lastModifiedBy>
  <cp:lastPrinted>2025-10-24T17:06:00Z</cp:lastPrinted>
  <dcterms:modified xsi:type="dcterms:W3CDTF">2025-12-31T09:35:55Z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D23AE21371AD4B2A936F48373C5D0EDD_13</vt:lpwstr>
  </property>
</Properties>
</file>