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1F482B8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035E1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DA61DC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13EA829D" w:rsidR="00904B93" w:rsidRPr="00E578A1" w:rsidRDefault="00DA61DC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DA61DC">
        <w:rPr>
          <w:rFonts w:ascii="微软雅黑" w:eastAsia="微软雅黑" w:hAnsi="微软雅黑" w:cs="微软雅黑"/>
          <w:spacing w:val="12"/>
          <w:lang w:eastAsia="zh-CN"/>
        </w:rPr>
        <w:t>美国三大股指收盘涨跌不一，道指涨0.02%报49015.6点，</w:t>
      </w:r>
      <w:proofErr w:type="gramStart"/>
      <w:r w:rsidRPr="00DA61DC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DA61DC">
        <w:rPr>
          <w:rFonts w:ascii="微软雅黑" w:eastAsia="微软雅黑" w:hAnsi="微软雅黑" w:cs="微软雅黑"/>
          <w:spacing w:val="12"/>
          <w:lang w:eastAsia="zh-CN"/>
        </w:rPr>
        <w:t>500指数跌0.01%报6978.03点，</w:t>
      </w:r>
      <w:proofErr w:type="gramStart"/>
      <w:r w:rsidRPr="00DA61DC">
        <w:rPr>
          <w:rFonts w:ascii="微软雅黑" w:eastAsia="微软雅黑" w:hAnsi="微软雅黑" w:cs="微软雅黑"/>
          <w:spacing w:val="12"/>
          <w:lang w:eastAsia="zh-CN"/>
        </w:rPr>
        <w:t>纳指涨</w:t>
      </w:r>
      <w:proofErr w:type="gramEnd"/>
      <w:r w:rsidRPr="00DA61DC">
        <w:rPr>
          <w:rFonts w:ascii="微软雅黑" w:eastAsia="微软雅黑" w:hAnsi="微软雅黑" w:cs="微软雅黑"/>
          <w:spacing w:val="12"/>
          <w:lang w:eastAsia="zh-CN"/>
        </w:rPr>
        <w:t>0.17%报23857.45点。美元指数涨0.63%报96.35，非美货币涨跌不一，欧元兑美元跌0.70%报1.1953，英镑兑美元跌0.28%报1.3809，澳元兑美元涨0.42%报0.7041，美元兑日元涨0.81%报153.4200，离岸人民币对美元较上一交易日下跌101.0个基点报6.9437。</w:t>
      </w:r>
      <w:proofErr w:type="gramStart"/>
      <w:r w:rsidRPr="00DA61DC">
        <w:rPr>
          <w:rFonts w:ascii="微软雅黑" w:eastAsia="微软雅黑" w:hAnsi="微软雅黑" w:cs="微软雅黑"/>
          <w:spacing w:val="12"/>
          <w:lang w:eastAsia="zh-CN"/>
        </w:rPr>
        <w:t>美油主力</w:t>
      </w:r>
      <w:proofErr w:type="gramEnd"/>
      <w:r w:rsidRPr="00DA61DC">
        <w:rPr>
          <w:rFonts w:ascii="微软雅黑" w:eastAsia="微软雅黑" w:hAnsi="微软雅黑" w:cs="微软雅黑"/>
          <w:spacing w:val="12"/>
          <w:lang w:eastAsia="zh-CN"/>
        </w:rPr>
        <w:t>合约收涨1.78%，报63.5美元/桶；</w:t>
      </w:r>
      <w:proofErr w:type="gramStart"/>
      <w:r w:rsidRPr="00DA61DC">
        <w:rPr>
          <w:rFonts w:ascii="微软雅黑" w:eastAsia="微软雅黑" w:hAnsi="微软雅黑" w:cs="微软雅黑"/>
          <w:spacing w:val="12"/>
          <w:lang w:eastAsia="zh-CN"/>
        </w:rPr>
        <w:t>布油主力</w:t>
      </w:r>
      <w:proofErr w:type="gramEnd"/>
      <w:r w:rsidRPr="00DA61DC">
        <w:rPr>
          <w:rFonts w:ascii="微软雅黑" w:eastAsia="微软雅黑" w:hAnsi="微软雅黑" w:cs="微软雅黑"/>
          <w:spacing w:val="12"/>
          <w:lang w:eastAsia="zh-CN"/>
        </w:rPr>
        <w:t>合约涨1.56%，报67.63美元/桶。国际贵金属期货普遍收涨，COMEX黄金期货涨6.46%报5411美元/盎司，COMEX白银期货涨10.06%报116.62美元/盎司。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跌0.74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72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跌0.30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6</w:t>
      </w:r>
      <w:r w:rsidR="00484E17">
        <w:rPr>
          <w:rFonts w:ascii="微软雅黑" w:eastAsia="微软雅黑" w:hAnsi="微软雅黑" w:cs="微软雅黑" w:hint="eastAsia"/>
          <w:spacing w:val="12"/>
          <w:lang w:eastAsia="zh-CN"/>
        </w:rPr>
        <w:t>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64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675A6D40" w:rsidR="00557736" w:rsidRPr="0022448B" w:rsidRDefault="00DA61DC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3A3F1521" wp14:editId="0C3CD21B">
            <wp:extent cx="6191550" cy="3660885"/>
            <wp:effectExtent l="0" t="0" r="0" b="0"/>
            <wp:docPr id="7731111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65" cy="366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26E7ACD4" w:rsidR="0079359D" w:rsidRPr="00343CC3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9359D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【</w:t>
      </w:r>
      <w:r w:rsidR="00DA61DC" w:rsidRPr="00DA61DC">
        <w:rPr>
          <w:rFonts w:ascii="微软雅黑" w:eastAsia="微软雅黑" w:hAnsi="微软雅黑" w:cs="微软雅黑"/>
          <w:color w:val="auto"/>
          <w:spacing w:val="4"/>
          <w:lang w:eastAsia="zh-CN"/>
        </w:rPr>
        <w:t>美联储维持基准利率在3.50%-3.75%不变，在连续三次降息25个基点后暂停行动，符合市场预期。美联储主席候选人沃勒支持降息25个基点，与特朗普“钦点”理事米兰立场一致。美联储在声明中指出，失业率已现初步企稳迹象，通胀仍处于相对高位，经济前景的不确定性依然较高。美联储主席鲍威尔在新闻发布会上表示，加息并非任何人对下一步行动的基本假设，不相信美联储会丧失独立性，将建议下一届美联储主席远离政治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DD1E10" w14:textId="77777777" w:rsidR="00DA61DC" w:rsidRDefault="008E1CCA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A61DC" w:rsidRPr="00DA61DC">
        <w:rPr>
          <w:rFonts w:ascii="微软雅黑" w:eastAsia="微软雅黑" w:hAnsi="微软雅黑" w:cs="微软雅黑"/>
          <w:color w:val="auto"/>
          <w:spacing w:val="4"/>
          <w:lang w:eastAsia="zh-CN"/>
        </w:rPr>
        <w:t>美国总统特朗普再次对伊朗发出威胁称，下次对伊朗的打击将更加猛烈。特朗普称，一支庞大的舰队正前往伊朗，已准备好迅速履行其使命。针对特朗普威胁，伊朗外长阿拉格齐表示，伊朗武装力量高度戒备，将对任何针侵略</w:t>
      </w:r>
      <w:proofErr w:type="gramStart"/>
      <w:r w:rsidR="00DA61DC" w:rsidRPr="00DA61DC">
        <w:rPr>
          <w:rFonts w:ascii="微软雅黑" w:eastAsia="微软雅黑" w:hAnsi="微软雅黑" w:cs="微软雅黑"/>
          <w:color w:val="auto"/>
          <w:spacing w:val="4"/>
          <w:lang w:eastAsia="zh-CN"/>
        </w:rPr>
        <w:t>作出</w:t>
      </w:r>
      <w:proofErr w:type="gramEnd"/>
      <w:r w:rsidR="00DA61DC" w:rsidRPr="00DA61DC">
        <w:rPr>
          <w:rFonts w:ascii="微软雅黑" w:eastAsia="微软雅黑" w:hAnsi="微软雅黑" w:cs="微软雅黑"/>
          <w:color w:val="auto"/>
          <w:spacing w:val="4"/>
          <w:lang w:eastAsia="zh-CN"/>
        </w:rPr>
        <w:t>迅速而果断的回应。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078F981" w14:textId="3015F880" w:rsidR="004401B9" w:rsidRDefault="00DA61DC" w:rsidP="004401B9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Pr="00DA61DC">
        <w:rPr>
          <w:rFonts w:ascii="微软雅黑" w:eastAsia="微软雅黑" w:hAnsi="微软雅黑" w:cs="微软雅黑"/>
          <w:color w:val="auto"/>
          <w:spacing w:val="4"/>
          <w:lang w:eastAsia="zh-CN"/>
        </w:rPr>
        <w:t>德国政府下调2026年经济增长预期，目前预计将增长1%，低于此前预期的1.3%，原因包括基础设施等投资效果不如预期，以及高额关税导致出口持续疲软等。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F233AB7" w14:textId="200FBB5E" w:rsidR="008E1CCA" w:rsidRDefault="004401B9" w:rsidP="004401B9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A61DC" w:rsidRPr="00DA61DC">
        <w:rPr>
          <w:rFonts w:ascii="微软雅黑" w:eastAsia="微软雅黑" w:hAnsi="微软雅黑" w:cs="微软雅黑"/>
          <w:color w:val="auto"/>
          <w:spacing w:val="4"/>
          <w:lang w:eastAsia="zh-CN"/>
        </w:rPr>
        <w:t>日本央行会议纪要显示，如果前景符合预期，宜继续加息。委员们一致认为，即便日本央行本次会议上调利率，货币政策环境仍将保持宽松。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E5070E4" w14:textId="77777777" w:rsidR="00343CC3" w:rsidRDefault="00343CC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402DC8" w:rsidRPr="008E3E9D" w14:paraId="7DA151AE" w14:textId="77777777" w:rsidTr="005970B0">
        <w:trPr>
          <w:trHeight w:val="620"/>
        </w:trPr>
        <w:tc>
          <w:tcPr>
            <w:tcW w:w="1701" w:type="dxa"/>
          </w:tcPr>
          <w:bookmarkEnd w:id="0"/>
          <w:p w14:paraId="27107280" w14:textId="77777777" w:rsidR="00402DC8" w:rsidRPr="002703B8" w:rsidRDefault="00402DC8" w:rsidP="00DA61DC">
            <w:pPr>
              <w:pStyle w:val="TableText"/>
              <w:rPr>
                <w:rFonts w:hint="eastAsia"/>
                <w:lang w:eastAsia="zh-CN"/>
              </w:rPr>
            </w:pPr>
            <w:r w:rsidRPr="004A63F2">
              <w:t>2026/1/29</w:t>
            </w:r>
          </w:p>
        </w:tc>
        <w:tc>
          <w:tcPr>
            <w:tcW w:w="1314" w:type="dxa"/>
          </w:tcPr>
          <w:p w14:paraId="3D056FF1" w14:textId="49F1D648" w:rsidR="00402DC8" w:rsidRPr="0043741A" w:rsidRDefault="00402DC8" w:rsidP="00DA61DC">
            <w:pPr>
              <w:pStyle w:val="TableText"/>
              <w:rPr>
                <w:rFonts w:hint="eastAsia"/>
                <w:lang w:eastAsia="zh-CN"/>
              </w:rPr>
            </w:pPr>
            <w:r w:rsidRPr="00402DC8">
              <w:rPr>
                <w:lang w:eastAsia="zh-CN"/>
              </w:rPr>
              <w:t>18:00</w:t>
            </w:r>
          </w:p>
        </w:tc>
        <w:tc>
          <w:tcPr>
            <w:tcW w:w="6344" w:type="dxa"/>
          </w:tcPr>
          <w:p w14:paraId="14A4496B" w14:textId="77777777" w:rsidR="00402DC8" w:rsidRPr="0043741A" w:rsidRDefault="00402DC8" w:rsidP="00402DC8">
            <w:pPr>
              <w:pStyle w:val="TableText"/>
              <w:ind w:firstLineChars="300" w:firstLine="588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欧元区</w:t>
            </w:r>
            <w:r>
              <w:rPr>
                <w:lang w:eastAsia="zh-CN"/>
              </w:rPr>
              <w:t>1</w:t>
            </w:r>
            <w:r>
              <w:rPr>
                <w:rFonts w:hint="eastAsia"/>
                <w:lang w:eastAsia="zh-CN"/>
              </w:rPr>
              <w:t>月经济景气指数</w:t>
            </w:r>
          </w:p>
        </w:tc>
      </w:tr>
      <w:tr w:rsidR="00DA61DC" w:rsidRPr="008E3E9D" w14:paraId="385383E5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47473FD0" w14:textId="0E28C884" w:rsidR="00DA61DC" w:rsidRPr="005F5D93" w:rsidRDefault="00DA61DC" w:rsidP="00DA61DC">
            <w:pPr>
              <w:pStyle w:val="TableText"/>
              <w:rPr>
                <w:rFonts w:hint="eastAsia"/>
                <w:lang w:eastAsia="zh-CN"/>
              </w:rPr>
            </w:pPr>
            <w:r w:rsidRPr="004A63F2">
              <w:t>2026/1/29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367F811" w14:textId="361ED23D" w:rsidR="00DA61DC" w:rsidRPr="005F5D93" w:rsidRDefault="00402DC8" w:rsidP="00DA61DC">
            <w:pPr>
              <w:pStyle w:val="TableText"/>
              <w:rPr>
                <w:rFonts w:hint="eastAsia"/>
                <w:lang w:eastAsia="zh-CN"/>
              </w:rPr>
            </w:pPr>
            <w:r w:rsidRPr="00402DC8"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6A44E10" w14:textId="3EA393E9" w:rsidR="00DA61DC" w:rsidRPr="005F5D93" w:rsidRDefault="00402DC8" w:rsidP="00DA61DC">
            <w:pPr>
              <w:pStyle w:val="TableText"/>
              <w:rPr>
                <w:rFonts w:hint="eastAsia"/>
                <w:lang w:eastAsia="zh-CN"/>
              </w:rPr>
            </w:pPr>
            <w:r w:rsidRPr="00402DC8">
              <w:rPr>
                <w:lang w:eastAsia="zh-CN"/>
              </w:rPr>
              <w:t>美国 1 月 24 日当周初请失业</w:t>
            </w:r>
            <w:proofErr w:type="gramStart"/>
            <w:r w:rsidRPr="00402DC8">
              <w:rPr>
                <w:lang w:eastAsia="zh-CN"/>
              </w:rPr>
              <w:t>金人数</w:t>
            </w:r>
            <w:proofErr w:type="gramEnd"/>
          </w:p>
        </w:tc>
      </w:tr>
      <w:tr w:rsidR="00DA61DC" w:rsidRPr="008E3E9D" w14:paraId="0B8F007B" w14:textId="77777777" w:rsidTr="00402DC8">
        <w:trPr>
          <w:trHeight w:val="620"/>
        </w:trPr>
        <w:tc>
          <w:tcPr>
            <w:tcW w:w="1701" w:type="dxa"/>
          </w:tcPr>
          <w:p w14:paraId="35B7D90B" w14:textId="3849769C" w:rsidR="00DA61DC" w:rsidRDefault="00DA61DC" w:rsidP="00DA61DC">
            <w:pPr>
              <w:pStyle w:val="TableText"/>
              <w:rPr>
                <w:rFonts w:hint="eastAsia"/>
              </w:rPr>
            </w:pPr>
            <w:r w:rsidRPr="004A63F2">
              <w:t>2026/1/29</w:t>
            </w:r>
          </w:p>
        </w:tc>
        <w:tc>
          <w:tcPr>
            <w:tcW w:w="1314" w:type="dxa"/>
          </w:tcPr>
          <w:p w14:paraId="690E5A9A" w14:textId="7E584651" w:rsidR="00DA61DC" w:rsidRDefault="00402DC8" w:rsidP="00DA61DC">
            <w:pPr>
              <w:pStyle w:val="TableText"/>
              <w:rPr>
                <w:rFonts w:hint="eastAsia"/>
                <w:lang w:eastAsia="zh-CN"/>
              </w:rPr>
            </w:pPr>
            <w:r w:rsidRPr="00402DC8">
              <w:t>21:30</w:t>
            </w:r>
          </w:p>
        </w:tc>
        <w:tc>
          <w:tcPr>
            <w:tcW w:w="6344" w:type="dxa"/>
          </w:tcPr>
          <w:p w14:paraId="66B6BD74" w14:textId="29F3B595" w:rsidR="00DA61DC" w:rsidRPr="004F059A" w:rsidRDefault="00402DC8" w:rsidP="00DA61DC">
            <w:pPr>
              <w:pStyle w:val="TableText"/>
              <w:rPr>
                <w:rFonts w:hint="eastAsia"/>
                <w:lang w:eastAsia="zh-CN"/>
              </w:rPr>
            </w:pPr>
            <w:r w:rsidRPr="00402DC8">
              <w:rPr>
                <w:lang w:eastAsia="zh-CN"/>
              </w:rPr>
              <w:t>美国 2025 年 11 月贸易帐（亿美元）</w:t>
            </w:r>
          </w:p>
        </w:tc>
      </w:tr>
      <w:tr w:rsidR="00402DC8" w:rsidRPr="008E3E9D" w14:paraId="73491317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3809155" w14:textId="35C03806" w:rsidR="00402DC8" w:rsidRPr="004A63F2" w:rsidRDefault="00402DC8" w:rsidP="00402DC8">
            <w:pPr>
              <w:pStyle w:val="TableText"/>
            </w:pPr>
            <w:r w:rsidRPr="004A63F2">
              <w:t>2026/1/29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6544CB6" w14:textId="2A3207D6" w:rsidR="00402DC8" w:rsidRPr="00402DC8" w:rsidRDefault="00402DC8" w:rsidP="00402DC8">
            <w:pPr>
              <w:pStyle w:val="TableText"/>
            </w:pPr>
            <w:r w:rsidRPr="00402DC8"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B0FAC13" w14:textId="6C36C16A" w:rsidR="00402DC8" w:rsidRPr="00402DC8" w:rsidRDefault="00402DC8" w:rsidP="00402DC8">
            <w:pPr>
              <w:pStyle w:val="TableText"/>
              <w:rPr>
                <w:lang w:eastAsia="zh-CN"/>
              </w:rPr>
            </w:pPr>
            <w:r w:rsidRPr="00402DC8">
              <w:rPr>
                <w:lang w:eastAsia="zh-CN"/>
              </w:rPr>
              <w:t>美国12月核心PCE物价指数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49C73652" w14:textId="77777777" w:rsidR="00994850" w:rsidRPr="00994850" w:rsidRDefault="00994850" w:rsidP="00994850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0.63%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96.35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，非美货币涨跌不一，欧元兑美元跌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0.70%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1.1953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0.28%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1.3809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0.81%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153.4200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7A7BB69C" w14:textId="77777777" w:rsidR="00994850" w:rsidRPr="00994850" w:rsidRDefault="00994850" w:rsidP="00994850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美联储于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议</w:t>
      </w:r>
      <w:proofErr w:type="gramStart"/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息会议</w:t>
      </w:r>
      <w:proofErr w:type="gramEnd"/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如期维持利率按兵不动，符合市场预期。此前美联储已于去年连续三次降息，使利率降至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年以来最低水平。本次决议呈现出了较大分歧，理事米兰与沃勒投票支持再次降息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个基点。会议声明指出，经济活动保持稳健扩张，就业增长温和，失业率初现企稳，通胀仍略高于目标。主席鲍威尔在发布会上表示，美国经济进入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年时基础稳固，当前利率水平有助于实现其就业与通胀的双重目标。利率期货显示，美联储到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月降息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个基点的概率为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13.5%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，维持利率不变的概率为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86.5%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，三月降息概率较前一日小幅降低，市场定价较预期更为鹰派的美联储政策立场。当前宏观事件冲击导致美元持续偏弱运行，经济数据韧性以及降息预期之间的交织影响，或成为后续美元走势的核心变量，美元指数中期或继续以区间震荡运行为主。</w:t>
      </w:r>
    </w:p>
    <w:p w14:paraId="502379A4" w14:textId="7719822B" w:rsidR="002760F0" w:rsidRPr="002760F0" w:rsidRDefault="00994850" w:rsidP="00994850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近期美元偏软承托欧元走势，欧元兑美元汇率创下去年</w:t>
      </w:r>
      <w:r w:rsidRPr="00994850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月中旬以来的最高水平。日本央行会议纪要显示，如果前景符合预期，宜继续加息。委员们一致认为，即便日本央行本次会议上调利率，货币政策环境仍将保持宽松。利差层面的边际收敛或对欧元中长期形成温和支撑，日元在套</w:t>
      </w:r>
      <w:proofErr w:type="gramStart"/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息交易</w:t>
      </w:r>
      <w:proofErr w:type="gramEnd"/>
      <w:r w:rsidRPr="00994850">
        <w:rPr>
          <w:rFonts w:ascii="微软雅黑" w:eastAsia="微软雅黑" w:hAnsi="微软雅黑" w:cs="微软雅黑" w:hint="eastAsia"/>
          <w:spacing w:val="7"/>
          <w:lang w:eastAsia="zh-CN"/>
        </w:rPr>
        <w:t>以及财政担忧影响下短期内或延续震荡格局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AE50333" w:rsidR="007A477E" w:rsidRDefault="00994850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80605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lastRenderedPageBreak/>
        <w:drawing>
          <wp:inline distT="0" distB="0" distL="0" distR="0" wp14:anchorId="1EB89478" wp14:editId="2A248A60">
            <wp:extent cx="4524375" cy="2324735"/>
            <wp:effectExtent l="0" t="0" r="9525" b="0"/>
            <wp:docPr id="187067352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67352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223EE196" w14:textId="32D07AAF" w:rsidR="00A42B48" w:rsidRDefault="003E540D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E540D">
        <w:rPr>
          <w:rFonts w:ascii="微软雅黑" w:eastAsia="微软雅黑" w:hAnsi="微软雅黑" w:cs="微软雅黑"/>
          <w:spacing w:val="7"/>
          <w:lang w:eastAsia="zh-CN"/>
        </w:rPr>
        <w:t>截至1月28日，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500指数下跌0.01%至6978.03点；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500主力合约上涨0.1%至7016.75点。货币政策层面，美联储于FOMC议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息会议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如期维持利率按兵不动，符合市场预期。此前美联储已于去年连续三次降息，使利率降至2022年以来最低水平。本次决议呈现出了较大分歧，理事米兰与沃勒投票支持再次降息25个基点。会议声明删除就业面临的下行风险上升和通胀已经上升的相关措辞，同时指出经济活动以稳健的速度扩张。会议声明呈中性基调。鲍威尔在新闻发布会上的表态同样呈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中性且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未给予过多指引。个股方面，Meta、特斯拉、IBM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公布财报后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股价大涨，微软则明显下跌。整体来看，在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财报季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的影响下，美股龙头企业尤其是科技股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对标普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500有明显支撑，但需警惕宏观消息扰动带来的回调风险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03C7C78B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E340C4E" w:rsidR="007A477E" w:rsidRPr="00EE7376" w:rsidRDefault="003E540D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C4C62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3DC8F3BD" wp14:editId="7E369C3A">
            <wp:extent cx="5274310" cy="1555040"/>
            <wp:effectExtent l="0" t="0" r="2540" b="7620"/>
            <wp:docPr id="129269737" name="图片 129269737" descr="C:\Users\Administrator\xwechat_files\wxid_vkxlzo0vqu7s22_6f5b\temp\InputTemp\0f806983-8820-4060-8660-5d2c26672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0f806983-8820-4060-8660-5d2c2667278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03E64CA4" w:rsidR="00A42B48" w:rsidRDefault="003E540D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E540D">
        <w:rPr>
          <w:rFonts w:ascii="微软雅黑" w:eastAsia="微软雅黑" w:hAnsi="微软雅黑" w:cs="微软雅黑"/>
          <w:spacing w:val="7"/>
          <w:lang w:eastAsia="zh-CN"/>
        </w:rPr>
        <w:t>截至1月28日，富时中国A50指数下跌0.07%至14872.1；新交所富时A50期指主力合约上涨0.15%至14873。海外方面，美联储如市场预期按兵不动，会后声明与发布会措辞均呈中性，且未给予市场过多指引，会后美元指数继续走弱。国内方面，经济基本面，2025年我国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规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上工业企业利润较2024年相比由负转正，终结连续三年下降态势；12月单月利润同样由下降转为增加。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此前公布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的数据显示，12月份除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规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上工业增加值外，固投、社零、出口同比均较11月回落。个股方面，已发布2025年业绩预告的公司中，</w:t>
      </w:r>
      <w:r w:rsidRPr="003E540D">
        <w:rPr>
          <w:rFonts w:ascii="微软雅黑" w:eastAsia="微软雅黑" w:hAnsi="微软雅黑" w:cs="微软雅黑"/>
          <w:spacing w:val="7"/>
          <w:lang w:eastAsia="zh-CN"/>
        </w:rPr>
        <w:lastRenderedPageBreak/>
        <w:t>仅有约三分之一的公司预喜，但值得注意的是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利润预喜的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公司多数集中在人工智能等高技术产业。整体来看，目前，A股市场积极因素仍然较多，2025年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规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上工业企业利润增速转正，表明经济基本面已开始逐步修复，同时在航空航天、人工智能等代表新质生产力的产业带动</w:t>
      </w:r>
      <w:proofErr w:type="gramStart"/>
      <w:r w:rsidRPr="003E540D">
        <w:rPr>
          <w:rFonts w:ascii="微软雅黑" w:eastAsia="微软雅黑" w:hAnsi="微软雅黑" w:cs="微软雅黑"/>
          <w:spacing w:val="7"/>
          <w:lang w:eastAsia="zh-CN"/>
        </w:rPr>
        <w:t>下工业</w:t>
      </w:r>
      <w:proofErr w:type="gramEnd"/>
      <w:r w:rsidRPr="003E540D">
        <w:rPr>
          <w:rFonts w:ascii="微软雅黑" w:eastAsia="微软雅黑" w:hAnsi="微软雅黑" w:cs="微软雅黑"/>
          <w:spacing w:val="7"/>
          <w:lang w:eastAsia="zh-CN"/>
        </w:rPr>
        <w:t>生产稳步增长，而上市公司年报业绩预告也呼应了这一现象。由于航空航天与人工智能相关上市公司在中证500中所占权重最大，因此对中证500指数有明显拉动。最后，在美元走弱和国内经济复苏预期下，人民币仍处于升值通道，人民币汇率维持强势带动股市上涨。春季行情仍在不断推进中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  <w:r w:rsidR="00A42B48"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7E4CF73E" w:rsidR="00A10388" w:rsidRDefault="003E540D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BC4C62">
        <w:rPr>
          <w:rFonts w:ascii="宋体" w:eastAsia="宋体" w:hAnsi="宋体" w:cs="Times New Roman"/>
          <w:noProof/>
        </w:rPr>
        <w:drawing>
          <wp:inline distT="0" distB="0" distL="0" distR="0" wp14:anchorId="69B5F9BC" wp14:editId="4BD67AEC">
            <wp:extent cx="5274310" cy="1566912"/>
            <wp:effectExtent l="0" t="0" r="2540" b="0"/>
            <wp:docPr id="3" name="图片 3" descr="C:\Users\Administrator\xwechat_files\wxid_vkxlzo0vqu7s22_6f5b\temp\InputTemp\9738dd4c-0426-4571-8145-866b52bf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9738dd4c-0426-4571-8145-866b52bf13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7C0316F8" w:rsidR="00AC6ADE" w:rsidRDefault="003E540D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3E540D">
        <w:rPr>
          <w:rFonts w:ascii="微软雅黑" w:eastAsia="微软雅黑" w:hAnsi="微软雅黑" w:cs="微软雅黑"/>
          <w:spacing w:val="12"/>
          <w:lang w:eastAsia="zh-CN"/>
        </w:rPr>
        <w:t>隔夜COMEX铜震荡偏强，报收5.997元/磅，涨跌幅+2.31%。国际方面，美联储1月议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息会议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按下暂停键，维持利率在3.5-3.75%区间，米兰和沃勒支持降息25个基点；鲍威尔重申利率处于中性区间上端，政策没有预定路线，用数据说话，并表示如果关税通胀触顶后回落，即表明可以放松政策，建议继任者远离政治。国内方面，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央企2025年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“成绩单”发布。截至2025年底，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央企资产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总额突破95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万亿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元，完成固定资产投资5.1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万亿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元，其中战略性新兴产业投资2.5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万亿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元；全年实现利润总额2.5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万亿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元。国务院国资委表示，将扎实做好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新央企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组建和战略性重组，研究起草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推动央企培育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新兴支柱产业工作文件，探索组建“AI+”产业共同体。库存方面，截至2026年1月28日，COMEX铜库存为572277短吨，环比+3412短吨；LME铜库存为173925吨，环比+1575吨；SHFE每日仓单148038吨，环比+3130吨。美元美债方面，因美联储维持利率不变，美元指数日内持续反弹，重回96上方，最终收涨0.61%，报96.34；基准的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收益率收报4.246%，对美联储政策利率敏感的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收益率收报3.578%。操作建议，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6C49F70" w:rsidR="00A02266" w:rsidRDefault="003E540D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302558DD" wp14:editId="23CEF393">
            <wp:extent cx="5274310" cy="2879090"/>
            <wp:effectExtent l="0" t="0" r="2540" b="0"/>
            <wp:docPr id="1203204270" name="图片 120320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78E09620" w14:textId="71C35461" w:rsidR="003E540D" w:rsidRDefault="003E540D" w:rsidP="00B00DB4">
      <w:pPr>
        <w:spacing w:before="103" w:line="256" w:lineRule="auto"/>
        <w:ind w:right="210" w:firstLine="468"/>
        <w:jc w:val="both"/>
        <w:rPr>
          <w:rFonts w:ascii="黑体" w:eastAsia="黑体" w:hAnsi="黑体"/>
          <w:sz w:val="24"/>
          <w:lang w:eastAsia="zh-CN"/>
        </w:rPr>
      </w:pPr>
      <w:r w:rsidRPr="003E540D">
        <w:rPr>
          <w:rFonts w:ascii="微软雅黑" w:eastAsia="微软雅黑" w:hAnsi="微软雅黑" w:cs="微软雅黑"/>
          <w:spacing w:val="12"/>
          <w:lang w:eastAsia="zh-CN"/>
        </w:rPr>
        <w:t>隔夜，贵金属市场继续演绎加速上涨行情，金价续创历史新高。国际贵金属期货普遍收涨，COMEX黄金期货涨6.46%报5411.00美元/盎司，COMEX白银期货涨10.06%报116.62美元/盎司。美联储于FOMC议息会议如期维持利率按兵不动，符合市场预期。会议声明指出，经济活动保持稳健扩张，就业增长温和，失业率初现企稳，通胀仍略高于目标。继美国向欧洲八国进行关税威胁后，美方上调针对韩国的关税税率，叠加美联储新一任主席政策立场的不确定性，以及市场对于美国债务问题持久化的担忧情绪，推动贵金属市场大幅走高。美元指数近期持续走软，创下四年来最低水平，降低美元计价黄金的持有成本，提振黄金作为无息资产的吸引力。总体而言，本次美联储在议息会议中所释放的政策基调符合市场预期，利率期货显示三月降息概率小幅下降，市场或定价较预期更为鹰派的联储立场。当前美经济数据普遍符合市场预期，在通胀和就业数据趋于平缓的基准假设下，市场维持美联储于下半年逐步展开2-3次降息的定价，未来伴随美联储重启扩表计划，在流动性趋于宽松且经济数据渐进式放缓的情景下，贵金属整体看多逻辑尚未发生明显松动，中长期仍以逢低布局思路对待，短期注意高位回调风险。运行区间方面，伦敦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金关注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上方阻力位5500美元/盎司，下方支撑位5000美元/盎司；伦敦</w:t>
      </w:r>
      <w:proofErr w:type="gramStart"/>
      <w:r w:rsidRPr="003E540D">
        <w:rPr>
          <w:rFonts w:ascii="微软雅黑" w:eastAsia="微软雅黑" w:hAnsi="微软雅黑" w:cs="微软雅黑"/>
          <w:spacing w:val="12"/>
          <w:lang w:eastAsia="zh-CN"/>
        </w:rPr>
        <w:t>银关注</w:t>
      </w:r>
      <w:proofErr w:type="gramEnd"/>
      <w:r w:rsidRPr="003E540D">
        <w:rPr>
          <w:rFonts w:ascii="微软雅黑" w:eastAsia="微软雅黑" w:hAnsi="微软雅黑" w:cs="微软雅黑"/>
          <w:spacing w:val="12"/>
          <w:lang w:eastAsia="zh-CN"/>
        </w:rPr>
        <w:t>上方阻力位120美元/盎司，下方支撑位100美元/盎司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4E3C42EE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2E8AEDAB" w:rsidR="007A477E" w:rsidRDefault="003E540D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F80605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22CC85B3" wp14:editId="1B31EFEF">
            <wp:extent cx="4695825" cy="2382520"/>
            <wp:effectExtent l="0" t="0" r="9525" b="0"/>
            <wp:docPr id="665867267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67267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5B3AE28A" w14:textId="77777777" w:rsidR="003E540D" w:rsidRPr="003E540D" w:rsidRDefault="003E540D" w:rsidP="003E540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原糖期货周三收跌，市场基本面匮乏。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0.12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0.81%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14.71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7D11BC0B" w14:textId="77777777" w:rsidR="003E540D" w:rsidRPr="003E540D" w:rsidRDefault="003E540D" w:rsidP="003E540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21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日当周巴西港口等待装运食糖的船只数量为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51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48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178.16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166.29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万吨。当周等待装运出口的食糖船只数量增加。</w:t>
      </w:r>
    </w:p>
    <w:p w14:paraId="3F44DEBC" w14:textId="2AC0807B" w:rsidR="00C27A84" w:rsidRDefault="003E540D" w:rsidP="003E540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15.80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14.0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2F019E48" w:rsidR="007A477E" w:rsidRPr="00786136" w:rsidRDefault="003E540D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50C906B7" wp14:editId="5022384B">
            <wp:extent cx="5263515" cy="2178685"/>
            <wp:effectExtent l="0" t="0" r="0" b="0"/>
            <wp:docPr id="810634386" name="图片 5" descr="QQ截图2026012908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 descr="QQ截图202601290807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51FC20E9" w14:textId="77777777" w:rsidR="003E540D" w:rsidRPr="003E540D" w:rsidRDefault="003E540D" w:rsidP="003E540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棉花期货周三收低，但盘中触及一周高点，受益于美元走弱及其他市场情绪向好，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0.10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0.16%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63.73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50877F15" w14:textId="77777777" w:rsidR="003E540D" w:rsidRPr="003E540D" w:rsidRDefault="003E540D" w:rsidP="003E540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国际方面，根据巴西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CONAB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的预测，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(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即美国农业部的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2026/27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)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巴西棉花种植面积为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210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万公顷，高于上年度的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208.56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万公顷，单产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1885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公斤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公顷，低于上年度的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1954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公斤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公顷，产量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396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万吨，低于上年度的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407.6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15654938" w14:textId="557AD56B" w:rsidR="0034283D" w:rsidRPr="00AC6ADE" w:rsidRDefault="003E540D" w:rsidP="003E540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69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3E540D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3E540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50529F23" w:rsidR="00C24CC6" w:rsidRDefault="003E540D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2E80E699" wp14:editId="0CAFD244">
            <wp:extent cx="5271770" cy="2178685"/>
            <wp:effectExtent l="0" t="0" r="5080" b="0"/>
            <wp:docPr id="2134279401" name="图片 6" descr="QQ截图2026012908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 descr="QQ截图202601290807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5AFD9" w14:textId="77777777" w:rsidR="0067067F" w:rsidRDefault="0067067F">
      <w:pPr>
        <w:ind w:right="210" w:firstLine="420"/>
      </w:pPr>
      <w:r>
        <w:separator/>
      </w:r>
    </w:p>
  </w:endnote>
  <w:endnote w:type="continuationSeparator" w:id="0">
    <w:p w14:paraId="7E8402D7" w14:textId="77777777" w:rsidR="0067067F" w:rsidRDefault="0067067F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EB9F7" w14:textId="77777777" w:rsidR="0067067F" w:rsidRDefault="0067067F">
      <w:pPr>
        <w:ind w:right="210" w:firstLine="420"/>
      </w:pPr>
      <w:r>
        <w:separator/>
      </w:r>
    </w:p>
  </w:footnote>
  <w:footnote w:type="continuationSeparator" w:id="0">
    <w:p w14:paraId="602924F8" w14:textId="77777777" w:rsidR="0067067F" w:rsidRDefault="0067067F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718</Words>
  <Characters>4099</Characters>
  <Application>Microsoft Office Word</Application>
  <DocSecurity>0</DocSecurity>
  <Lines>34</Lines>
  <Paragraphs>9</Paragraphs>
  <ScaleCrop>false</ScaleCrop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5</cp:revision>
  <cp:lastPrinted>2025-10-24T01:06:00Z</cp:lastPrinted>
  <dcterms:created xsi:type="dcterms:W3CDTF">2026-01-27T00:39:00Z</dcterms:created>
  <dcterms:modified xsi:type="dcterms:W3CDTF">2026-01-29T01:31:00Z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