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3BAF7DD1"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5D31CD">
        <w:rPr>
          <w:rFonts w:ascii="微软雅黑" w:eastAsia="微软雅黑" w:hAnsi="微软雅黑" w:cs="微软雅黑" w:hint="eastAsia"/>
          <w:b/>
          <w:bCs/>
          <w:color w:val="005D97"/>
          <w:spacing w:val="-22"/>
          <w:sz w:val="48"/>
          <w:szCs w:val="48"/>
          <w:lang w:eastAsia="zh-CN"/>
        </w:rPr>
        <w:t>30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5A2BC3BB" w:rsidR="00904B93" w:rsidRPr="00E578A1" w:rsidRDefault="005D31CD" w:rsidP="00E578A1">
      <w:pPr>
        <w:ind w:firstLineChars="200" w:firstLine="468"/>
        <w:rPr>
          <w:rFonts w:ascii="微软雅黑" w:eastAsia="微软雅黑" w:hAnsi="微软雅黑" w:cs="微软雅黑" w:hint="eastAsia"/>
          <w:spacing w:val="12"/>
          <w:lang w:eastAsia="zh-CN"/>
        </w:rPr>
      </w:pPr>
      <w:r w:rsidRPr="00A1609A">
        <w:rPr>
          <w:rFonts w:ascii="微软雅黑" w:eastAsia="微软雅黑" w:hAnsi="微软雅黑" w:cs="微软雅黑"/>
          <w:spacing w:val="12"/>
          <w:lang w:eastAsia="zh-CN"/>
        </w:rPr>
        <w:t>美股三大指数收盘涨跌不一，</w:t>
      </w:r>
      <w:r w:rsidRPr="005D31CD">
        <w:rPr>
          <w:rFonts w:ascii="微软雅黑" w:eastAsia="微软雅黑" w:hAnsi="微软雅黑" w:cs="微软雅黑"/>
          <w:spacing w:val="12"/>
          <w:lang w:eastAsia="zh-CN"/>
        </w:rPr>
        <w:t>道琼斯工业指数</w:t>
      </w:r>
      <w:r w:rsidRPr="00A1609A">
        <w:rPr>
          <w:rFonts w:ascii="微软雅黑" w:eastAsia="微软雅黑" w:hAnsi="微软雅黑" w:cs="微软雅黑"/>
          <w:spacing w:val="12"/>
          <w:lang w:eastAsia="zh-CN"/>
        </w:rPr>
        <w:t>涨0.11%报49071.56点，</w:t>
      </w:r>
      <w:proofErr w:type="gramStart"/>
      <w:r w:rsidRPr="005D31CD">
        <w:rPr>
          <w:rFonts w:ascii="微软雅黑" w:eastAsia="微软雅黑" w:hAnsi="微软雅黑" w:cs="微软雅黑"/>
          <w:spacing w:val="12"/>
          <w:lang w:eastAsia="zh-CN"/>
        </w:rPr>
        <w:t>标普</w:t>
      </w:r>
      <w:proofErr w:type="gramEnd"/>
      <w:r w:rsidRPr="005D31CD">
        <w:rPr>
          <w:rFonts w:ascii="微软雅黑" w:eastAsia="微软雅黑" w:hAnsi="微软雅黑" w:cs="微软雅黑"/>
          <w:spacing w:val="12"/>
          <w:lang w:eastAsia="zh-CN"/>
        </w:rPr>
        <w:t>500指数</w:t>
      </w:r>
      <w:r w:rsidRPr="00A1609A">
        <w:rPr>
          <w:rFonts w:ascii="微软雅黑" w:eastAsia="微软雅黑" w:hAnsi="微软雅黑" w:cs="微软雅黑"/>
          <w:spacing w:val="12"/>
          <w:lang w:eastAsia="zh-CN"/>
        </w:rPr>
        <w:t>跌0.13%报6969.01点，</w:t>
      </w:r>
      <w:r w:rsidRPr="005D31CD">
        <w:rPr>
          <w:rFonts w:ascii="微软雅黑" w:eastAsia="微软雅黑" w:hAnsi="微软雅黑" w:cs="微软雅黑"/>
          <w:spacing w:val="12"/>
          <w:lang w:eastAsia="zh-CN"/>
        </w:rPr>
        <w:t>纳斯达克指数</w:t>
      </w:r>
      <w:r w:rsidRPr="00A1609A">
        <w:rPr>
          <w:rFonts w:ascii="微软雅黑" w:eastAsia="微软雅黑" w:hAnsi="微软雅黑" w:cs="微软雅黑"/>
          <w:spacing w:val="12"/>
          <w:lang w:eastAsia="zh-CN"/>
        </w:rPr>
        <w:t>跌0.72%报23685.12点。美元指数跌0.20%报96.16</w:t>
      </w:r>
      <w:r w:rsidRPr="005D31CD">
        <w:rPr>
          <w:rFonts w:ascii="微软雅黑" w:eastAsia="微软雅黑" w:hAnsi="微软雅黑" w:cs="微软雅黑"/>
          <w:spacing w:val="12"/>
          <w:lang w:eastAsia="zh-CN"/>
        </w:rPr>
        <w:t>，非美货币多数上涨，欧元兑美元涨0.15%报1.1971，英镑兑美元涨0.01%报1.3810，澳元兑美元涨0.13%报0.7050，美元兑日元跌0.20%报153.12，美元兑加元跌0.52%报1.3490，美元兑</w:t>
      </w:r>
      <w:proofErr w:type="gramStart"/>
      <w:r w:rsidRPr="005D31CD">
        <w:rPr>
          <w:rFonts w:ascii="微软雅黑" w:eastAsia="微软雅黑" w:hAnsi="微软雅黑" w:cs="微软雅黑"/>
          <w:spacing w:val="12"/>
          <w:lang w:eastAsia="zh-CN"/>
        </w:rPr>
        <w:t>瑞郎跌</w:t>
      </w:r>
      <w:proofErr w:type="gramEnd"/>
      <w:r w:rsidRPr="005D31CD">
        <w:rPr>
          <w:rFonts w:ascii="微软雅黑" w:eastAsia="微软雅黑" w:hAnsi="微软雅黑" w:cs="微软雅黑"/>
          <w:spacing w:val="12"/>
          <w:lang w:eastAsia="zh-CN"/>
        </w:rPr>
        <w:t>0.53%报0.7643，离岸人民币对美元下跌12.0个基点报6.9449。</w:t>
      </w:r>
      <w:proofErr w:type="gramStart"/>
      <w:r w:rsidRPr="005D31CD">
        <w:rPr>
          <w:rFonts w:ascii="微软雅黑" w:eastAsia="微软雅黑" w:hAnsi="微软雅黑" w:cs="微软雅黑"/>
          <w:spacing w:val="12"/>
          <w:lang w:eastAsia="zh-CN"/>
        </w:rPr>
        <w:t>美油</w:t>
      </w:r>
      <w:r w:rsidRPr="00A1609A">
        <w:rPr>
          <w:rFonts w:ascii="微软雅黑" w:eastAsia="微软雅黑" w:hAnsi="微软雅黑" w:cs="微软雅黑"/>
          <w:spacing w:val="12"/>
          <w:lang w:eastAsia="zh-CN"/>
        </w:rPr>
        <w:t>主力</w:t>
      </w:r>
      <w:proofErr w:type="gramEnd"/>
      <w:r w:rsidRPr="00A1609A">
        <w:rPr>
          <w:rFonts w:ascii="微软雅黑" w:eastAsia="微软雅黑" w:hAnsi="微软雅黑" w:cs="微软雅黑"/>
          <w:spacing w:val="12"/>
          <w:lang w:eastAsia="zh-CN"/>
        </w:rPr>
        <w:t>合约收涨3.64%，报65.51美元/桶；</w:t>
      </w:r>
      <w:proofErr w:type="gramStart"/>
      <w:r w:rsidRPr="005D31CD">
        <w:rPr>
          <w:rFonts w:ascii="微软雅黑" w:eastAsia="微软雅黑" w:hAnsi="微软雅黑" w:cs="微软雅黑"/>
          <w:spacing w:val="12"/>
          <w:lang w:eastAsia="zh-CN"/>
        </w:rPr>
        <w:t>布油</w:t>
      </w:r>
      <w:r w:rsidRPr="00A1609A">
        <w:rPr>
          <w:rFonts w:ascii="微软雅黑" w:eastAsia="微软雅黑" w:hAnsi="微软雅黑" w:cs="微软雅黑"/>
          <w:spacing w:val="12"/>
          <w:lang w:eastAsia="zh-CN"/>
        </w:rPr>
        <w:t>主力</w:t>
      </w:r>
      <w:proofErr w:type="gramEnd"/>
      <w:r w:rsidRPr="00A1609A">
        <w:rPr>
          <w:rFonts w:ascii="微软雅黑" w:eastAsia="微软雅黑" w:hAnsi="微软雅黑" w:cs="微软雅黑"/>
          <w:spacing w:val="12"/>
          <w:lang w:eastAsia="zh-CN"/>
        </w:rPr>
        <w:t>合约涨3.43%，报69.68美元/桶。</w:t>
      </w:r>
      <w:r w:rsidRPr="005D31CD">
        <w:rPr>
          <w:rFonts w:ascii="微软雅黑" w:eastAsia="微软雅黑" w:hAnsi="微软雅黑" w:cs="微软雅黑"/>
          <w:spacing w:val="12"/>
          <w:lang w:eastAsia="zh-CN"/>
        </w:rPr>
        <w:t>国际贵金属期货普遍收涨，COMEX黄金期货涨1.32%报5410.80美元/盎司，COMEX白银期货涨1.98%报115.78美元/盎司。</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proofErr w:type="gramStart"/>
      <w:r>
        <w:rPr>
          <w:rFonts w:ascii="微软雅黑" w:eastAsia="微软雅黑" w:hAnsi="微软雅黑" w:cs="微软雅黑" w:hint="eastAsia"/>
          <w:spacing w:val="12"/>
          <w:lang w:eastAsia="zh-CN"/>
        </w:rPr>
        <w:t>收平</w:t>
      </w:r>
      <w:r w:rsidR="00E578A1" w:rsidRPr="00777F4A">
        <w:rPr>
          <w:rFonts w:ascii="微软雅黑" w:eastAsia="微软雅黑" w:hAnsi="微软雅黑" w:cs="微软雅黑" w:hint="eastAsia"/>
          <w:spacing w:val="12"/>
          <w:lang w:eastAsia="zh-CN"/>
        </w:rPr>
        <w:t>报</w:t>
      </w:r>
      <w:proofErr w:type="gramEnd"/>
      <w:r w:rsidR="00035E17" w:rsidRPr="00035E17">
        <w:rPr>
          <w:rFonts w:ascii="微软雅黑" w:eastAsia="微软雅黑" w:hAnsi="微软雅黑" w:cs="微软雅黑"/>
          <w:spacing w:val="12"/>
          <w:lang w:eastAsia="zh-CN"/>
        </w:rPr>
        <w:t>14.</w:t>
      </w:r>
      <w:r w:rsidR="00DA61DC">
        <w:rPr>
          <w:rFonts w:ascii="微软雅黑" w:eastAsia="微软雅黑" w:hAnsi="微软雅黑" w:cs="微软雅黑" w:hint="eastAsia"/>
          <w:spacing w:val="12"/>
          <w:lang w:eastAsia="zh-CN"/>
        </w:rPr>
        <w:t>7</w:t>
      </w:r>
      <w:r>
        <w:rPr>
          <w:rFonts w:ascii="微软雅黑" w:eastAsia="微软雅黑" w:hAnsi="微软雅黑" w:cs="微软雅黑" w:hint="eastAsia"/>
          <w:spacing w:val="12"/>
          <w:lang w:eastAsia="zh-CN"/>
        </w:rPr>
        <w:t>1</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sidR="00DA61DC">
        <w:rPr>
          <w:rFonts w:ascii="微软雅黑" w:eastAsia="微软雅黑" w:hAnsi="微软雅黑" w:cs="微软雅黑" w:hint="eastAsia"/>
          <w:spacing w:val="12"/>
          <w:lang w:eastAsia="zh-CN"/>
        </w:rPr>
        <w:t>跌0.</w:t>
      </w:r>
      <w:r>
        <w:rPr>
          <w:rFonts w:ascii="微软雅黑" w:eastAsia="微软雅黑" w:hAnsi="微软雅黑" w:cs="微软雅黑" w:hint="eastAsia"/>
          <w:spacing w:val="12"/>
          <w:lang w:eastAsia="zh-CN"/>
        </w:rPr>
        <w:t>42</w:t>
      </w:r>
      <w:r w:rsidR="00E578A1" w:rsidRPr="00777F4A">
        <w:rPr>
          <w:rFonts w:ascii="微软雅黑" w:eastAsia="微软雅黑" w:hAnsi="微软雅黑" w:cs="微软雅黑" w:hint="eastAsia"/>
          <w:spacing w:val="12"/>
          <w:lang w:eastAsia="zh-CN"/>
        </w:rPr>
        <w:t>%报</w:t>
      </w:r>
      <w:r w:rsidR="00035E17" w:rsidRPr="00035E17">
        <w:rPr>
          <w:rFonts w:ascii="微软雅黑" w:eastAsia="微软雅黑" w:hAnsi="微软雅黑" w:cs="微软雅黑"/>
          <w:spacing w:val="12"/>
          <w:lang w:eastAsia="zh-CN"/>
        </w:rPr>
        <w:t>6</w:t>
      </w:r>
      <w:r w:rsidR="00484E17">
        <w:rPr>
          <w:rFonts w:ascii="微软雅黑" w:eastAsia="微软雅黑" w:hAnsi="微软雅黑" w:cs="微软雅黑" w:hint="eastAsia"/>
          <w:spacing w:val="12"/>
          <w:lang w:eastAsia="zh-CN"/>
        </w:rPr>
        <w:t>3.</w:t>
      </w:r>
      <w:r>
        <w:rPr>
          <w:rFonts w:ascii="微软雅黑" w:eastAsia="微软雅黑" w:hAnsi="微软雅黑" w:cs="微软雅黑" w:hint="eastAsia"/>
          <w:spacing w:val="12"/>
          <w:lang w:eastAsia="zh-CN"/>
        </w:rPr>
        <w:t>46</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4C127165" w:rsidR="00557736" w:rsidRPr="0022448B" w:rsidRDefault="005D31CD"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78DAB69D" wp14:editId="64D8198D">
            <wp:extent cx="6034480" cy="3568014"/>
            <wp:effectExtent l="0" t="0" r="4445" b="0"/>
            <wp:docPr id="3588000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1620" cy="3572236"/>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00F52D1E" w:rsidR="0079359D" w:rsidRPr="00343CC3" w:rsidRDefault="0079359D" w:rsidP="001F0225">
      <w:pPr>
        <w:spacing w:before="102"/>
        <w:ind w:right="210"/>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5D31CD" w:rsidRPr="005D31CD">
        <w:rPr>
          <w:rFonts w:ascii="微软雅黑" w:eastAsia="微软雅黑" w:hAnsi="微软雅黑" w:cs="微软雅黑"/>
          <w:color w:val="auto"/>
          <w:spacing w:val="4"/>
          <w:lang w:eastAsia="zh-CN"/>
        </w:rPr>
        <w:t>美国国会参议院在程序性投票中未能推进已获众议院通过的政府拨款法案，美国联邦政府再次面临部分“停摆”的危机。美国数个联邦部门的运转资金将于1月30日耗尽。</w:t>
      </w:r>
      <w:r w:rsidRPr="00343CC3">
        <w:rPr>
          <w:rFonts w:ascii="微软雅黑" w:eastAsia="微软雅黑" w:hAnsi="微软雅黑" w:cs="微软雅黑" w:hint="eastAsia"/>
          <w:color w:val="auto"/>
          <w:spacing w:val="4"/>
          <w:lang w:eastAsia="zh-CN"/>
        </w:rPr>
        <w:t>】</w:t>
      </w:r>
    </w:p>
    <w:p w14:paraId="65DD1E10" w14:textId="196AA870" w:rsidR="00DA61DC" w:rsidRDefault="008E1CCA" w:rsidP="00DA61DC">
      <w:pPr>
        <w:spacing w:before="102" w:line="257" w:lineRule="auto"/>
        <w:ind w:right="210"/>
        <w:jc w:val="both"/>
        <w:rPr>
          <w:rFonts w:ascii="微软雅黑" w:eastAsia="微软雅黑" w:hAnsi="微软雅黑" w:cs="微软雅黑"/>
          <w:color w:val="auto"/>
          <w:spacing w:val="4"/>
          <w:lang w:eastAsia="zh-CN"/>
        </w:rPr>
      </w:pPr>
      <w:r w:rsidRPr="00343CC3">
        <w:rPr>
          <w:rFonts w:ascii="微软雅黑" w:eastAsia="微软雅黑" w:hAnsi="微软雅黑" w:cs="微软雅黑" w:hint="eastAsia"/>
          <w:color w:val="auto"/>
          <w:spacing w:val="4"/>
          <w:lang w:eastAsia="zh-CN"/>
        </w:rPr>
        <w:t>【</w:t>
      </w:r>
      <w:r w:rsidR="005D31CD" w:rsidRPr="005D31CD">
        <w:rPr>
          <w:rFonts w:ascii="微软雅黑" w:eastAsia="微软雅黑" w:hAnsi="微软雅黑" w:cs="微软雅黑"/>
          <w:color w:val="auto"/>
          <w:spacing w:val="4"/>
          <w:lang w:eastAsia="zh-CN"/>
        </w:rPr>
        <w:t>美国总统特朗普表示，鉴于严寒天气，俄罗斯总统普京已同意一周内暂停对乌克兰的空袭。他还表示，计划下周公布美联储下任主席提名。另外，美方计划重新开放委内瑞拉领空，多家美国大型石油公司将前往实地进行勘察。</w:t>
      </w:r>
      <w:r w:rsidRPr="00343CC3">
        <w:rPr>
          <w:rFonts w:ascii="微软雅黑" w:eastAsia="微软雅黑" w:hAnsi="微软雅黑" w:cs="微软雅黑" w:hint="eastAsia"/>
          <w:color w:val="auto"/>
          <w:spacing w:val="4"/>
          <w:lang w:eastAsia="zh-CN"/>
        </w:rPr>
        <w:t>】</w:t>
      </w:r>
    </w:p>
    <w:p w14:paraId="5CE73758" w14:textId="7457FE59" w:rsidR="005D31CD" w:rsidRDefault="005D31CD" w:rsidP="00DA61DC">
      <w:pPr>
        <w:spacing w:before="102" w:line="257" w:lineRule="auto"/>
        <w:ind w:right="210"/>
        <w:jc w:val="both"/>
        <w:rPr>
          <w:rFonts w:ascii="微软雅黑" w:eastAsia="微软雅黑" w:hAnsi="微软雅黑" w:cs="微软雅黑" w:hint="eastAsia"/>
          <w:color w:val="auto"/>
          <w:spacing w:val="4"/>
          <w:lang w:eastAsia="zh-CN"/>
        </w:rPr>
      </w:pPr>
      <w:r w:rsidRPr="00744BF0">
        <w:rPr>
          <w:rFonts w:ascii="微软雅黑" w:eastAsia="微软雅黑" w:hAnsi="微软雅黑" w:cs="微软雅黑" w:hint="eastAsia"/>
          <w:color w:val="auto"/>
          <w:spacing w:val="4"/>
          <w:lang w:eastAsia="zh-CN"/>
        </w:rPr>
        <w:t>【</w:t>
      </w:r>
      <w:r w:rsidRPr="005D31CD">
        <w:rPr>
          <w:rFonts w:ascii="微软雅黑" w:eastAsia="微软雅黑" w:hAnsi="微软雅黑" w:cs="微软雅黑"/>
          <w:color w:val="auto"/>
          <w:spacing w:val="4"/>
          <w:lang w:eastAsia="zh-CN"/>
        </w:rPr>
        <w:t>由于出口下降、进口增加，美国2025年11月贸易逆差为568亿美元，环比大幅增加约95%。当月，美国出口额为2921亿美元，环比下降3.6%；进口额为3489亿美元，增长5%。</w:t>
      </w:r>
      <w:r w:rsidRPr="00744BF0">
        <w:rPr>
          <w:rFonts w:ascii="微软雅黑" w:eastAsia="微软雅黑" w:hAnsi="微软雅黑" w:cs="微软雅黑" w:hint="eastAsia"/>
          <w:color w:val="auto"/>
          <w:spacing w:val="4"/>
          <w:lang w:eastAsia="zh-CN"/>
        </w:rPr>
        <w:t>】</w:t>
      </w:r>
    </w:p>
    <w:p w14:paraId="0078F981" w14:textId="73C4AD36" w:rsidR="004401B9" w:rsidRDefault="00DA61DC" w:rsidP="004401B9">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lastRenderedPageBreak/>
        <w:t>【</w:t>
      </w:r>
      <w:r w:rsidR="005D31CD" w:rsidRPr="005D31CD">
        <w:rPr>
          <w:rFonts w:ascii="微软雅黑" w:eastAsia="微软雅黑" w:hAnsi="微软雅黑" w:cs="微软雅黑"/>
          <w:color w:val="auto"/>
          <w:spacing w:val="4"/>
          <w:lang w:eastAsia="zh-CN"/>
        </w:rPr>
        <w:t>伊朗已于1月29日通过甚高频无线电向过往船只发布通告，宣布将于2月1日至2日在霍尔木兹海峡举行军事演习，演习内容包括实弹射击。</w:t>
      </w:r>
      <w:r>
        <w:rPr>
          <w:rFonts w:ascii="微软雅黑" w:eastAsia="微软雅黑" w:hAnsi="微软雅黑" w:cs="微软雅黑" w:hint="eastAsia"/>
          <w:color w:val="auto"/>
          <w:spacing w:val="4"/>
          <w:lang w:eastAsia="zh-CN"/>
        </w:rPr>
        <w:t>】</w:t>
      </w:r>
    </w:p>
    <w:p w14:paraId="3E5070E4" w14:textId="77777777" w:rsidR="00343CC3" w:rsidRDefault="00343CC3"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77F4A">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777F4A">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5D31CD" w:rsidRPr="008E3E9D" w14:paraId="7DA151AE" w14:textId="77777777" w:rsidTr="005970B0">
        <w:trPr>
          <w:trHeight w:val="620"/>
        </w:trPr>
        <w:tc>
          <w:tcPr>
            <w:tcW w:w="1701" w:type="dxa"/>
          </w:tcPr>
          <w:bookmarkEnd w:id="0"/>
          <w:p w14:paraId="27107280" w14:textId="5D0B6AC9" w:rsidR="005D31CD" w:rsidRPr="002703B8" w:rsidRDefault="005D31CD" w:rsidP="005D31CD">
            <w:pPr>
              <w:pStyle w:val="TableText"/>
              <w:rPr>
                <w:rFonts w:hint="eastAsia"/>
                <w:lang w:eastAsia="zh-CN"/>
              </w:rPr>
            </w:pPr>
            <w:r w:rsidRPr="00744C70">
              <w:t>2026/1/30</w:t>
            </w:r>
          </w:p>
        </w:tc>
        <w:tc>
          <w:tcPr>
            <w:tcW w:w="1314" w:type="dxa"/>
          </w:tcPr>
          <w:p w14:paraId="3D056FF1" w14:textId="25AFD885" w:rsidR="005D31CD" w:rsidRPr="0043741A" w:rsidRDefault="005D31CD" w:rsidP="005D31CD">
            <w:pPr>
              <w:pStyle w:val="TableText"/>
              <w:rPr>
                <w:rFonts w:hint="eastAsia"/>
                <w:lang w:eastAsia="zh-CN"/>
              </w:rPr>
            </w:pPr>
            <w:r w:rsidRPr="005D31CD">
              <w:rPr>
                <w:lang w:eastAsia="zh-CN"/>
              </w:rPr>
              <w:t>07:50</w:t>
            </w:r>
          </w:p>
        </w:tc>
        <w:tc>
          <w:tcPr>
            <w:tcW w:w="6344" w:type="dxa"/>
          </w:tcPr>
          <w:p w14:paraId="14A4496B" w14:textId="0BBDEF22" w:rsidR="005D31CD" w:rsidRPr="0043741A" w:rsidRDefault="005D31CD" w:rsidP="005D31CD">
            <w:pPr>
              <w:pStyle w:val="TableText"/>
              <w:ind w:firstLineChars="300" w:firstLine="588"/>
              <w:rPr>
                <w:rFonts w:hint="eastAsia"/>
                <w:lang w:eastAsia="zh-CN"/>
              </w:rPr>
            </w:pPr>
            <w:r w:rsidRPr="005D31CD">
              <w:rPr>
                <w:lang w:eastAsia="zh-CN"/>
              </w:rPr>
              <w:t>日本 2025 年 12 月工业产出数据初值</w:t>
            </w:r>
          </w:p>
        </w:tc>
      </w:tr>
      <w:tr w:rsidR="005D31CD" w:rsidRPr="008E3E9D" w14:paraId="385383E5" w14:textId="77777777" w:rsidTr="00402DC8">
        <w:trPr>
          <w:trHeight w:val="620"/>
        </w:trPr>
        <w:tc>
          <w:tcPr>
            <w:tcW w:w="1701" w:type="dxa"/>
            <w:shd w:val="clear" w:color="auto" w:fill="DAE3F4" w:themeFill="accent1" w:themeFillTint="33"/>
          </w:tcPr>
          <w:p w14:paraId="47473FD0" w14:textId="6D8FA78C" w:rsidR="005D31CD" w:rsidRPr="005F5D93" w:rsidRDefault="005D31CD" w:rsidP="005D31CD">
            <w:pPr>
              <w:pStyle w:val="TableText"/>
              <w:rPr>
                <w:rFonts w:hint="eastAsia"/>
                <w:lang w:eastAsia="zh-CN"/>
              </w:rPr>
            </w:pPr>
            <w:r w:rsidRPr="00744C70">
              <w:t>2026/1/30</w:t>
            </w:r>
          </w:p>
        </w:tc>
        <w:tc>
          <w:tcPr>
            <w:tcW w:w="1314" w:type="dxa"/>
            <w:shd w:val="clear" w:color="auto" w:fill="DAE3F4" w:themeFill="accent1" w:themeFillTint="33"/>
          </w:tcPr>
          <w:p w14:paraId="1367F811" w14:textId="6873CEA5" w:rsidR="005D31CD" w:rsidRPr="005F5D93" w:rsidRDefault="005D31CD" w:rsidP="005D31CD">
            <w:pPr>
              <w:pStyle w:val="TableText"/>
              <w:rPr>
                <w:rFonts w:hint="eastAsia"/>
                <w:lang w:eastAsia="zh-CN"/>
              </w:rPr>
            </w:pPr>
            <w:r w:rsidRPr="005D31CD">
              <w:t>17:00</w:t>
            </w:r>
          </w:p>
        </w:tc>
        <w:tc>
          <w:tcPr>
            <w:tcW w:w="6344" w:type="dxa"/>
            <w:shd w:val="clear" w:color="auto" w:fill="DAE3F4" w:themeFill="accent1" w:themeFillTint="33"/>
          </w:tcPr>
          <w:p w14:paraId="16A44E10" w14:textId="27FEBC35" w:rsidR="005D31CD" w:rsidRPr="005F5D93" w:rsidRDefault="005D31CD" w:rsidP="005D31CD">
            <w:pPr>
              <w:pStyle w:val="TableText"/>
              <w:rPr>
                <w:rFonts w:hint="eastAsia"/>
                <w:lang w:eastAsia="zh-CN"/>
              </w:rPr>
            </w:pPr>
            <w:r w:rsidRPr="005D31CD">
              <w:rPr>
                <w:lang w:eastAsia="zh-CN"/>
              </w:rPr>
              <w:t>德国 2025 年第四季度 GDP 初值</w:t>
            </w:r>
          </w:p>
        </w:tc>
      </w:tr>
      <w:tr w:rsidR="005D31CD" w:rsidRPr="008E3E9D" w14:paraId="0B8F007B" w14:textId="77777777" w:rsidTr="00402DC8">
        <w:trPr>
          <w:trHeight w:val="620"/>
        </w:trPr>
        <w:tc>
          <w:tcPr>
            <w:tcW w:w="1701" w:type="dxa"/>
          </w:tcPr>
          <w:p w14:paraId="35B7D90B" w14:textId="2AF01154" w:rsidR="005D31CD" w:rsidRDefault="005D31CD" w:rsidP="005D31CD">
            <w:pPr>
              <w:pStyle w:val="TableText"/>
              <w:rPr>
                <w:rFonts w:hint="eastAsia"/>
              </w:rPr>
            </w:pPr>
            <w:r w:rsidRPr="00744C70">
              <w:t>2026/1/30</w:t>
            </w:r>
          </w:p>
        </w:tc>
        <w:tc>
          <w:tcPr>
            <w:tcW w:w="1314" w:type="dxa"/>
          </w:tcPr>
          <w:p w14:paraId="690E5A9A" w14:textId="34D2827C" w:rsidR="005D31CD" w:rsidRDefault="005D31CD" w:rsidP="005D31CD">
            <w:pPr>
              <w:pStyle w:val="TableText"/>
              <w:rPr>
                <w:rFonts w:hint="eastAsia"/>
                <w:lang w:eastAsia="zh-CN"/>
              </w:rPr>
            </w:pPr>
            <w:r w:rsidRPr="005D31CD">
              <w:t>18:00</w:t>
            </w:r>
          </w:p>
        </w:tc>
        <w:tc>
          <w:tcPr>
            <w:tcW w:w="6344" w:type="dxa"/>
          </w:tcPr>
          <w:p w14:paraId="66B6BD74" w14:textId="351628AA" w:rsidR="005D31CD" w:rsidRPr="004F059A" w:rsidRDefault="005D31CD" w:rsidP="005D31CD">
            <w:pPr>
              <w:pStyle w:val="TableText"/>
              <w:rPr>
                <w:rFonts w:hint="eastAsia"/>
                <w:lang w:eastAsia="zh-CN"/>
              </w:rPr>
            </w:pPr>
            <w:r w:rsidRPr="005D31CD">
              <w:rPr>
                <w:lang w:eastAsia="zh-CN"/>
              </w:rPr>
              <w:t>欧元区 2025 年第四季度 GDP 初值、12 月失业率</w:t>
            </w:r>
          </w:p>
        </w:tc>
      </w:tr>
      <w:tr w:rsidR="005D31CD" w:rsidRPr="008E3E9D" w14:paraId="73491317" w14:textId="77777777" w:rsidTr="00402DC8">
        <w:trPr>
          <w:trHeight w:val="620"/>
        </w:trPr>
        <w:tc>
          <w:tcPr>
            <w:tcW w:w="1701" w:type="dxa"/>
            <w:shd w:val="clear" w:color="auto" w:fill="DAE3F4" w:themeFill="accent1" w:themeFillTint="33"/>
          </w:tcPr>
          <w:p w14:paraId="73809155" w14:textId="5895C52C" w:rsidR="005D31CD" w:rsidRPr="004A63F2" w:rsidRDefault="005D31CD" w:rsidP="005D31CD">
            <w:pPr>
              <w:pStyle w:val="TableText"/>
              <w:rPr>
                <w:rFonts w:hint="eastAsia"/>
              </w:rPr>
            </w:pPr>
            <w:r w:rsidRPr="00744C70">
              <w:t>2026/1/30</w:t>
            </w:r>
          </w:p>
        </w:tc>
        <w:tc>
          <w:tcPr>
            <w:tcW w:w="1314" w:type="dxa"/>
            <w:shd w:val="clear" w:color="auto" w:fill="DAE3F4" w:themeFill="accent1" w:themeFillTint="33"/>
          </w:tcPr>
          <w:p w14:paraId="26544CB6" w14:textId="2A3207D6" w:rsidR="005D31CD" w:rsidRPr="00402DC8" w:rsidRDefault="005D31CD" w:rsidP="005D31CD">
            <w:pPr>
              <w:pStyle w:val="TableText"/>
              <w:rPr>
                <w:rFonts w:hint="eastAsia"/>
              </w:rPr>
            </w:pPr>
            <w:r w:rsidRPr="00402DC8">
              <w:t>21:30</w:t>
            </w:r>
          </w:p>
        </w:tc>
        <w:tc>
          <w:tcPr>
            <w:tcW w:w="6344" w:type="dxa"/>
            <w:shd w:val="clear" w:color="auto" w:fill="DAE3F4" w:themeFill="accent1" w:themeFillTint="33"/>
          </w:tcPr>
          <w:p w14:paraId="0B0FAC13" w14:textId="692EC0F2" w:rsidR="005D31CD" w:rsidRPr="00402DC8" w:rsidRDefault="005D31CD" w:rsidP="005D31CD">
            <w:pPr>
              <w:pStyle w:val="TableText"/>
              <w:rPr>
                <w:rFonts w:hint="eastAsia"/>
                <w:lang w:eastAsia="zh-CN"/>
              </w:rPr>
            </w:pPr>
            <w:r w:rsidRPr="005D31CD">
              <w:rPr>
                <w:lang w:eastAsia="zh-CN"/>
              </w:rPr>
              <w:t>美国 2025 年 12 月 PPI 同比、环比</w:t>
            </w:r>
          </w:p>
        </w:tc>
      </w:tr>
      <w:tr w:rsidR="005D31CD" w:rsidRPr="008E3E9D" w14:paraId="622D89B8" w14:textId="77777777" w:rsidTr="005D31CD">
        <w:trPr>
          <w:trHeight w:val="620"/>
        </w:trPr>
        <w:tc>
          <w:tcPr>
            <w:tcW w:w="1701" w:type="dxa"/>
            <w:shd w:val="clear" w:color="auto" w:fill="FFFFFF" w:themeFill="background1"/>
          </w:tcPr>
          <w:p w14:paraId="30CF58FA" w14:textId="3A078D37" w:rsidR="005D31CD" w:rsidRPr="00744C70" w:rsidRDefault="005D31CD" w:rsidP="005D31CD">
            <w:pPr>
              <w:pStyle w:val="TableText"/>
            </w:pPr>
            <w:r w:rsidRPr="00744C70">
              <w:t>2026/1/30</w:t>
            </w:r>
          </w:p>
        </w:tc>
        <w:tc>
          <w:tcPr>
            <w:tcW w:w="1314" w:type="dxa"/>
            <w:shd w:val="clear" w:color="auto" w:fill="FFFFFF" w:themeFill="background1"/>
          </w:tcPr>
          <w:p w14:paraId="1D9529B7" w14:textId="278D6F49" w:rsidR="005D31CD" w:rsidRPr="00402DC8" w:rsidRDefault="005D31CD" w:rsidP="005D31CD">
            <w:pPr>
              <w:pStyle w:val="TableText"/>
            </w:pPr>
            <w:r w:rsidRPr="005D31CD">
              <w:t>22:45</w:t>
            </w:r>
          </w:p>
        </w:tc>
        <w:tc>
          <w:tcPr>
            <w:tcW w:w="6344" w:type="dxa"/>
            <w:shd w:val="clear" w:color="auto" w:fill="FFFFFF" w:themeFill="background1"/>
          </w:tcPr>
          <w:p w14:paraId="7E6E2279" w14:textId="23C6DD79" w:rsidR="005D31CD" w:rsidRPr="005D31CD" w:rsidRDefault="005D31CD" w:rsidP="005D31CD">
            <w:pPr>
              <w:pStyle w:val="TableText"/>
              <w:rPr>
                <w:lang w:eastAsia="zh-CN"/>
              </w:rPr>
            </w:pPr>
            <w:r w:rsidRPr="005D31CD">
              <w:rPr>
                <w:lang w:eastAsia="zh-CN"/>
              </w:rPr>
              <w:t>美国 1 月芝加哥 PMI</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725CB6D3" w14:textId="77777777" w:rsidR="00A1609A" w:rsidRPr="00A1609A" w:rsidRDefault="00A1609A" w:rsidP="00A1609A">
      <w:pPr>
        <w:spacing w:before="103" w:line="256" w:lineRule="auto"/>
        <w:ind w:right="210" w:firstLineChars="200" w:firstLine="448"/>
        <w:rPr>
          <w:rFonts w:ascii="微软雅黑" w:eastAsia="微软雅黑" w:hAnsi="微软雅黑" w:cs="微软雅黑"/>
          <w:spacing w:val="7"/>
          <w:lang w:eastAsia="zh-CN"/>
        </w:rPr>
      </w:pPr>
      <w:r w:rsidRPr="00A1609A">
        <w:rPr>
          <w:rFonts w:ascii="微软雅黑" w:eastAsia="微软雅黑" w:hAnsi="微软雅黑" w:cs="微软雅黑" w:hint="eastAsia"/>
          <w:spacing w:val="7"/>
          <w:lang w:eastAsia="zh-CN"/>
        </w:rPr>
        <w:t>隔夜，美元指数跌</w:t>
      </w:r>
      <w:r w:rsidRPr="00A1609A">
        <w:rPr>
          <w:rFonts w:ascii="微软雅黑" w:eastAsia="微软雅黑" w:hAnsi="微软雅黑" w:cs="微软雅黑"/>
          <w:spacing w:val="7"/>
          <w:lang w:eastAsia="zh-CN"/>
        </w:rPr>
        <w:t>0.20%</w:t>
      </w:r>
      <w:r w:rsidRPr="00A1609A">
        <w:rPr>
          <w:rFonts w:ascii="微软雅黑" w:eastAsia="微软雅黑" w:hAnsi="微软雅黑" w:cs="微软雅黑" w:hint="eastAsia"/>
          <w:spacing w:val="7"/>
          <w:lang w:eastAsia="zh-CN"/>
        </w:rPr>
        <w:t>报</w:t>
      </w:r>
      <w:r w:rsidRPr="00A1609A">
        <w:rPr>
          <w:rFonts w:ascii="微软雅黑" w:eastAsia="微软雅黑" w:hAnsi="微软雅黑" w:cs="微软雅黑"/>
          <w:spacing w:val="7"/>
          <w:lang w:eastAsia="zh-CN"/>
        </w:rPr>
        <w:t>96.16</w:t>
      </w:r>
      <w:r w:rsidRPr="00A1609A">
        <w:rPr>
          <w:rFonts w:ascii="微软雅黑" w:eastAsia="微软雅黑" w:hAnsi="微软雅黑" w:cs="微软雅黑" w:hint="eastAsia"/>
          <w:spacing w:val="7"/>
          <w:lang w:eastAsia="zh-CN"/>
        </w:rPr>
        <w:t>，非美货币多数上涨，欧元兑美元涨</w:t>
      </w:r>
      <w:r w:rsidRPr="00A1609A">
        <w:rPr>
          <w:rFonts w:ascii="微软雅黑" w:eastAsia="微软雅黑" w:hAnsi="微软雅黑" w:cs="微软雅黑"/>
          <w:spacing w:val="7"/>
          <w:lang w:eastAsia="zh-CN"/>
        </w:rPr>
        <w:t>0.15%</w:t>
      </w:r>
      <w:r w:rsidRPr="00A1609A">
        <w:rPr>
          <w:rFonts w:ascii="微软雅黑" w:eastAsia="微软雅黑" w:hAnsi="微软雅黑" w:cs="微软雅黑" w:hint="eastAsia"/>
          <w:spacing w:val="7"/>
          <w:lang w:eastAsia="zh-CN"/>
        </w:rPr>
        <w:t>报</w:t>
      </w:r>
      <w:r w:rsidRPr="00A1609A">
        <w:rPr>
          <w:rFonts w:ascii="微软雅黑" w:eastAsia="微软雅黑" w:hAnsi="微软雅黑" w:cs="微软雅黑"/>
          <w:spacing w:val="7"/>
          <w:lang w:eastAsia="zh-CN"/>
        </w:rPr>
        <w:t>1.1971</w:t>
      </w:r>
      <w:r w:rsidRPr="00A1609A">
        <w:rPr>
          <w:rFonts w:ascii="微软雅黑" w:eastAsia="微软雅黑" w:hAnsi="微软雅黑" w:cs="微软雅黑" w:hint="eastAsia"/>
          <w:spacing w:val="7"/>
          <w:lang w:eastAsia="zh-CN"/>
        </w:rPr>
        <w:t>，英镑兑美元涨</w:t>
      </w:r>
      <w:r w:rsidRPr="00A1609A">
        <w:rPr>
          <w:rFonts w:ascii="微软雅黑" w:eastAsia="微软雅黑" w:hAnsi="微软雅黑" w:cs="微软雅黑"/>
          <w:spacing w:val="7"/>
          <w:lang w:eastAsia="zh-CN"/>
        </w:rPr>
        <w:t>0.01%</w:t>
      </w:r>
      <w:r w:rsidRPr="00A1609A">
        <w:rPr>
          <w:rFonts w:ascii="微软雅黑" w:eastAsia="微软雅黑" w:hAnsi="微软雅黑" w:cs="微软雅黑" w:hint="eastAsia"/>
          <w:spacing w:val="7"/>
          <w:lang w:eastAsia="zh-CN"/>
        </w:rPr>
        <w:t>报</w:t>
      </w:r>
      <w:r w:rsidRPr="00A1609A">
        <w:rPr>
          <w:rFonts w:ascii="微软雅黑" w:eastAsia="微软雅黑" w:hAnsi="微软雅黑" w:cs="微软雅黑"/>
          <w:spacing w:val="7"/>
          <w:lang w:eastAsia="zh-CN"/>
        </w:rPr>
        <w:t>1.3810</w:t>
      </w:r>
      <w:r w:rsidRPr="00A1609A">
        <w:rPr>
          <w:rFonts w:ascii="微软雅黑" w:eastAsia="微软雅黑" w:hAnsi="微软雅黑" w:cs="微软雅黑" w:hint="eastAsia"/>
          <w:spacing w:val="7"/>
          <w:lang w:eastAsia="zh-CN"/>
        </w:rPr>
        <w:t>，美元兑日元跌</w:t>
      </w:r>
      <w:r w:rsidRPr="00A1609A">
        <w:rPr>
          <w:rFonts w:ascii="微软雅黑" w:eastAsia="微软雅黑" w:hAnsi="微软雅黑" w:cs="微软雅黑"/>
          <w:spacing w:val="7"/>
          <w:lang w:eastAsia="zh-CN"/>
        </w:rPr>
        <w:t>0.20%</w:t>
      </w:r>
      <w:r w:rsidRPr="00A1609A">
        <w:rPr>
          <w:rFonts w:ascii="微软雅黑" w:eastAsia="微软雅黑" w:hAnsi="微软雅黑" w:cs="微软雅黑" w:hint="eastAsia"/>
          <w:spacing w:val="7"/>
          <w:lang w:eastAsia="zh-CN"/>
        </w:rPr>
        <w:t>报</w:t>
      </w:r>
      <w:r w:rsidRPr="00A1609A">
        <w:rPr>
          <w:rFonts w:ascii="微软雅黑" w:eastAsia="微软雅黑" w:hAnsi="微软雅黑" w:cs="微软雅黑"/>
          <w:spacing w:val="7"/>
          <w:lang w:eastAsia="zh-CN"/>
        </w:rPr>
        <w:t>153.12</w:t>
      </w:r>
      <w:r w:rsidRPr="00A1609A">
        <w:rPr>
          <w:rFonts w:ascii="微软雅黑" w:eastAsia="微软雅黑" w:hAnsi="微软雅黑" w:cs="微软雅黑" w:hint="eastAsia"/>
          <w:spacing w:val="7"/>
          <w:lang w:eastAsia="zh-CN"/>
        </w:rPr>
        <w:t>。</w:t>
      </w:r>
    </w:p>
    <w:p w14:paraId="69DEBA28" w14:textId="77777777" w:rsidR="00A1609A" w:rsidRPr="00A1609A" w:rsidRDefault="00A1609A" w:rsidP="00A1609A">
      <w:pPr>
        <w:spacing w:before="103" w:line="256" w:lineRule="auto"/>
        <w:ind w:right="210" w:firstLineChars="200" w:firstLine="448"/>
        <w:rPr>
          <w:rFonts w:ascii="微软雅黑" w:eastAsia="微软雅黑" w:hAnsi="微软雅黑" w:cs="微软雅黑"/>
          <w:spacing w:val="7"/>
          <w:lang w:eastAsia="zh-CN"/>
        </w:rPr>
      </w:pPr>
      <w:r w:rsidRPr="00A1609A">
        <w:rPr>
          <w:rFonts w:ascii="微软雅黑" w:eastAsia="微软雅黑" w:hAnsi="微软雅黑" w:cs="微软雅黑" w:hint="eastAsia"/>
          <w:spacing w:val="7"/>
          <w:lang w:eastAsia="zh-CN"/>
        </w:rPr>
        <w:t>美伊局势持续升温，美国总统特朗普表示正考虑对伊朗发动新的重大打击，伊方领导人给予强硬回应，市场避险情绪高企，美元延续疲软态势。美联储于</w:t>
      </w:r>
      <w:r w:rsidRPr="00A1609A">
        <w:rPr>
          <w:rFonts w:ascii="微软雅黑" w:eastAsia="微软雅黑" w:hAnsi="微软雅黑" w:cs="微软雅黑"/>
          <w:spacing w:val="7"/>
          <w:lang w:eastAsia="zh-CN"/>
        </w:rPr>
        <w:t>FOMC</w:t>
      </w:r>
      <w:r w:rsidRPr="00A1609A">
        <w:rPr>
          <w:rFonts w:ascii="微软雅黑" w:eastAsia="微软雅黑" w:hAnsi="微软雅黑" w:cs="微软雅黑" w:hint="eastAsia"/>
          <w:spacing w:val="7"/>
          <w:lang w:eastAsia="zh-CN"/>
        </w:rPr>
        <w:t>议</w:t>
      </w:r>
      <w:proofErr w:type="gramStart"/>
      <w:r w:rsidRPr="00A1609A">
        <w:rPr>
          <w:rFonts w:ascii="微软雅黑" w:eastAsia="微软雅黑" w:hAnsi="微软雅黑" w:cs="微软雅黑" w:hint="eastAsia"/>
          <w:spacing w:val="7"/>
          <w:lang w:eastAsia="zh-CN"/>
        </w:rPr>
        <w:t>息会议</w:t>
      </w:r>
      <w:proofErr w:type="gramEnd"/>
      <w:r w:rsidRPr="00A1609A">
        <w:rPr>
          <w:rFonts w:ascii="微软雅黑" w:eastAsia="微软雅黑" w:hAnsi="微软雅黑" w:cs="微软雅黑" w:hint="eastAsia"/>
          <w:spacing w:val="7"/>
          <w:lang w:eastAsia="zh-CN"/>
        </w:rPr>
        <w:t>如期维持利率按兵不动，符合市场预期。此前美联储已于去年连续三次降息，使利率降至</w:t>
      </w:r>
      <w:r w:rsidRPr="00A1609A">
        <w:rPr>
          <w:rFonts w:ascii="微软雅黑" w:eastAsia="微软雅黑" w:hAnsi="微软雅黑" w:cs="微软雅黑"/>
          <w:spacing w:val="7"/>
          <w:lang w:eastAsia="zh-CN"/>
        </w:rPr>
        <w:t>2022</w:t>
      </w:r>
      <w:r w:rsidRPr="00A1609A">
        <w:rPr>
          <w:rFonts w:ascii="微软雅黑" w:eastAsia="微软雅黑" w:hAnsi="微软雅黑" w:cs="微软雅黑" w:hint="eastAsia"/>
          <w:spacing w:val="7"/>
          <w:lang w:eastAsia="zh-CN"/>
        </w:rPr>
        <w:t>年以来最低水平。本次决议呈现出了较大分歧，理事米兰与沃勒投票支持再次降息</w:t>
      </w:r>
      <w:r w:rsidRPr="00A1609A">
        <w:rPr>
          <w:rFonts w:ascii="微软雅黑" w:eastAsia="微软雅黑" w:hAnsi="微软雅黑" w:cs="微软雅黑"/>
          <w:spacing w:val="7"/>
          <w:lang w:eastAsia="zh-CN"/>
        </w:rPr>
        <w:t>25</w:t>
      </w:r>
      <w:r w:rsidRPr="00A1609A">
        <w:rPr>
          <w:rFonts w:ascii="微软雅黑" w:eastAsia="微软雅黑" w:hAnsi="微软雅黑" w:cs="微软雅黑" w:hint="eastAsia"/>
          <w:spacing w:val="7"/>
          <w:lang w:eastAsia="zh-CN"/>
        </w:rPr>
        <w:t>个基点。会议声明指出，经济活动保持稳健扩张，就业增长温和，失业率初现企稳，通胀仍略高于目标，今年</w:t>
      </w:r>
      <w:r w:rsidRPr="00A1609A">
        <w:rPr>
          <w:rFonts w:ascii="微软雅黑" w:eastAsia="微软雅黑" w:hAnsi="微软雅黑" w:cs="微软雅黑"/>
          <w:spacing w:val="7"/>
          <w:lang w:eastAsia="zh-CN"/>
        </w:rPr>
        <w:t>3</w:t>
      </w:r>
      <w:r w:rsidRPr="00A1609A">
        <w:rPr>
          <w:rFonts w:ascii="微软雅黑" w:eastAsia="微软雅黑" w:hAnsi="微软雅黑" w:cs="微软雅黑" w:hint="eastAsia"/>
          <w:spacing w:val="7"/>
          <w:lang w:eastAsia="zh-CN"/>
        </w:rPr>
        <w:t>月降息概率小幅有所降低，市场定价较预期更为鹰派的美联储政策立场。当前宏观事件冲击导致美元持续偏弱运行，经济数据韧性以及降息预期之间的交织影响，或成为后续美元走势的核心变量，美元指数中期或继续以区间震荡运行为主。</w:t>
      </w:r>
    </w:p>
    <w:p w14:paraId="502379A4" w14:textId="209873F7" w:rsidR="002760F0" w:rsidRPr="002760F0" w:rsidRDefault="00A1609A" w:rsidP="00A1609A">
      <w:pPr>
        <w:spacing w:before="103" w:line="256" w:lineRule="auto"/>
        <w:ind w:right="210" w:firstLineChars="200" w:firstLine="448"/>
        <w:rPr>
          <w:rFonts w:ascii="微软雅黑" w:eastAsia="微软雅黑" w:hAnsi="微软雅黑" w:cs="微软雅黑" w:hint="eastAsia"/>
          <w:spacing w:val="7"/>
          <w:lang w:eastAsia="zh-CN"/>
        </w:rPr>
      </w:pPr>
      <w:r w:rsidRPr="00A1609A">
        <w:rPr>
          <w:rFonts w:ascii="微软雅黑" w:eastAsia="微软雅黑" w:hAnsi="微软雅黑" w:cs="微软雅黑" w:hint="eastAsia"/>
          <w:spacing w:val="7"/>
          <w:lang w:eastAsia="zh-CN"/>
        </w:rPr>
        <w:t>欧洲央行官员近期表示，欧元持续走强可能促使央行重启降息，</w:t>
      </w:r>
      <w:r w:rsidRPr="00A1609A">
        <w:rPr>
          <w:rFonts w:ascii="微软雅黑" w:eastAsia="微软雅黑" w:hAnsi="微软雅黑" w:cs="微软雅黑"/>
          <w:spacing w:val="7"/>
          <w:lang w:eastAsia="zh-CN"/>
        </w:rPr>
        <w:t>7</w:t>
      </w:r>
      <w:r w:rsidRPr="00A1609A">
        <w:rPr>
          <w:rFonts w:ascii="微软雅黑" w:eastAsia="微软雅黑" w:hAnsi="微软雅黑" w:cs="微软雅黑" w:hint="eastAsia"/>
          <w:spacing w:val="7"/>
          <w:lang w:eastAsia="zh-CN"/>
        </w:rPr>
        <w:t>月降息的隐含概率从此前的约</w:t>
      </w:r>
      <w:r w:rsidRPr="00A1609A">
        <w:rPr>
          <w:rFonts w:ascii="微软雅黑" w:eastAsia="微软雅黑" w:hAnsi="微软雅黑" w:cs="微软雅黑"/>
          <w:spacing w:val="7"/>
          <w:lang w:eastAsia="zh-CN"/>
        </w:rPr>
        <w:t>15%</w:t>
      </w:r>
      <w:r w:rsidRPr="00A1609A">
        <w:rPr>
          <w:rFonts w:ascii="微软雅黑" w:eastAsia="微软雅黑" w:hAnsi="微软雅黑" w:cs="微软雅黑" w:hint="eastAsia"/>
          <w:spacing w:val="7"/>
          <w:lang w:eastAsia="zh-CN"/>
        </w:rPr>
        <w:t>上升至</w:t>
      </w:r>
      <w:r w:rsidRPr="00A1609A">
        <w:rPr>
          <w:rFonts w:ascii="微软雅黑" w:eastAsia="微软雅黑" w:hAnsi="微软雅黑" w:cs="微软雅黑"/>
          <w:spacing w:val="7"/>
          <w:lang w:eastAsia="zh-CN"/>
        </w:rPr>
        <w:t>25%</w:t>
      </w:r>
      <w:r w:rsidRPr="00A1609A">
        <w:rPr>
          <w:rFonts w:ascii="微软雅黑" w:eastAsia="微软雅黑" w:hAnsi="微软雅黑" w:cs="微软雅黑" w:hint="eastAsia"/>
          <w:spacing w:val="7"/>
          <w:lang w:eastAsia="zh-CN"/>
        </w:rPr>
        <w:t>左右，市场普遍预期欧央行下周将维持利率不变。欧元区经济在</w:t>
      </w:r>
      <w:r w:rsidRPr="00A1609A">
        <w:rPr>
          <w:rFonts w:ascii="微软雅黑" w:eastAsia="微软雅黑" w:hAnsi="微软雅黑" w:cs="微软雅黑"/>
          <w:spacing w:val="7"/>
          <w:lang w:eastAsia="zh-CN"/>
        </w:rPr>
        <w:t>2025</w:t>
      </w:r>
      <w:r w:rsidRPr="00A1609A">
        <w:rPr>
          <w:rFonts w:ascii="微软雅黑" w:eastAsia="微软雅黑" w:hAnsi="微软雅黑" w:cs="微软雅黑" w:hint="eastAsia"/>
          <w:spacing w:val="7"/>
          <w:lang w:eastAsia="zh-CN"/>
        </w:rPr>
        <w:t>年第三季度增长</w:t>
      </w:r>
      <w:r w:rsidRPr="00A1609A">
        <w:rPr>
          <w:rFonts w:ascii="微软雅黑" w:eastAsia="微软雅黑" w:hAnsi="微软雅黑" w:cs="微软雅黑"/>
          <w:spacing w:val="7"/>
          <w:lang w:eastAsia="zh-CN"/>
        </w:rPr>
        <w:t>0.3%</w:t>
      </w:r>
      <w:r w:rsidRPr="00A1609A">
        <w:rPr>
          <w:rFonts w:ascii="微软雅黑" w:eastAsia="微软雅黑" w:hAnsi="微软雅黑" w:cs="微软雅黑" w:hint="eastAsia"/>
          <w:spacing w:val="7"/>
          <w:lang w:eastAsia="zh-CN"/>
        </w:rPr>
        <w:t>，而</w:t>
      </w:r>
      <w:r w:rsidRPr="00A1609A">
        <w:rPr>
          <w:rFonts w:ascii="微软雅黑" w:eastAsia="微软雅黑" w:hAnsi="微软雅黑" w:cs="微软雅黑"/>
          <w:spacing w:val="7"/>
          <w:lang w:eastAsia="zh-CN"/>
        </w:rPr>
        <w:t>12</w:t>
      </w:r>
      <w:r w:rsidRPr="00A1609A">
        <w:rPr>
          <w:rFonts w:ascii="微软雅黑" w:eastAsia="微软雅黑" w:hAnsi="微软雅黑" w:cs="微软雅黑" w:hint="eastAsia"/>
          <w:spacing w:val="7"/>
          <w:lang w:eastAsia="zh-CN"/>
        </w:rPr>
        <w:t>月通胀率放缓至</w:t>
      </w:r>
      <w:r w:rsidRPr="00A1609A">
        <w:rPr>
          <w:rFonts w:ascii="微软雅黑" w:eastAsia="微软雅黑" w:hAnsi="微软雅黑" w:cs="微软雅黑"/>
          <w:spacing w:val="7"/>
          <w:lang w:eastAsia="zh-CN"/>
        </w:rPr>
        <w:t>1.9%</w:t>
      </w:r>
      <w:r w:rsidRPr="00A1609A">
        <w:rPr>
          <w:rFonts w:ascii="微软雅黑" w:eastAsia="微软雅黑" w:hAnsi="微软雅黑" w:cs="微软雅黑" w:hint="eastAsia"/>
          <w:spacing w:val="7"/>
          <w:lang w:eastAsia="zh-CN"/>
        </w:rPr>
        <w:t>。日本央行此前维持利率按兵不动，日本国内</w:t>
      </w:r>
      <w:r w:rsidRPr="00A1609A">
        <w:rPr>
          <w:rFonts w:ascii="微软雅黑" w:eastAsia="微软雅黑" w:hAnsi="微软雅黑" w:cs="微软雅黑"/>
          <w:spacing w:val="7"/>
          <w:lang w:eastAsia="zh-CN"/>
        </w:rPr>
        <w:t>CPI</w:t>
      </w:r>
      <w:r w:rsidRPr="00A1609A">
        <w:rPr>
          <w:rFonts w:ascii="微软雅黑" w:eastAsia="微软雅黑" w:hAnsi="微软雅黑" w:cs="微软雅黑" w:hint="eastAsia"/>
          <w:spacing w:val="7"/>
          <w:lang w:eastAsia="zh-CN"/>
        </w:rPr>
        <w:t>高位小幅回落，失业率维持于</w:t>
      </w:r>
      <w:r w:rsidRPr="00A1609A">
        <w:rPr>
          <w:rFonts w:ascii="微软雅黑" w:eastAsia="微软雅黑" w:hAnsi="微软雅黑" w:cs="微软雅黑"/>
          <w:spacing w:val="7"/>
          <w:lang w:eastAsia="zh-CN"/>
        </w:rPr>
        <w:t>2.6%</w:t>
      </w:r>
      <w:r w:rsidRPr="00A1609A">
        <w:rPr>
          <w:rFonts w:ascii="微软雅黑" w:eastAsia="微软雅黑" w:hAnsi="微软雅黑" w:cs="微软雅黑" w:hint="eastAsia"/>
          <w:spacing w:val="7"/>
          <w:lang w:eastAsia="zh-CN"/>
        </w:rPr>
        <w:t>水平。日本央行行长近期指出，企业四月涨价幅度将是讨论潜在加息的关键因素。利差层面的边际收敛或对欧元中长期形成温和支撑，日元在套</w:t>
      </w:r>
      <w:proofErr w:type="gramStart"/>
      <w:r w:rsidRPr="00A1609A">
        <w:rPr>
          <w:rFonts w:ascii="微软雅黑" w:eastAsia="微软雅黑" w:hAnsi="微软雅黑" w:cs="微软雅黑" w:hint="eastAsia"/>
          <w:spacing w:val="7"/>
          <w:lang w:eastAsia="zh-CN"/>
        </w:rPr>
        <w:t>息交易</w:t>
      </w:r>
      <w:proofErr w:type="gramEnd"/>
      <w:r w:rsidRPr="00A1609A">
        <w:rPr>
          <w:rFonts w:ascii="微软雅黑" w:eastAsia="微软雅黑" w:hAnsi="微软雅黑" w:cs="微软雅黑" w:hint="eastAsia"/>
          <w:spacing w:val="7"/>
          <w:lang w:eastAsia="zh-CN"/>
        </w:rPr>
        <w:t>以及财政担忧影响下短期内或延续震荡格局</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32DDAF4B" w:rsidR="007A477E" w:rsidRDefault="00A1609A"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760B32">
        <w:rPr>
          <w:rFonts w:ascii="黑体" w:eastAsia="黑体" w:hAnsi="黑体" w:cs="黑体"/>
          <w:noProof/>
          <w:color w:val="2C3E50"/>
          <w:sz w:val="24"/>
          <w:shd w:val="clear" w:color="auto" w:fill="FFFFFF"/>
          <w:lang w:bidi="ar"/>
        </w:rPr>
        <w:lastRenderedPageBreak/>
        <w:drawing>
          <wp:inline distT="0" distB="0" distL="0" distR="0" wp14:anchorId="7D9AAE5A" wp14:editId="321FB84B">
            <wp:extent cx="5010150" cy="2238375"/>
            <wp:effectExtent l="0" t="0" r="0" b="9525"/>
            <wp:docPr id="1375857425"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57425" name="图片 2"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0150" cy="223837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223EE196" w14:textId="4F3A8476" w:rsidR="00A42B48" w:rsidRDefault="00A1609A" w:rsidP="00B00DB4">
      <w:pPr>
        <w:spacing w:before="103" w:line="256" w:lineRule="auto"/>
        <w:ind w:right="210" w:firstLine="420"/>
        <w:rPr>
          <w:rFonts w:ascii="微软雅黑" w:eastAsia="微软雅黑" w:hAnsi="微软雅黑" w:cs="微软雅黑" w:hint="eastAsia"/>
          <w:spacing w:val="7"/>
          <w:lang w:eastAsia="zh-CN"/>
        </w:rPr>
      </w:pPr>
      <w:r w:rsidRPr="00A1609A">
        <w:rPr>
          <w:rFonts w:ascii="微软雅黑" w:eastAsia="微软雅黑" w:hAnsi="微软雅黑" w:cs="微软雅黑"/>
          <w:spacing w:val="7"/>
          <w:lang w:eastAsia="zh-CN"/>
        </w:rPr>
        <w:t>截至1月29日，</w:t>
      </w:r>
      <w:proofErr w:type="gramStart"/>
      <w:r w:rsidRPr="00A1609A">
        <w:rPr>
          <w:rFonts w:ascii="微软雅黑" w:eastAsia="微软雅黑" w:hAnsi="微软雅黑" w:cs="微软雅黑"/>
          <w:spacing w:val="7"/>
          <w:lang w:eastAsia="zh-CN"/>
        </w:rPr>
        <w:t>标普</w:t>
      </w:r>
      <w:proofErr w:type="gramEnd"/>
      <w:r w:rsidRPr="00A1609A">
        <w:rPr>
          <w:rFonts w:ascii="微软雅黑" w:eastAsia="微软雅黑" w:hAnsi="微软雅黑" w:cs="微软雅黑"/>
          <w:spacing w:val="7"/>
          <w:lang w:eastAsia="zh-CN"/>
        </w:rPr>
        <w:t>500指数下跌0.13%至6969.01点；</w:t>
      </w:r>
      <w:proofErr w:type="gramStart"/>
      <w:r w:rsidRPr="00A1609A">
        <w:rPr>
          <w:rFonts w:ascii="微软雅黑" w:eastAsia="微软雅黑" w:hAnsi="微软雅黑" w:cs="微软雅黑"/>
          <w:spacing w:val="7"/>
          <w:lang w:eastAsia="zh-CN"/>
        </w:rPr>
        <w:t>迷你标普</w:t>
      </w:r>
      <w:proofErr w:type="gramEnd"/>
      <w:r w:rsidRPr="00A1609A">
        <w:rPr>
          <w:rFonts w:ascii="微软雅黑" w:eastAsia="微软雅黑" w:hAnsi="微软雅黑" w:cs="微软雅黑"/>
          <w:spacing w:val="7"/>
          <w:lang w:eastAsia="zh-CN"/>
        </w:rPr>
        <w:t>500主力合约下跌0.38%至6989.75点。货币政策层面，美联储于FOMC议</w:t>
      </w:r>
      <w:proofErr w:type="gramStart"/>
      <w:r w:rsidRPr="00A1609A">
        <w:rPr>
          <w:rFonts w:ascii="微软雅黑" w:eastAsia="微软雅黑" w:hAnsi="微软雅黑" w:cs="微软雅黑"/>
          <w:spacing w:val="7"/>
          <w:lang w:eastAsia="zh-CN"/>
        </w:rPr>
        <w:t>息会议</w:t>
      </w:r>
      <w:proofErr w:type="gramEnd"/>
      <w:r w:rsidRPr="00A1609A">
        <w:rPr>
          <w:rFonts w:ascii="微软雅黑" w:eastAsia="微软雅黑" w:hAnsi="微软雅黑" w:cs="微软雅黑"/>
          <w:spacing w:val="7"/>
          <w:lang w:eastAsia="zh-CN"/>
        </w:rPr>
        <w:t>如期维持利率按兵不动，符合市场预期。此前美联储已于去年连续三次降息，使利率降至2022年以来最低水平。会议声明删除就业面临的下行风险上升和通胀已经上升的相关措辞，同时指出经济活动以稳健的速度扩张。会议声明呈中性基调。鲍威尔在新闻发布会上的表态同样呈</w:t>
      </w:r>
      <w:proofErr w:type="gramStart"/>
      <w:r w:rsidRPr="00A1609A">
        <w:rPr>
          <w:rFonts w:ascii="微软雅黑" w:eastAsia="微软雅黑" w:hAnsi="微软雅黑" w:cs="微软雅黑"/>
          <w:spacing w:val="7"/>
          <w:lang w:eastAsia="zh-CN"/>
        </w:rPr>
        <w:t>中性且</w:t>
      </w:r>
      <w:proofErr w:type="gramEnd"/>
      <w:r w:rsidRPr="00A1609A">
        <w:rPr>
          <w:rFonts w:ascii="微软雅黑" w:eastAsia="微软雅黑" w:hAnsi="微软雅黑" w:cs="微软雅黑"/>
          <w:spacing w:val="7"/>
          <w:lang w:eastAsia="zh-CN"/>
        </w:rPr>
        <w:t>未给予过多指引。财政方面，当地时间1月29日，美国国会参议院在程序性投票中未能推进已获众议院通过的政府拨款法案，美国数个联邦部门的运转资金将于1月30日耗尽。政府面临再度停摆对美股带来些许下行压力。个股方面，微软</w:t>
      </w:r>
      <w:proofErr w:type="gramStart"/>
      <w:r w:rsidRPr="00A1609A">
        <w:rPr>
          <w:rFonts w:ascii="微软雅黑" w:eastAsia="微软雅黑" w:hAnsi="微软雅黑" w:cs="微软雅黑"/>
          <w:spacing w:val="7"/>
          <w:lang w:eastAsia="zh-CN"/>
        </w:rPr>
        <w:t>云业务营收表现</w:t>
      </w:r>
      <w:proofErr w:type="gramEnd"/>
      <w:r w:rsidRPr="00A1609A">
        <w:rPr>
          <w:rFonts w:ascii="微软雅黑" w:eastAsia="微软雅黑" w:hAnsi="微软雅黑" w:cs="微软雅黑"/>
          <w:spacing w:val="7"/>
          <w:lang w:eastAsia="zh-CN"/>
        </w:rPr>
        <w:t>欠佳，引发市场对其AI开支于回报的担忧。其他软件公司也因相似问题而集体下跌。整体来看，软件股</w:t>
      </w:r>
      <w:proofErr w:type="gramStart"/>
      <w:r w:rsidRPr="00A1609A">
        <w:rPr>
          <w:rFonts w:ascii="微软雅黑" w:eastAsia="微软雅黑" w:hAnsi="微软雅黑" w:cs="微软雅黑"/>
          <w:spacing w:val="7"/>
          <w:lang w:eastAsia="zh-CN"/>
        </w:rPr>
        <w:t>回调给标普</w:t>
      </w:r>
      <w:proofErr w:type="gramEnd"/>
      <w:r w:rsidRPr="00A1609A">
        <w:rPr>
          <w:rFonts w:ascii="微软雅黑" w:eastAsia="微软雅黑" w:hAnsi="微软雅黑" w:cs="微软雅黑"/>
          <w:spacing w:val="7"/>
          <w:lang w:eastAsia="zh-CN"/>
        </w:rPr>
        <w:t>500带来下行压力，同时宏观消息扰动也加剧回调风险</w:t>
      </w:r>
      <w:r w:rsidR="00A42B48" w:rsidRPr="00A42B48">
        <w:rPr>
          <w:rFonts w:ascii="微软雅黑" w:eastAsia="微软雅黑" w:hAnsi="微软雅黑" w:cs="微软雅黑"/>
          <w:spacing w:val="7"/>
          <w:lang w:eastAsia="zh-CN"/>
        </w:rPr>
        <w:t>。</w:t>
      </w:r>
    </w:p>
    <w:p w14:paraId="3E7D9146" w14:textId="03C7C78B"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2FB9A777" w:rsidR="007A477E" w:rsidRPr="00EE7376" w:rsidRDefault="00A1609A" w:rsidP="006B6996">
      <w:pPr>
        <w:spacing w:before="103" w:line="256" w:lineRule="auto"/>
        <w:ind w:right="210" w:firstLine="420"/>
        <w:jc w:val="center"/>
        <w:rPr>
          <w:rFonts w:ascii="微软雅黑" w:eastAsia="微软雅黑" w:hAnsi="微软雅黑" w:cs="微软雅黑" w:hint="eastAsia"/>
          <w:spacing w:val="7"/>
          <w:lang w:eastAsia="zh-CN"/>
        </w:rPr>
      </w:pPr>
      <w:r w:rsidRPr="00E56439">
        <w:rPr>
          <w:rFonts w:ascii="Helvetica" w:hAnsi="Helvetica" w:cs="Helvetica"/>
          <w:noProof/>
          <w:shd w:val="clear" w:color="auto" w:fill="FFFFFF"/>
        </w:rPr>
        <w:drawing>
          <wp:inline distT="0" distB="0" distL="0" distR="0" wp14:anchorId="005A3D87" wp14:editId="4732A009">
            <wp:extent cx="5274310" cy="1563708"/>
            <wp:effectExtent l="0" t="0" r="2540" b="0"/>
            <wp:docPr id="2" name="图片 2" descr="C:\Users\Administrator\xwechat_files\wxid_vkxlzo0vqu7s22_6f5b\temp\InputTemp\97c2cba0-ac24-4e98-a69c-52953d66b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97c2cba0-ac24-4e98-a69c-52953d66b98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3708"/>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01FA9F2E" w:rsidR="00A42B48" w:rsidRDefault="00A1609A" w:rsidP="000511AA">
      <w:pPr>
        <w:spacing w:before="103" w:line="256" w:lineRule="auto"/>
        <w:ind w:right="210" w:firstLine="420"/>
        <w:jc w:val="both"/>
        <w:rPr>
          <w:rFonts w:ascii="微软雅黑" w:eastAsia="微软雅黑" w:hAnsi="微软雅黑" w:cs="微软雅黑" w:hint="eastAsia"/>
          <w:spacing w:val="7"/>
          <w:lang w:eastAsia="zh-CN"/>
        </w:rPr>
      </w:pPr>
      <w:r w:rsidRPr="00A1609A">
        <w:rPr>
          <w:rFonts w:ascii="微软雅黑" w:eastAsia="微软雅黑" w:hAnsi="微软雅黑" w:cs="微软雅黑"/>
          <w:spacing w:val="7"/>
          <w:lang w:eastAsia="zh-CN"/>
        </w:rPr>
        <w:t>截至1月29日，富时中国A50指数上涨1.41%至15081.49；新交所富时A50期指主力合约上涨1.68%至15113。国内方面，经济基本面，2025年我国</w:t>
      </w:r>
      <w:proofErr w:type="gramStart"/>
      <w:r w:rsidRPr="00A1609A">
        <w:rPr>
          <w:rFonts w:ascii="微软雅黑" w:eastAsia="微软雅黑" w:hAnsi="微软雅黑" w:cs="微软雅黑"/>
          <w:spacing w:val="7"/>
          <w:lang w:eastAsia="zh-CN"/>
        </w:rPr>
        <w:t>规</w:t>
      </w:r>
      <w:proofErr w:type="gramEnd"/>
      <w:r w:rsidRPr="00A1609A">
        <w:rPr>
          <w:rFonts w:ascii="微软雅黑" w:eastAsia="微软雅黑" w:hAnsi="微软雅黑" w:cs="微软雅黑"/>
          <w:spacing w:val="7"/>
          <w:lang w:eastAsia="zh-CN"/>
        </w:rPr>
        <w:t>上工业企业利润较2024年相比由负转正，终结连续三年下降态势；12月单月利润同样由下降转为增加。</w:t>
      </w:r>
      <w:proofErr w:type="gramStart"/>
      <w:r w:rsidRPr="00A1609A">
        <w:rPr>
          <w:rFonts w:ascii="微软雅黑" w:eastAsia="微软雅黑" w:hAnsi="微软雅黑" w:cs="微软雅黑"/>
          <w:spacing w:val="7"/>
          <w:lang w:eastAsia="zh-CN"/>
        </w:rPr>
        <w:t>此前公布</w:t>
      </w:r>
      <w:proofErr w:type="gramEnd"/>
      <w:r w:rsidRPr="00A1609A">
        <w:rPr>
          <w:rFonts w:ascii="微软雅黑" w:eastAsia="微软雅黑" w:hAnsi="微软雅黑" w:cs="微软雅黑"/>
          <w:spacing w:val="7"/>
          <w:lang w:eastAsia="zh-CN"/>
        </w:rPr>
        <w:t>的数据显示，12月份除</w:t>
      </w:r>
      <w:proofErr w:type="gramStart"/>
      <w:r w:rsidRPr="00A1609A">
        <w:rPr>
          <w:rFonts w:ascii="微软雅黑" w:eastAsia="微软雅黑" w:hAnsi="微软雅黑" w:cs="微软雅黑"/>
          <w:spacing w:val="7"/>
          <w:lang w:eastAsia="zh-CN"/>
        </w:rPr>
        <w:t>规</w:t>
      </w:r>
      <w:proofErr w:type="gramEnd"/>
      <w:r w:rsidRPr="00A1609A">
        <w:rPr>
          <w:rFonts w:ascii="微软雅黑" w:eastAsia="微软雅黑" w:hAnsi="微软雅黑" w:cs="微软雅黑"/>
          <w:spacing w:val="7"/>
          <w:lang w:eastAsia="zh-CN"/>
        </w:rPr>
        <w:t>上工业增加值外，固投、社零、出口同比均较11月回落。个股方面，已发布2025年业绩预告的公司中，仅有约三分之一的</w:t>
      </w:r>
      <w:r w:rsidRPr="00A1609A">
        <w:rPr>
          <w:rFonts w:ascii="微软雅黑" w:eastAsia="微软雅黑" w:hAnsi="微软雅黑" w:cs="微软雅黑"/>
          <w:spacing w:val="7"/>
          <w:lang w:eastAsia="zh-CN"/>
        </w:rPr>
        <w:lastRenderedPageBreak/>
        <w:t>公司预喜，但值得注意的是</w:t>
      </w:r>
      <w:proofErr w:type="gramStart"/>
      <w:r w:rsidRPr="00A1609A">
        <w:rPr>
          <w:rFonts w:ascii="微软雅黑" w:eastAsia="微软雅黑" w:hAnsi="微软雅黑" w:cs="微软雅黑"/>
          <w:spacing w:val="7"/>
          <w:lang w:eastAsia="zh-CN"/>
        </w:rPr>
        <w:t>利润预喜的</w:t>
      </w:r>
      <w:proofErr w:type="gramEnd"/>
      <w:r w:rsidRPr="00A1609A">
        <w:rPr>
          <w:rFonts w:ascii="微软雅黑" w:eastAsia="微软雅黑" w:hAnsi="微软雅黑" w:cs="微软雅黑"/>
          <w:spacing w:val="7"/>
          <w:lang w:eastAsia="zh-CN"/>
        </w:rPr>
        <w:t>公司多数集中在人工智能等高技术产业。整体来看，目前，A股市场积极因素仍然较多，2025年</w:t>
      </w:r>
      <w:proofErr w:type="gramStart"/>
      <w:r w:rsidRPr="00A1609A">
        <w:rPr>
          <w:rFonts w:ascii="微软雅黑" w:eastAsia="微软雅黑" w:hAnsi="微软雅黑" w:cs="微软雅黑"/>
          <w:spacing w:val="7"/>
          <w:lang w:eastAsia="zh-CN"/>
        </w:rPr>
        <w:t>规</w:t>
      </w:r>
      <w:proofErr w:type="gramEnd"/>
      <w:r w:rsidRPr="00A1609A">
        <w:rPr>
          <w:rFonts w:ascii="微软雅黑" w:eastAsia="微软雅黑" w:hAnsi="微软雅黑" w:cs="微软雅黑"/>
          <w:spacing w:val="7"/>
          <w:lang w:eastAsia="zh-CN"/>
        </w:rPr>
        <w:t>上工业企业利润增速转正，表明经济基本面已开始逐步修复，同时在航空航天、人工智能等代表新质生产力的产业带动</w:t>
      </w:r>
      <w:proofErr w:type="gramStart"/>
      <w:r w:rsidRPr="00A1609A">
        <w:rPr>
          <w:rFonts w:ascii="微软雅黑" w:eastAsia="微软雅黑" w:hAnsi="微软雅黑" w:cs="微软雅黑"/>
          <w:spacing w:val="7"/>
          <w:lang w:eastAsia="zh-CN"/>
        </w:rPr>
        <w:t>下工业</w:t>
      </w:r>
      <w:proofErr w:type="gramEnd"/>
      <w:r w:rsidRPr="00A1609A">
        <w:rPr>
          <w:rFonts w:ascii="微软雅黑" w:eastAsia="微软雅黑" w:hAnsi="微软雅黑" w:cs="微软雅黑"/>
          <w:spacing w:val="7"/>
          <w:lang w:eastAsia="zh-CN"/>
        </w:rPr>
        <w:t>生产稳步增长，而上市公司年报业绩预告也呼应了这一现象。最后，在美元走弱和国内经济复苏预期下，人民币仍处于升值通道，人民币汇率维持强势带动股市上涨。春季行情仍在不断推进中</w:t>
      </w:r>
      <w:r w:rsidR="00A42B48" w:rsidRPr="00A42B48">
        <w:rPr>
          <w:rFonts w:ascii="微软雅黑" w:eastAsia="微软雅黑" w:hAnsi="微软雅黑" w:cs="微软雅黑"/>
          <w:spacing w:val="7"/>
          <w:lang w:eastAsia="zh-CN"/>
        </w:rPr>
        <w:t>。</w:t>
      </w:r>
      <w:r w:rsidR="00A42B48">
        <w:rPr>
          <w:rFonts w:ascii="微软雅黑" w:eastAsia="微软雅黑" w:hAnsi="微软雅黑" w:cs="微软雅黑" w:hint="eastAsia"/>
          <w:spacing w:val="7"/>
          <w:lang w:eastAsia="zh-CN"/>
        </w:rPr>
        <w:t xml:space="preserve"> </w:t>
      </w:r>
    </w:p>
    <w:p w14:paraId="11AC0A6A" w14:textId="656ADA00" w:rsidR="009372C5" w:rsidRPr="00C07FA3" w:rsidRDefault="00A42B48" w:rsidP="000511AA">
      <w:pPr>
        <w:spacing w:before="103" w:line="256" w:lineRule="auto"/>
        <w:ind w:right="21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1E13DA01" w:rsidR="00A10388" w:rsidRDefault="00A1609A" w:rsidP="00A10388">
      <w:pPr>
        <w:spacing w:before="120" w:line="190" w:lineRule="auto"/>
        <w:ind w:right="210" w:firstLine="448"/>
        <w:jc w:val="center"/>
        <w:rPr>
          <w:rFonts w:ascii="新宋体" w:eastAsia="新宋体" w:hAnsi="新宋体" w:hint="eastAsia"/>
          <w:lang w:eastAsia="zh-CN"/>
        </w:rPr>
      </w:pPr>
      <w:r w:rsidRPr="00245620">
        <w:rPr>
          <w:rFonts w:ascii="宋体" w:eastAsia="宋体" w:hAnsi="宋体" w:cs="Times New Roman"/>
          <w:noProof/>
        </w:rPr>
        <w:drawing>
          <wp:inline distT="0" distB="0" distL="0" distR="0" wp14:anchorId="7A9F1A72" wp14:editId="20C1D5C5">
            <wp:extent cx="5274310" cy="1558246"/>
            <wp:effectExtent l="0" t="0" r="2540" b="4445"/>
            <wp:docPr id="1103188514" name="图片 1103188514" descr="C:\Users\Administrator\xwechat_files\wxid_vkxlzo0vqu7s22_6f5b\temp\InputTemp\582afc26-3421-458b-b1fd-2020323217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582afc26-3421-458b-b1fd-2020323217c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8246"/>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3E329931" w:rsidR="00AC6ADE" w:rsidRDefault="00A1609A" w:rsidP="00F51117">
      <w:pPr>
        <w:spacing w:before="103" w:line="256" w:lineRule="auto"/>
        <w:ind w:right="210" w:firstLine="448"/>
        <w:jc w:val="both"/>
        <w:rPr>
          <w:rFonts w:ascii="微软雅黑" w:eastAsia="微软雅黑" w:hAnsi="微软雅黑" w:cs="微软雅黑" w:hint="eastAsia"/>
          <w:spacing w:val="12"/>
          <w:lang w:eastAsia="zh-CN"/>
        </w:rPr>
      </w:pPr>
      <w:r w:rsidRPr="00A1609A">
        <w:rPr>
          <w:rFonts w:ascii="微软雅黑" w:eastAsia="微软雅黑" w:hAnsi="微软雅黑" w:cs="微软雅黑"/>
          <w:spacing w:val="12"/>
          <w:lang w:eastAsia="zh-CN"/>
        </w:rPr>
        <w:t>隔夜COMEX铜冲高回落，报收6.282元/磅，涨跌幅+6.03%。国际方面，美国国会参议院在程序性投票中未能推进已获众议院通过的政府拨款法案，美国联邦政府再次面临部分“停摆”的危机。美国数个联邦部门的运转资金将于1月30日耗尽。国内方面，国务院办公厅印发《加快培育服务消费新增长点工作方案》，从激发重点领域发展活力、培育潜力领域发展动能、加强支持保障三方面提出12条政策举措。方案划出了交通、家政、网络视听、旅居、汽车后市场、入境消费这些重点服务消费领域。库存方面，截至2026年1月29日，COMEX铜库存为575133短吨，环比+2856短吨；LME铜库存为176075吨，环比+2150吨；SHFE每日仓单151628吨，环比+3590吨。美元美债方面，尽管美联储释放出略偏鹰派的信号为美元提供了一定支撑，但投资者对美国政策前景仍心存疑虑，美元指数在美</w:t>
      </w:r>
      <w:proofErr w:type="gramStart"/>
      <w:r w:rsidRPr="00A1609A">
        <w:rPr>
          <w:rFonts w:ascii="微软雅黑" w:eastAsia="微软雅黑" w:hAnsi="微软雅黑" w:cs="微软雅黑"/>
          <w:spacing w:val="12"/>
          <w:lang w:eastAsia="zh-CN"/>
        </w:rPr>
        <w:t>盘阶段</w:t>
      </w:r>
      <w:proofErr w:type="gramEnd"/>
      <w:r w:rsidRPr="00A1609A">
        <w:rPr>
          <w:rFonts w:ascii="微软雅黑" w:eastAsia="微软雅黑" w:hAnsi="微软雅黑" w:cs="微软雅黑"/>
          <w:spacing w:val="12"/>
          <w:lang w:eastAsia="zh-CN"/>
        </w:rPr>
        <w:t>一度涨至96.66的日内高点，随后急速下滑并回吐日内全部涨幅，</w:t>
      </w:r>
      <w:proofErr w:type="gramStart"/>
      <w:r w:rsidRPr="00A1609A">
        <w:rPr>
          <w:rFonts w:ascii="微软雅黑" w:eastAsia="微软雅黑" w:hAnsi="微软雅黑" w:cs="微软雅黑"/>
          <w:spacing w:val="12"/>
          <w:lang w:eastAsia="zh-CN"/>
        </w:rPr>
        <w:t>最终收跌</w:t>
      </w:r>
      <w:proofErr w:type="gramEnd"/>
      <w:r w:rsidRPr="00A1609A">
        <w:rPr>
          <w:rFonts w:ascii="微软雅黑" w:eastAsia="微软雅黑" w:hAnsi="微软雅黑" w:cs="微软雅黑"/>
          <w:spacing w:val="12"/>
          <w:lang w:eastAsia="zh-CN"/>
        </w:rPr>
        <w:t>0.19%，报96.15；基准的</w:t>
      </w:r>
      <w:proofErr w:type="gramStart"/>
      <w:r w:rsidRPr="00A1609A">
        <w:rPr>
          <w:rFonts w:ascii="微软雅黑" w:eastAsia="微软雅黑" w:hAnsi="微软雅黑" w:cs="微软雅黑"/>
          <w:spacing w:val="12"/>
          <w:lang w:eastAsia="zh-CN"/>
        </w:rPr>
        <w:t>10年期美债</w:t>
      </w:r>
      <w:proofErr w:type="gramEnd"/>
      <w:r w:rsidRPr="00A1609A">
        <w:rPr>
          <w:rFonts w:ascii="微软雅黑" w:eastAsia="微软雅黑" w:hAnsi="微软雅黑" w:cs="微软雅黑"/>
          <w:spacing w:val="12"/>
          <w:lang w:eastAsia="zh-CN"/>
        </w:rPr>
        <w:t>收益率收报4.240%，对美联储政策利率敏感的</w:t>
      </w:r>
      <w:proofErr w:type="gramStart"/>
      <w:r w:rsidRPr="00A1609A">
        <w:rPr>
          <w:rFonts w:ascii="微软雅黑" w:eastAsia="微软雅黑" w:hAnsi="微软雅黑" w:cs="微软雅黑"/>
          <w:spacing w:val="12"/>
          <w:lang w:eastAsia="zh-CN"/>
        </w:rPr>
        <w:t>2年期美债</w:t>
      </w:r>
      <w:proofErr w:type="gramEnd"/>
      <w:r w:rsidRPr="00A1609A">
        <w:rPr>
          <w:rFonts w:ascii="微软雅黑" w:eastAsia="微软雅黑" w:hAnsi="微软雅黑" w:cs="微软雅黑"/>
          <w:spacing w:val="12"/>
          <w:lang w:eastAsia="zh-CN"/>
        </w:rPr>
        <w:t>收益率收报3.567%。操作建议，</w:t>
      </w:r>
      <w:proofErr w:type="gramStart"/>
      <w:r w:rsidRPr="00A1609A">
        <w:rPr>
          <w:rFonts w:ascii="微软雅黑" w:eastAsia="微软雅黑" w:hAnsi="微软雅黑" w:cs="微软雅黑"/>
          <w:spacing w:val="12"/>
          <w:lang w:eastAsia="zh-CN"/>
        </w:rPr>
        <w:t>纽</w:t>
      </w:r>
      <w:proofErr w:type="gramEnd"/>
      <w:r w:rsidRPr="00A1609A">
        <w:rPr>
          <w:rFonts w:ascii="微软雅黑" w:eastAsia="微软雅黑" w:hAnsi="微软雅黑" w:cs="微软雅黑"/>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0380A837" w:rsidR="00A02266" w:rsidRDefault="00A1609A" w:rsidP="006B6996">
      <w:pPr>
        <w:spacing w:before="103" w:line="256" w:lineRule="auto"/>
        <w:ind w:right="210"/>
        <w:jc w:val="center"/>
      </w:pPr>
      <w:r>
        <w:rPr>
          <w:noProof/>
        </w:rPr>
        <w:lastRenderedPageBreak/>
        <w:drawing>
          <wp:inline distT="0" distB="0" distL="0" distR="0" wp14:anchorId="79C20B70" wp14:editId="243DB024">
            <wp:extent cx="5274310" cy="2572385"/>
            <wp:effectExtent l="0" t="0" r="2540" b="0"/>
            <wp:docPr id="2000538633" name="图片 2000538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72385"/>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78E09620" w14:textId="1D240A7B" w:rsidR="003E540D" w:rsidRDefault="00A1609A" w:rsidP="00B00DB4">
      <w:pPr>
        <w:spacing w:before="103" w:line="256" w:lineRule="auto"/>
        <w:ind w:right="210" w:firstLine="468"/>
        <w:jc w:val="both"/>
        <w:rPr>
          <w:rFonts w:ascii="黑体" w:eastAsia="黑体" w:hAnsi="黑体" w:hint="eastAsia"/>
          <w:sz w:val="24"/>
          <w:lang w:eastAsia="zh-CN"/>
        </w:rPr>
      </w:pPr>
      <w:r w:rsidRPr="00A1609A">
        <w:rPr>
          <w:rFonts w:ascii="微软雅黑" w:eastAsia="微软雅黑" w:hAnsi="微软雅黑" w:cs="微软雅黑"/>
          <w:spacing w:val="12"/>
          <w:lang w:eastAsia="zh-CN"/>
        </w:rPr>
        <w:t>隔夜，受海外市场恐慌性抛售情绪影响，贵金属市场上演剧烈波动，伦敦金银现</w:t>
      </w:r>
      <w:proofErr w:type="gramStart"/>
      <w:r w:rsidRPr="00A1609A">
        <w:rPr>
          <w:rFonts w:ascii="微软雅黑" w:eastAsia="微软雅黑" w:hAnsi="微软雅黑" w:cs="微软雅黑"/>
          <w:spacing w:val="12"/>
          <w:lang w:eastAsia="zh-CN"/>
        </w:rPr>
        <w:t>货价续创历史</w:t>
      </w:r>
      <w:proofErr w:type="gramEnd"/>
      <w:r w:rsidRPr="00A1609A">
        <w:rPr>
          <w:rFonts w:ascii="微软雅黑" w:eastAsia="微软雅黑" w:hAnsi="微软雅黑" w:cs="微软雅黑"/>
          <w:spacing w:val="12"/>
          <w:lang w:eastAsia="zh-CN"/>
        </w:rPr>
        <w:t>新高后均大幅跳水，日内最大跌幅分别超5%、8%，</w:t>
      </w:r>
      <w:proofErr w:type="gramStart"/>
      <w:r w:rsidRPr="00A1609A">
        <w:rPr>
          <w:rFonts w:ascii="微软雅黑" w:eastAsia="微软雅黑" w:hAnsi="微软雅黑" w:cs="微软雅黑"/>
          <w:spacing w:val="12"/>
          <w:lang w:eastAsia="zh-CN"/>
        </w:rPr>
        <w:t>沪银主力</w:t>
      </w:r>
      <w:proofErr w:type="gramEnd"/>
      <w:r w:rsidRPr="00A1609A">
        <w:rPr>
          <w:rFonts w:ascii="微软雅黑" w:eastAsia="微软雅黑" w:hAnsi="微软雅黑" w:cs="微软雅黑"/>
          <w:spacing w:val="12"/>
          <w:lang w:eastAsia="zh-CN"/>
        </w:rPr>
        <w:t>合约一度下挫近14%，但后续受避险买盘支撑，跌幅迅速收窄。地缘方面，美伊局势持续升温，美国总统特朗普表示正考虑对伊朗发动新的重大打击，伊方领导人给予强硬回应，市场避险情绪高企，美元维持偏弱走势，贵金属避险对冲及货币属性得到提振。世界黄金协会最新数据显示，2025年全球黄金总需求达5002吨，创历史新高，黄金需求总金额达5550亿美元。其中，黄金投资需求提高到2175吨的里程碑水平，全年黄金ETF净持仓录得801吨增长，继续为金价提供较强支撑。宏观层面，美联储如期维持利率按兵不动，未来将延续数据依赖路径，符合市场预期。从市场反应来看，利率期货显示今年3月降息预期减弱，但下半年</w:t>
      </w:r>
      <w:proofErr w:type="gramStart"/>
      <w:r w:rsidRPr="00A1609A">
        <w:rPr>
          <w:rFonts w:ascii="微软雅黑" w:eastAsia="微软雅黑" w:hAnsi="微软雅黑" w:cs="微软雅黑"/>
          <w:spacing w:val="12"/>
          <w:lang w:eastAsia="zh-CN"/>
        </w:rPr>
        <w:t>逐步重</w:t>
      </w:r>
      <w:proofErr w:type="gramEnd"/>
      <w:r w:rsidRPr="00A1609A">
        <w:rPr>
          <w:rFonts w:ascii="微软雅黑" w:eastAsia="微软雅黑" w:hAnsi="微软雅黑" w:cs="微软雅黑"/>
          <w:spacing w:val="12"/>
          <w:lang w:eastAsia="zh-CN"/>
        </w:rPr>
        <w:t>启降息预期仍存。在通胀和就业数据趋于平缓的基准假设下，伴随美联储重</w:t>
      </w:r>
      <w:proofErr w:type="gramStart"/>
      <w:r w:rsidRPr="00A1609A">
        <w:rPr>
          <w:rFonts w:ascii="微软雅黑" w:eastAsia="微软雅黑" w:hAnsi="微软雅黑" w:cs="微软雅黑"/>
          <w:spacing w:val="12"/>
          <w:lang w:eastAsia="zh-CN"/>
        </w:rPr>
        <w:t>启扩表</w:t>
      </w:r>
      <w:proofErr w:type="gramEnd"/>
      <w:r w:rsidRPr="00A1609A">
        <w:rPr>
          <w:rFonts w:ascii="微软雅黑" w:eastAsia="微软雅黑" w:hAnsi="微软雅黑" w:cs="微软雅黑"/>
          <w:spacing w:val="12"/>
          <w:lang w:eastAsia="zh-CN"/>
        </w:rPr>
        <w:t>，市场流动性整体趋于宽松，贵金属整体看多逻辑尚未发生明显松动，但短期市场波动明显放大，建议观望为主。运行区间方面，伦敦</w:t>
      </w:r>
      <w:proofErr w:type="gramStart"/>
      <w:r w:rsidRPr="00A1609A">
        <w:rPr>
          <w:rFonts w:ascii="微软雅黑" w:eastAsia="微软雅黑" w:hAnsi="微软雅黑" w:cs="微软雅黑"/>
          <w:spacing w:val="12"/>
          <w:lang w:eastAsia="zh-CN"/>
        </w:rPr>
        <w:t>金关注</w:t>
      </w:r>
      <w:proofErr w:type="gramEnd"/>
      <w:r w:rsidRPr="00A1609A">
        <w:rPr>
          <w:rFonts w:ascii="微软雅黑" w:eastAsia="微软雅黑" w:hAnsi="微软雅黑" w:cs="微软雅黑"/>
          <w:spacing w:val="12"/>
          <w:lang w:eastAsia="zh-CN"/>
        </w:rPr>
        <w:t>上方阻力位5500美元/盎司，下方支撑位5000美元/盎司；伦敦</w:t>
      </w:r>
      <w:proofErr w:type="gramStart"/>
      <w:r w:rsidRPr="00A1609A">
        <w:rPr>
          <w:rFonts w:ascii="微软雅黑" w:eastAsia="微软雅黑" w:hAnsi="微软雅黑" w:cs="微软雅黑"/>
          <w:spacing w:val="12"/>
          <w:lang w:eastAsia="zh-CN"/>
        </w:rPr>
        <w:t>银关注</w:t>
      </w:r>
      <w:proofErr w:type="gramEnd"/>
      <w:r w:rsidRPr="00A1609A">
        <w:rPr>
          <w:rFonts w:ascii="微软雅黑" w:eastAsia="微软雅黑" w:hAnsi="微软雅黑" w:cs="微软雅黑"/>
          <w:spacing w:val="12"/>
          <w:lang w:eastAsia="zh-CN"/>
        </w:rPr>
        <w:t>上方阻力位120美元/盎司，下方支撑位100美元/盎司</w:t>
      </w:r>
      <w:r w:rsidR="003E540D">
        <w:rPr>
          <w:rFonts w:ascii="微软雅黑" w:eastAsia="微软雅黑" w:hAnsi="微软雅黑" w:cs="微软雅黑" w:hint="eastAsia"/>
          <w:spacing w:val="12"/>
          <w:lang w:eastAsia="zh-CN"/>
        </w:rPr>
        <w:t>。</w:t>
      </w:r>
    </w:p>
    <w:p w14:paraId="6AF3D94C" w14:textId="4E3C42EE"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99531A9" w:rsidR="007A477E" w:rsidRDefault="00A1609A"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760B32">
        <w:rPr>
          <w:rFonts w:ascii="黑体" w:eastAsia="黑体" w:hAnsi="黑体"/>
          <w:noProof/>
          <w:sz w:val="24"/>
          <w:lang w:eastAsia="zh"/>
        </w:rPr>
        <w:drawing>
          <wp:inline distT="0" distB="0" distL="0" distR="0" wp14:anchorId="6B9F2624" wp14:editId="538715C2">
            <wp:extent cx="5095875" cy="2314575"/>
            <wp:effectExtent l="0" t="0" r="9525" b="9525"/>
            <wp:docPr id="1694066852" name="图片 3"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66852" name="图片 3" descr="图表, 折线图,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5875" cy="23145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6B9D2293" w14:textId="77777777" w:rsidR="00A1609A" w:rsidRPr="00A1609A" w:rsidRDefault="00A1609A" w:rsidP="00A1609A">
      <w:pPr>
        <w:spacing w:before="103" w:line="256" w:lineRule="auto"/>
        <w:ind w:right="210" w:firstLine="468"/>
        <w:jc w:val="both"/>
        <w:rPr>
          <w:rFonts w:ascii="微软雅黑" w:eastAsia="微软雅黑" w:hAnsi="微软雅黑" w:cs="微软雅黑"/>
          <w:noProof/>
          <w:spacing w:val="7"/>
          <w:lang w:eastAsia="zh-CN"/>
        </w:rPr>
      </w:pPr>
      <w:r w:rsidRPr="00A1609A">
        <w:rPr>
          <w:rFonts w:ascii="微软雅黑" w:eastAsia="微软雅黑" w:hAnsi="微软雅黑" w:cs="微软雅黑" w:hint="eastAsia"/>
          <w:noProof/>
          <w:spacing w:val="7"/>
          <w:lang w:eastAsia="zh-CN"/>
        </w:rPr>
        <w:t>洲际交易所</w:t>
      </w:r>
      <w:r w:rsidRPr="00A1609A">
        <w:rPr>
          <w:rFonts w:ascii="微软雅黑" w:eastAsia="微软雅黑" w:hAnsi="微软雅黑" w:cs="微软雅黑"/>
          <w:noProof/>
          <w:spacing w:val="7"/>
          <w:lang w:eastAsia="zh-CN"/>
        </w:rPr>
        <w:t>(ICE)</w:t>
      </w:r>
      <w:r w:rsidRPr="00A1609A">
        <w:rPr>
          <w:rFonts w:ascii="微软雅黑" w:eastAsia="微软雅黑" w:hAnsi="微软雅黑" w:cs="微软雅黑" w:hint="eastAsia"/>
          <w:noProof/>
          <w:spacing w:val="7"/>
          <w:lang w:eastAsia="zh-CN"/>
        </w:rPr>
        <w:t>原糖期货周四大体持平，因供应过剩继续施压，但交易商警告未来市场可能趋紧。</w:t>
      </w:r>
      <w:r w:rsidRPr="00A1609A">
        <w:rPr>
          <w:rFonts w:ascii="微软雅黑" w:eastAsia="微软雅黑" w:hAnsi="微软雅黑" w:cs="微软雅黑"/>
          <w:noProof/>
          <w:spacing w:val="7"/>
          <w:lang w:eastAsia="zh-CN"/>
        </w:rPr>
        <w:t>ICE</w:t>
      </w:r>
      <w:r w:rsidRPr="00A1609A">
        <w:rPr>
          <w:rFonts w:ascii="微软雅黑" w:eastAsia="微软雅黑" w:hAnsi="微软雅黑" w:cs="微软雅黑" w:hint="eastAsia"/>
          <w:noProof/>
          <w:spacing w:val="7"/>
          <w:lang w:eastAsia="zh-CN"/>
        </w:rPr>
        <w:t>交投最活跃的</w:t>
      </w:r>
      <w:r w:rsidRPr="00A1609A">
        <w:rPr>
          <w:rFonts w:ascii="微软雅黑" w:eastAsia="微软雅黑" w:hAnsi="微软雅黑" w:cs="微软雅黑"/>
          <w:noProof/>
          <w:spacing w:val="7"/>
          <w:lang w:eastAsia="zh-CN"/>
        </w:rPr>
        <w:t>3</w:t>
      </w:r>
      <w:r w:rsidRPr="00A1609A">
        <w:rPr>
          <w:rFonts w:ascii="微软雅黑" w:eastAsia="微软雅黑" w:hAnsi="微软雅黑" w:cs="微软雅黑" w:hint="eastAsia"/>
          <w:noProof/>
          <w:spacing w:val="7"/>
          <w:lang w:eastAsia="zh-CN"/>
        </w:rPr>
        <w:t>月原糖期货收跌</w:t>
      </w:r>
      <w:r w:rsidRPr="00A1609A">
        <w:rPr>
          <w:rFonts w:ascii="微软雅黑" w:eastAsia="微软雅黑" w:hAnsi="微软雅黑" w:cs="微软雅黑"/>
          <w:noProof/>
          <w:spacing w:val="7"/>
          <w:lang w:eastAsia="zh-CN"/>
        </w:rPr>
        <w:t>0.01</w:t>
      </w:r>
      <w:r w:rsidRPr="00A1609A">
        <w:rPr>
          <w:rFonts w:ascii="微软雅黑" w:eastAsia="微软雅黑" w:hAnsi="微软雅黑" w:cs="微软雅黑" w:hint="eastAsia"/>
          <w:noProof/>
          <w:spacing w:val="7"/>
          <w:lang w:eastAsia="zh-CN"/>
        </w:rPr>
        <w:t>美分或</w:t>
      </w:r>
      <w:r w:rsidRPr="00A1609A">
        <w:rPr>
          <w:rFonts w:ascii="微软雅黑" w:eastAsia="微软雅黑" w:hAnsi="微软雅黑" w:cs="微软雅黑"/>
          <w:noProof/>
          <w:spacing w:val="7"/>
          <w:lang w:eastAsia="zh-CN"/>
        </w:rPr>
        <w:t>0.07%</w:t>
      </w:r>
      <w:r w:rsidRPr="00A1609A">
        <w:rPr>
          <w:rFonts w:ascii="微软雅黑" w:eastAsia="微软雅黑" w:hAnsi="微软雅黑" w:cs="微软雅黑" w:hint="eastAsia"/>
          <w:noProof/>
          <w:spacing w:val="7"/>
          <w:lang w:eastAsia="zh-CN"/>
        </w:rPr>
        <w:t>，结算价报每磅</w:t>
      </w:r>
      <w:r w:rsidRPr="00A1609A">
        <w:rPr>
          <w:rFonts w:ascii="微软雅黑" w:eastAsia="微软雅黑" w:hAnsi="微软雅黑" w:cs="微软雅黑"/>
          <w:noProof/>
          <w:spacing w:val="7"/>
          <w:lang w:eastAsia="zh-CN"/>
        </w:rPr>
        <w:t>14.70</w:t>
      </w:r>
      <w:r w:rsidRPr="00A1609A">
        <w:rPr>
          <w:rFonts w:ascii="微软雅黑" w:eastAsia="微软雅黑" w:hAnsi="微软雅黑" w:cs="微软雅黑" w:hint="eastAsia"/>
          <w:noProof/>
          <w:spacing w:val="7"/>
          <w:lang w:eastAsia="zh-CN"/>
        </w:rPr>
        <w:t>美分。</w:t>
      </w:r>
    </w:p>
    <w:p w14:paraId="06444E47" w14:textId="77777777" w:rsidR="00A1609A" w:rsidRPr="00A1609A" w:rsidRDefault="00A1609A" w:rsidP="00A1609A">
      <w:pPr>
        <w:spacing w:before="103" w:line="256" w:lineRule="auto"/>
        <w:ind w:right="210" w:firstLine="468"/>
        <w:jc w:val="both"/>
        <w:rPr>
          <w:rFonts w:ascii="微软雅黑" w:eastAsia="微软雅黑" w:hAnsi="微软雅黑" w:cs="微软雅黑"/>
          <w:noProof/>
          <w:spacing w:val="7"/>
          <w:lang w:eastAsia="zh-CN"/>
        </w:rPr>
      </w:pPr>
      <w:r w:rsidRPr="00A1609A">
        <w:rPr>
          <w:rFonts w:ascii="微软雅黑" w:eastAsia="微软雅黑" w:hAnsi="微软雅黑" w:cs="微软雅黑" w:hint="eastAsia"/>
          <w:noProof/>
          <w:spacing w:val="7"/>
          <w:lang w:eastAsia="zh-CN"/>
        </w:rPr>
        <w:t>国际方面，巴西航运机构</w:t>
      </w:r>
      <w:r w:rsidRPr="00A1609A">
        <w:rPr>
          <w:rFonts w:ascii="微软雅黑" w:eastAsia="微软雅黑" w:hAnsi="微软雅黑" w:cs="微软雅黑"/>
          <w:noProof/>
          <w:spacing w:val="7"/>
          <w:lang w:eastAsia="zh-CN"/>
        </w:rPr>
        <w:t>Williams</w:t>
      </w:r>
      <w:r w:rsidRPr="00A1609A">
        <w:rPr>
          <w:rFonts w:ascii="微软雅黑" w:eastAsia="微软雅黑" w:hAnsi="微软雅黑" w:cs="微软雅黑" w:hint="eastAsia"/>
          <w:noProof/>
          <w:spacing w:val="7"/>
          <w:lang w:eastAsia="zh-CN"/>
        </w:rPr>
        <w:t>发布的数据显示，截至</w:t>
      </w:r>
      <w:r w:rsidRPr="00A1609A">
        <w:rPr>
          <w:rFonts w:ascii="微软雅黑" w:eastAsia="微软雅黑" w:hAnsi="微软雅黑" w:cs="微软雅黑"/>
          <w:noProof/>
          <w:spacing w:val="7"/>
          <w:lang w:eastAsia="zh-CN"/>
        </w:rPr>
        <w:t>1</w:t>
      </w:r>
      <w:r w:rsidRPr="00A1609A">
        <w:rPr>
          <w:rFonts w:ascii="微软雅黑" w:eastAsia="微软雅黑" w:hAnsi="微软雅黑" w:cs="微软雅黑" w:hint="eastAsia"/>
          <w:noProof/>
          <w:spacing w:val="7"/>
          <w:lang w:eastAsia="zh-CN"/>
        </w:rPr>
        <w:t>月</w:t>
      </w:r>
      <w:r w:rsidRPr="00A1609A">
        <w:rPr>
          <w:rFonts w:ascii="微软雅黑" w:eastAsia="微软雅黑" w:hAnsi="微软雅黑" w:cs="微软雅黑"/>
          <w:noProof/>
          <w:spacing w:val="7"/>
          <w:lang w:eastAsia="zh-CN"/>
        </w:rPr>
        <w:t>21</w:t>
      </w:r>
      <w:r w:rsidRPr="00A1609A">
        <w:rPr>
          <w:rFonts w:ascii="微软雅黑" w:eastAsia="微软雅黑" w:hAnsi="微软雅黑" w:cs="微软雅黑" w:hint="eastAsia"/>
          <w:noProof/>
          <w:spacing w:val="7"/>
          <w:lang w:eastAsia="zh-CN"/>
        </w:rPr>
        <w:t>日当周巴西港口等待装运食糖的船只数量为</w:t>
      </w:r>
      <w:r w:rsidRPr="00A1609A">
        <w:rPr>
          <w:rFonts w:ascii="微软雅黑" w:eastAsia="微软雅黑" w:hAnsi="微软雅黑" w:cs="微软雅黑"/>
          <w:noProof/>
          <w:spacing w:val="7"/>
          <w:lang w:eastAsia="zh-CN"/>
        </w:rPr>
        <w:t>51</w:t>
      </w:r>
      <w:r w:rsidRPr="00A1609A">
        <w:rPr>
          <w:rFonts w:ascii="微软雅黑" w:eastAsia="微软雅黑" w:hAnsi="微软雅黑" w:cs="微软雅黑" w:hint="eastAsia"/>
          <w:noProof/>
          <w:spacing w:val="7"/>
          <w:lang w:eastAsia="zh-CN"/>
        </w:rPr>
        <w:t>艘，此前一周为</w:t>
      </w:r>
      <w:r w:rsidRPr="00A1609A">
        <w:rPr>
          <w:rFonts w:ascii="微软雅黑" w:eastAsia="微软雅黑" w:hAnsi="微软雅黑" w:cs="微软雅黑"/>
          <w:noProof/>
          <w:spacing w:val="7"/>
          <w:lang w:eastAsia="zh-CN"/>
        </w:rPr>
        <w:t>48</w:t>
      </w:r>
      <w:r w:rsidRPr="00A1609A">
        <w:rPr>
          <w:rFonts w:ascii="微软雅黑" w:eastAsia="微软雅黑" w:hAnsi="微软雅黑" w:cs="微软雅黑" w:hint="eastAsia"/>
          <w:noProof/>
          <w:spacing w:val="7"/>
          <w:lang w:eastAsia="zh-CN"/>
        </w:rPr>
        <w:t>艘。港口等待装运的食糖数量为</w:t>
      </w:r>
      <w:r w:rsidRPr="00A1609A">
        <w:rPr>
          <w:rFonts w:ascii="微软雅黑" w:eastAsia="微软雅黑" w:hAnsi="微软雅黑" w:cs="微软雅黑"/>
          <w:noProof/>
          <w:spacing w:val="7"/>
          <w:lang w:eastAsia="zh-CN"/>
        </w:rPr>
        <w:t>178.16</w:t>
      </w:r>
      <w:r w:rsidRPr="00A1609A">
        <w:rPr>
          <w:rFonts w:ascii="微软雅黑" w:eastAsia="微软雅黑" w:hAnsi="微软雅黑" w:cs="微软雅黑" w:hint="eastAsia"/>
          <w:noProof/>
          <w:spacing w:val="7"/>
          <w:lang w:eastAsia="zh-CN"/>
        </w:rPr>
        <w:t>万吨，此前一周</w:t>
      </w:r>
      <w:r w:rsidRPr="00A1609A">
        <w:rPr>
          <w:rFonts w:ascii="微软雅黑" w:eastAsia="微软雅黑" w:hAnsi="微软雅黑" w:cs="微软雅黑"/>
          <w:noProof/>
          <w:spacing w:val="7"/>
          <w:lang w:eastAsia="zh-CN"/>
        </w:rPr>
        <w:t>166.29</w:t>
      </w:r>
      <w:r w:rsidRPr="00A1609A">
        <w:rPr>
          <w:rFonts w:ascii="微软雅黑" w:eastAsia="微软雅黑" w:hAnsi="微软雅黑" w:cs="微软雅黑" w:hint="eastAsia"/>
          <w:noProof/>
          <w:spacing w:val="7"/>
          <w:lang w:eastAsia="zh-CN"/>
        </w:rPr>
        <w:t>万吨。当周等待装运出口的食糖船只数量增加。</w:t>
      </w:r>
    </w:p>
    <w:p w14:paraId="3F44DEBC" w14:textId="057BAA6D" w:rsidR="00C27A84" w:rsidRDefault="00A1609A" w:rsidP="00A1609A">
      <w:pPr>
        <w:spacing w:before="103" w:line="256" w:lineRule="auto"/>
        <w:ind w:right="210" w:firstLine="468"/>
        <w:jc w:val="both"/>
        <w:rPr>
          <w:rFonts w:ascii="微软雅黑" w:eastAsia="微软雅黑" w:hAnsi="微软雅黑" w:cs="微软雅黑" w:hint="eastAsia"/>
          <w:noProof/>
          <w:spacing w:val="7"/>
          <w:lang w:eastAsia="zh-CN"/>
        </w:rPr>
      </w:pPr>
      <w:r w:rsidRPr="00A1609A">
        <w:rPr>
          <w:rFonts w:ascii="微软雅黑" w:eastAsia="微软雅黑" w:hAnsi="微软雅黑" w:cs="微软雅黑" w:hint="eastAsia"/>
          <w:noProof/>
          <w:spacing w:val="7"/>
          <w:lang w:eastAsia="zh-CN"/>
        </w:rPr>
        <w:t>美糖主力价格关注上方压力</w:t>
      </w:r>
      <w:r w:rsidRPr="00A1609A">
        <w:rPr>
          <w:rFonts w:ascii="微软雅黑" w:eastAsia="微软雅黑" w:hAnsi="微软雅黑" w:cs="微软雅黑"/>
          <w:noProof/>
          <w:spacing w:val="7"/>
          <w:lang w:eastAsia="zh-CN"/>
        </w:rPr>
        <w:t>15.80</w:t>
      </w:r>
      <w:r w:rsidRPr="00A1609A">
        <w:rPr>
          <w:rFonts w:ascii="微软雅黑" w:eastAsia="微软雅黑" w:hAnsi="微软雅黑" w:cs="微软雅黑" w:hint="eastAsia"/>
          <w:noProof/>
          <w:spacing w:val="7"/>
          <w:lang w:eastAsia="zh-CN"/>
        </w:rPr>
        <w:t>美分</w:t>
      </w:r>
      <w:r w:rsidRPr="00A1609A">
        <w:rPr>
          <w:rFonts w:ascii="微软雅黑" w:eastAsia="微软雅黑" w:hAnsi="微软雅黑" w:cs="微软雅黑"/>
          <w:noProof/>
          <w:spacing w:val="7"/>
          <w:lang w:eastAsia="zh-CN"/>
        </w:rPr>
        <w:t>/</w:t>
      </w:r>
      <w:r w:rsidRPr="00A1609A">
        <w:rPr>
          <w:rFonts w:ascii="微软雅黑" w:eastAsia="微软雅黑" w:hAnsi="微软雅黑" w:cs="微软雅黑" w:hint="eastAsia"/>
          <w:noProof/>
          <w:spacing w:val="7"/>
          <w:lang w:eastAsia="zh-CN"/>
        </w:rPr>
        <w:t>磅，下方支撑</w:t>
      </w:r>
      <w:r w:rsidRPr="00A1609A">
        <w:rPr>
          <w:rFonts w:ascii="微软雅黑" w:eastAsia="微软雅黑" w:hAnsi="微软雅黑" w:cs="微软雅黑"/>
          <w:noProof/>
          <w:spacing w:val="7"/>
          <w:lang w:eastAsia="zh-CN"/>
        </w:rPr>
        <w:t>14.0</w:t>
      </w:r>
      <w:r w:rsidRPr="00A1609A">
        <w:rPr>
          <w:rFonts w:ascii="微软雅黑" w:eastAsia="微软雅黑" w:hAnsi="微软雅黑" w:cs="微软雅黑" w:hint="eastAsia"/>
          <w:noProof/>
          <w:spacing w:val="7"/>
          <w:lang w:eastAsia="zh-CN"/>
        </w:rPr>
        <w:t>美分</w:t>
      </w:r>
      <w:r w:rsidRPr="00A1609A">
        <w:rPr>
          <w:rFonts w:ascii="微软雅黑" w:eastAsia="微软雅黑" w:hAnsi="微软雅黑" w:cs="微软雅黑"/>
          <w:noProof/>
          <w:spacing w:val="7"/>
          <w:lang w:eastAsia="zh-CN"/>
        </w:rPr>
        <w:t>/</w:t>
      </w:r>
      <w:r w:rsidRPr="00A1609A">
        <w:rPr>
          <w:rFonts w:ascii="微软雅黑" w:eastAsia="微软雅黑" w:hAnsi="微软雅黑" w:cs="微软雅黑" w:hint="eastAsia"/>
          <w:noProof/>
          <w:spacing w:val="7"/>
          <w:lang w:eastAsia="zh-CN"/>
        </w:rPr>
        <w:t>磅。建议</w:t>
      </w:r>
      <w:r w:rsidRPr="00A1609A">
        <w:rPr>
          <w:rFonts w:ascii="微软雅黑" w:eastAsia="微软雅黑" w:hAnsi="微软雅黑" w:cs="微软雅黑"/>
          <w:noProof/>
          <w:spacing w:val="7"/>
          <w:lang w:eastAsia="zh-CN"/>
        </w:rPr>
        <w:t>3</w:t>
      </w:r>
      <w:r w:rsidRPr="00A1609A">
        <w:rPr>
          <w:rFonts w:ascii="微软雅黑" w:eastAsia="微软雅黑" w:hAnsi="微软雅黑" w:cs="微软雅黑" w:hint="eastAsia"/>
          <w:noProof/>
          <w:spacing w:val="7"/>
          <w:lang w:eastAsia="zh-CN"/>
        </w:rPr>
        <w:t>月</w:t>
      </w:r>
      <w:r w:rsidRPr="00A1609A">
        <w:rPr>
          <w:rFonts w:ascii="微软雅黑" w:eastAsia="微软雅黑" w:hAnsi="微软雅黑" w:cs="微软雅黑"/>
          <w:noProof/>
          <w:spacing w:val="7"/>
          <w:lang w:eastAsia="zh-CN"/>
        </w:rPr>
        <w:t xml:space="preserve"> ICE </w:t>
      </w:r>
      <w:r w:rsidRPr="00A1609A">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5C8624DC" w:rsidR="007A477E" w:rsidRPr="00786136" w:rsidRDefault="00A1609A"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095ADB5C" wp14:editId="6BF4933F">
            <wp:extent cx="5266690" cy="2216785"/>
            <wp:effectExtent l="0" t="0" r="0" b="0"/>
            <wp:docPr id="1452121010" name="图片 5" descr="QQ截图2026013008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8" descr="QQ截图202601300804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6690" cy="2216785"/>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6FA4B8EB" w14:textId="77777777" w:rsidR="00A1609A" w:rsidRPr="00A1609A" w:rsidRDefault="00A1609A" w:rsidP="00A1609A">
      <w:pPr>
        <w:spacing w:before="103" w:line="256" w:lineRule="auto"/>
        <w:ind w:right="210" w:firstLine="468"/>
        <w:jc w:val="both"/>
        <w:rPr>
          <w:rFonts w:ascii="微软雅黑" w:eastAsia="微软雅黑" w:hAnsi="微软雅黑" w:cs="微软雅黑"/>
          <w:noProof/>
          <w:spacing w:val="7"/>
          <w:lang w:eastAsia="zh-CN"/>
        </w:rPr>
      </w:pPr>
      <w:r w:rsidRPr="00A1609A">
        <w:rPr>
          <w:rFonts w:ascii="微软雅黑" w:eastAsia="微软雅黑" w:hAnsi="微软雅黑" w:cs="微软雅黑" w:hint="eastAsia"/>
          <w:noProof/>
          <w:spacing w:val="7"/>
          <w:lang w:eastAsia="zh-CN"/>
        </w:rPr>
        <w:t>洲际交易所</w:t>
      </w:r>
      <w:r w:rsidRPr="00A1609A">
        <w:rPr>
          <w:rFonts w:ascii="微软雅黑" w:eastAsia="微软雅黑" w:hAnsi="微软雅黑" w:cs="微软雅黑"/>
          <w:noProof/>
          <w:spacing w:val="7"/>
          <w:lang w:eastAsia="zh-CN"/>
        </w:rPr>
        <w:t>(ICE)</w:t>
      </w:r>
      <w:r w:rsidRPr="00A1609A">
        <w:rPr>
          <w:rFonts w:ascii="微软雅黑" w:eastAsia="微软雅黑" w:hAnsi="微软雅黑" w:cs="微软雅黑" w:hint="eastAsia"/>
          <w:noProof/>
          <w:spacing w:val="7"/>
          <w:lang w:eastAsia="zh-CN"/>
        </w:rPr>
        <w:t>棉花期货周四下跌，周边市场波动给棉花期货带来压力，尽管美元走软令市场跌幅受限，</w:t>
      </w:r>
      <w:r w:rsidRPr="00A1609A">
        <w:rPr>
          <w:rFonts w:ascii="微软雅黑" w:eastAsia="微软雅黑" w:hAnsi="微软雅黑" w:cs="微软雅黑"/>
          <w:noProof/>
          <w:spacing w:val="7"/>
          <w:lang w:eastAsia="zh-CN"/>
        </w:rPr>
        <w:t>ICE 3</w:t>
      </w:r>
      <w:r w:rsidRPr="00A1609A">
        <w:rPr>
          <w:rFonts w:ascii="微软雅黑" w:eastAsia="微软雅黑" w:hAnsi="微软雅黑" w:cs="微软雅黑" w:hint="eastAsia"/>
          <w:noProof/>
          <w:spacing w:val="7"/>
          <w:lang w:eastAsia="zh-CN"/>
        </w:rPr>
        <w:t>月棉花期货合约收跌</w:t>
      </w:r>
      <w:r w:rsidRPr="00A1609A">
        <w:rPr>
          <w:rFonts w:ascii="微软雅黑" w:eastAsia="微软雅黑" w:hAnsi="微软雅黑" w:cs="微软雅黑"/>
          <w:noProof/>
          <w:spacing w:val="7"/>
          <w:lang w:eastAsia="zh-CN"/>
        </w:rPr>
        <w:t>0.25</w:t>
      </w:r>
      <w:r w:rsidRPr="00A1609A">
        <w:rPr>
          <w:rFonts w:ascii="微软雅黑" w:eastAsia="微软雅黑" w:hAnsi="微软雅黑" w:cs="微软雅黑" w:hint="eastAsia"/>
          <w:noProof/>
          <w:spacing w:val="7"/>
          <w:lang w:eastAsia="zh-CN"/>
        </w:rPr>
        <w:t>美分，或</w:t>
      </w:r>
      <w:r w:rsidRPr="00A1609A">
        <w:rPr>
          <w:rFonts w:ascii="微软雅黑" w:eastAsia="微软雅黑" w:hAnsi="微软雅黑" w:cs="微软雅黑"/>
          <w:noProof/>
          <w:spacing w:val="7"/>
          <w:lang w:eastAsia="zh-CN"/>
        </w:rPr>
        <w:t>0.39%</w:t>
      </w:r>
      <w:r w:rsidRPr="00A1609A">
        <w:rPr>
          <w:rFonts w:ascii="微软雅黑" w:eastAsia="微软雅黑" w:hAnsi="微软雅黑" w:cs="微软雅黑" w:hint="eastAsia"/>
          <w:noProof/>
          <w:spacing w:val="7"/>
          <w:lang w:eastAsia="zh-CN"/>
        </w:rPr>
        <w:t>，结算价报每磅</w:t>
      </w:r>
      <w:r w:rsidRPr="00A1609A">
        <w:rPr>
          <w:rFonts w:ascii="微软雅黑" w:eastAsia="微软雅黑" w:hAnsi="微软雅黑" w:cs="微软雅黑"/>
          <w:noProof/>
          <w:spacing w:val="7"/>
          <w:lang w:eastAsia="zh-CN"/>
        </w:rPr>
        <w:t>63.48</w:t>
      </w:r>
      <w:r w:rsidRPr="00A1609A">
        <w:rPr>
          <w:rFonts w:ascii="微软雅黑" w:eastAsia="微软雅黑" w:hAnsi="微软雅黑" w:cs="微软雅黑" w:hint="eastAsia"/>
          <w:noProof/>
          <w:spacing w:val="7"/>
          <w:lang w:eastAsia="zh-CN"/>
        </w:rPr>
        <w:t>分。</w:t>
      </w:r>
    </w:p>
    <w:p w14:paraId="1D5708D5" w14:textId="77777777" w:rsidR="00A1609A" w:rsidRPr="00A1609A" w:rsidRDefault="00A1609A" w:rsidP="00A1609A">
      <w:pPr>
        <w:spacing w:before="103" w:line="256" w:lineRule="auto"/>
        <w:ind w:right="210" w:firstLine="468"/>
        <w:jc w:val="both"/>
        <w:rPr>
          <w:rFonts w:ascii="微软雅黑" w:eastAsia="微软雅黑" w:hAnsi="微软雅黑" w:cs="微软雅黑"/>
          <w:noProof/>
          <w:spacing w:val="7"/>
          <w:lang w:eastAsia="zh-CN"/>
        </w:rPr>
      </w:pPr>
      <w:r w:rsidRPr="00A1609A">
        <w:rPr>
          <w:rFonts w:ascii="微软雅黑" w:eastAsia="微软雅黑" w:hAnsi="微软雅黑" w:cs="微软雅黑" w:hint="eastAsia"/>
          <w:noProof/>
          <w:spacing w:val="7"/>
          <w:lang w:eastAsia="zh-CN"/>
        </w:rPr>
        <w:t>国际方面，根据巴西</w:t>
      </w:r>
      <w:r w:rsidRPr="00A1609A">
        <w:rPr>
          <w:rFonts w:ascii="微软雅黑" w:eastAsia="微软雅黑" w:hAnsi="微软雅黑" w:cs="微软雅黑"/>
          <w:noProof/>
          <w:spacing w:val="7"/>
          <w:lang w:eastAsia="zh-CN"/>
        </w:rPr>
        <w:t>CONAB</w:t>
      </w:r>
      <w:r w:rsidRPr="00A1609A">
        <w:rPr>
          <w:rFonts w:ascii="微软雅黑" w:eastAsia="微软雅黑" w:hAnsi="微软雅黑" w:cs="微软雅黑" w:hint="eastAsia"/>
          <w:noProof/>
          <w:spacing w:val="7"/>
          <w:lang w:eastAsia="zh-CN"/>
        </w:rPr>
        <w:t>的预测，</w:t>
      </w:r>
      <w:r w:rsidRPr="00A1609A">
        <w:rPr>
          <w:rFonts w:ascii="微软雅黑" w:eastAsia="微软雅黑" w:hAnsi="微软雅黑" w:cs="微软雅黑"/>
          <w:noProof/>
          <w:spacing w:val="7"/>
          <w:lang w:eastAsia="zh-CN"/>
        </w:rPr>
        <w:t>2025/26</w:t>
      </w:r>
      <w:r w:rsidRPr="00A1609A">
        <w:rPr>
          <w:rFonts w:ascii="微软雅黑" w:eastAsia="微软雅黑" w:hAnsi="微软雅黑" w:cs="微软雅黑" w:hint="eastAsia"/>
          <w:noProof/>
          <w:spacing w:val="7"/>
          <w:lang w:eastAsia="zh-CN"/>
        </w:rPr>
        <w:t>年度</w:t>
      </w:r>
      <w:r w:rsidRPr="00A1609A">
        <w:rPr>
          <w:rFonts w:ascii="微软雅黑" w:eastAsia="微软雅黑" w:hAnsi="微软雅黑" w:cs="微软雅黑"/>
          <w:noProof/>
          <w:spacing w:val="7"/>
          <w:lang w:eastAsia="zh-CN"/>
        </w:rPr>
        <w:t>(</w:t>
      </w:r>
      <w:r w:rsidRPr="00A1609A">
        <w:rPr>
          <w:rFonts w:ascii="微软雅黑" w:eastAsia="微软雅黑" w:hAnsi="微软雅黑" w:cs="微软雅黑" w:hint="eastAsia"/>
          <w:noProof/>
          <w:spacing w:val="7"/>
          <w:lang w:eastAsia="zh-CN"/>
        </w:rPr>
        <w:t>即美国农业部的</w:t>
      </w:r>
      <w:r w:rsidRPr="00A1609A">
        <w:rPr>
          <w:rFonts w:ascii="微软雅黑" w:eastAsia="微软雅黑" w:hAnsi="微软雅黑" w:cs="微软雅黑"/>
          <w:noProof/>
          <w:spacing w:val="7"/>
          <w:lang w:eastAsia="zh-CN"/>
        </w:rPr>
        <w:t>2026/27</w:t>
      </w:r>
      <w:r w:rsidRPr="00A1609A">
        <w:rPr>
          <w:rFonts w:ascii="微软雅黑" w:eastAsia="微软雅黑" w:hAnsi="微软雅黑" w:cs="微软雅黑" w:hint="eastAsia"/>
          <w:noProof/>
          <w:spacing w:val="7"/>
          <w:lang w:eastAsia="zh-CN"/>
        </w:rPr>
        <w:t>年度</w:t>
      </w:r>
      <w:r w:rsidRPr="00A1609A">
        <w:rPr>
          <w:rFonts w:ascii="微软雅黑" w:eastAsia="微软雅黑" w:hAnsi="微软雅黑" w:cs="微软雅黑"/>
          <w:noProof/>
          <w:spacing w:val="7"/>
          <w:lang w:eastAsia="zh-CN"/>
        </w:rPr>
        <w:t>)</w:t>
      </w:r>
      <w:r w:rsidRPr="00A1609A">
        <w:rPr>
          <w:rFonts w:ascii="微软雅黑" w:eastAsia="微软雅黑" w:hAnsi="微软雅黑" w:cs="微软雅黑" w:hint="eastAsia"/>
          <w:noProof/>
          <w:spacing w:val="7"/>
          <w:lang w:eastAsia="zh-CN"/>
        </w:rPr>
        <w:t>巴西棉花种植面积为</w:t>
      </w:r>
      <w:r w:rsidRPr="00A1609A">
        <w:rPr>
          <w:rFonts w:ascii="微软雅黑" w:eastAsia="微软雅黑" w:hAnsi="微软雅黑" w:cs="微软雅黑"/>
          <w:noProof/>
          <w:spacing w:val="7"/>
          <w:lang w:eastAsia="zh-CN"/>
        </w:rPr>
        <w:t>210</w:t>
      </w:r>
      <w:r w:rsidRPr="00A1609A">
        <w:rPr>
          <w:rFonts w:ascii="微软雅黑" w:eastAsia="微软雅黑" w:hAnsi="微软雅黑" w:cs="微软雅黑" w:hint="eastAsia"/>
          <w:noProof/>
          <w:spacing w:val="7"/>
          <w:lang w:eastAsia="zh-CN"/>
        </w:rPr>
        <w:t>万公顷，高于上年度的</w:t>
      </w:r>
      <w:r w:rsidRPr="00A1609A">
        <w:rPr>
          <w:rFonts w:ascii="微软雅黑" w:eastAsia="微软雅黑" w:hAnsi="微软雅黑" w:cs="微软雅黑"/>
          <w:noProof/>
          <w:spacing w:val="7"/>
          <w:lang w:eastAsia="zh-CN"/>
        </w:rPr>
        <w:t>208.56</w:t>
      </w:r>
      <w:r w:rsidRPr="00A1609A">
        <w:rPr>
          <w:rFonts w:ascii="微软雅黑" w:eastAsia="微软雅黑" w:hAnsi="微软雅黑" w:cs="微软雅黑" w:hint="eastAsia"/>
          <w:noProof/>
          <w:spacing w:val="7"/>
          <w:lang w:eastAsia="zh-CN"/>
        </w:rPr>
        <w:t>万公顷，单产</w:t>
      </w:r>
      <w:r w:rsidRPr="00A1609A">
        <w:rPr>
          <w:rFonts w:ascii="微软雅黑" w:eastAsia="微软雅黑" w:hAnsi="微软雅黑" w:cs="微软雅黑"/>
          <w:noProof/>
          <w:spacing w:val="7"/>
          <w:lang w:eastAsia="zh-CN"/>
        </w:rPr>
        <w:t>1885</w:t>
      </w:r>
      <w:r w:rsidRPr="00A1609A">
        <w:rPr>
          <w:rFonts w:ascii="微软雅黑" w:eastAsia="微软雅黑" w:hAnsi="微软雅黑" w:cs="微软雅黑" w:hint="eastAsia"/>
          <w:noProof/>
          <w:spacing w:val="7"/>
          <w:lang w:eastAsia="zh-CN"/>
        </w:rPr>
        <w:t>公斤</w:t>
      </w:r>
      <w:r w:rsidRPr="00A1609A">
        <w:rPr>
          <w:rFonts w:ascii="微软雅黑" w:eastAsia="微软雅黑" w:hAnsi="微软雅黑" w:cs="微软雅黑"/>
          <w:noProof/>
          <w:spacing w:val="7"/>
          <w:lang w:eastAsia="zh-CN"/>
        </w:rPr>
        <w:t>/</w:t>
      </w:r>
      <w:r w:rsidRPr="00A1609A">
        <w:rPr>
          <w:rFonts w:ascii="微软雅黑" w:eastAsia="微软雅黑" w:hAnsi="微软雅黑" w:cs="微软雅黑" w:hint="eastAsia"/>
          <w:noProof/>
          <w:spacing w:val="7"/>
          <w:lang w:eastAsia="zh-CN"/>
        </w:rPr>
        <w:t>公顷，低于上年度的</w:t>
      </w:r>
      <w:r w:rsidRPr="00A1609A">
        <w:rPr>
          <w:rFonts w:ascii="微软雅黑" w:eastAsia="微软雅黑" w:hAnsi="微软雅黑" w:cs="微软雅黑"/>
          <w:noProof/>
          <w:spacing w:val="7"/>
          <w:lang w:eastAsia="zh-CN"/>
        </w:rPr>
        <w:t>1954</w:t>
      </w:r>
      <w:r w:rsidRPr="00A1609A">
        <w:rPr>
          <w:rFonts w:ascii="微软雅黑" w:eastAsia="微软雅黑" w:hAnsi="微软雅黑" w:cs="微软雅黑" w:hint="eastAsia"/>
          <w:noProof/>
          <w:spacing w:val="7"/>
          <w:lang w:eastAsia="zh-CN"/>
        </w:rPr>
        <w:t>公斤</w:t>
      </w:r>
      <w:r w:rsidRPr="00A1609A">
        <w:rPr>
          <w:rFonts w:ascii="微软雅黑" w:eastAsia="微软雅黑" w:hAnsi="微软雅黑" w:cs="微软雅黑"/>
          <w:noProof/>
          <w:spacing w:val="7"/>
          <w:lang w:eastAsia="zh-CN"/>
        </w:rPr>
        <w:t>/</w:t>
      </w:r>
      <w:r w:rsidRPr="00A1609A">
        <w:rPr>
          <w:rFonts w:ascii="微软雅黑" w:eastAsia="微软雅黑" w:hAnsi="微软雅黑" w:cs="微软雅黑" w:hint="eastAsia"/>
          <w:noProof/>
          <w:spacing w:val="7"/>
          <w:lang w:eastAsia="zh-CN"/>
        </w:rPr>
        <w:t>公顷，产量</w:t>
      </w:r>
      <w:r w:rsidRPr="00A1609A">
        <w:rPr>
          <w:rFonts w:ascii="微软雅黑" w:eastAsia="微软雅黑" w:hAnsi="微软雅黑" w:cs="微软雅黑"/>
          <w:noProof/>
          <w:spacing w:val="7"/>
          <w:lang w:eastAsia="zh-CN"/>
        </w:rPr>
        <w:t>396</w:t>
      </w:r>
      <w:r w:rsidRPr="00A1609A">
        <w:rPr>
          <w:rFonts w:ascii="微软雅黑" w:eastAsia="微软雅黑" w:hAnsi="微软雅黑" w:cs="微软雅黑" w:hint="eastAsia"/>
          <w:noProof/>
          <w:spacing w:val="7"/>
          <w:lang w:eastAsia="zh-CN"/>
        </w:rPr>
        <w:t>万吨，低于上年度的</w:t>
      </w:r>
      <w:r w:rsidRPr="00A1609A">
        <w:rPr>
          <w:rFonts w:ascii="微软雅黑" w:eastAsia="微软雅黑" w:hAnsi="微软雅黑" w:cs="微软雅黑"/>
          <w:noProof/>
          <w:spacing w:val="7"/>
          <w:lang w:eastAsia="zh-CN"/>
        </w:rPr>
        <w:t>407.6</w:t>
      </w:r>
      <w:r w:rsidRPr="00A1609A">
        <w:rPr>
          <w:rFonts w:ascii="微软雅黑" w:eastAsia="微软雅黑" w:hAnsi="微软雅黑" w:cs="微软雅黑" w:hint="eastAsia"/>
          <w:noProof/>
          <w:spacing w:val="7"/>
          <w:lang w:eastAsia="zh-CN"/>
        </w:rPr>
        <w:t>万吨。</w:t>
      </w:r>
    </w:p>
    <w:p w14:paraId="15654938" w14:textId="2EFA97CA" w:rsidR="0034283D" w:rsidRPr="00AC6ADE" w:rsidRDefault="00A1609A" w:rsidP="00A1609A">
      <w:pPr>
        <w:spacing w:before="103" w:line="256" w:lineRule="auto"/>
        <w:ind w:right="210" w:firstLine="468"/>
        <w:jc w:val="both"/>
        <w:rPr>
          <w:rFonts w:ascii="微软雅黑" w:eastAsia="微软雅黑" w:hAnsi="微软雅黑" w:cs="微软雅黑" w:hint="eastAsia"/>
          <w:noProof/>
          <w:spacing w:val="7"/>
          <w:lang w:eastAsia="zh-CN"/>
        </w:rPr>
      </w:pPr>
      <w:r w:rsidRPr="00A1609A">
        <w:rPr>
          <w:rFonts w:ascii="微软雅黑" w:eastAsia="微软雅黑" w:hAnsi="微软雅黑" w:cs="微软雅黑" w:hint="eastAsia"/>
          <w:noProof/>
          <w:spacing w:val="7"/>
          <w:lang w:eastAsia="zh-CN"/>
        </w:rPr>
        <w:t>美棉主力价格关注上方压力</w:t>
      </w:r>
      <w:r w:rsidRPr="00A1609A">
        <w:rPr>
          <w:rFonts w:ascii="微软雅黑" w:eastAsia="微软雅黑" w:hAnsi="微软雅黑" w:cs="微软雅黑"/>
          <w:noProof/>
          <w:spacing w:val="7"/>
          <w:lang w:eastAsia="zh-CN"/>
        </w:rPr>
        <w:t>69</w:t>
      </w:r>
      <w:r w:rsidRPr="00A1609A">
        <w:rPr>
          <w:rFonts w:ascii="微软雅黑" w:eastAsia="微软雅黑" w:hAnsi="微软雅黑" w:cs="微软雅黑" w:hint="eastAsia"/>
          <w:noProof/>
          <w:spacing w:val="7"/>
          <w:lang w:eastAsia="zh-CN"/>
        </w:rPr>
        <w:t>美分</w:t>
      </w:r>
      <w:r w:rsidRPr="00A1609A">
        <w:rPr>
          <w:rFonts w:ascii="微软雅黑" w:eastAsia="微软雅黑" w:hAnsi="微软雅黑" w:cs="微软雅黑"/>
          <w:noProof/>
          <w:spacing w:val="7"/>
          <w:lang w:eastAsia="zh-CN"/>
        </w:rPr>
        <w:t>/</w:t>
      </w:r>
      <w:r w:rsidRPr="00A1609A">
        <w:rPr>
          <w:rFonts w:ascii="微软雅黑" w:eastAsia="微软雅黑" w:hAnsi="微软雅黑" w:cs="微软雅黑" w:hint="eastAsia"/>
          <w:noProof/>
          <w:spacing w:val="7"/>
          <w:lang w:eastAsia="zh-CN"/>
        </w:rPr>
        <w:t>磅，下方支撑</w:t>
      </w:r>
      <w:r w:rsidRPr="00A1609A">
        <w:rPr>
          <w:rFonts w:ascii="微软雅黑" w:eastAsia="微软雅黑" w:hAnsi="微软雅黑" w:cs="微软雅黑"/>
          <w:noProof/>
          <w:spacing w:val="7"/>
          <w:lang w:eastAsia="zh-CN"/>
        </w:rPr>
        <w:t>55</w:t>
      </w:r>
      <w:r w:rsidRPr="00A1609A">
        <w:rPr>
          <w:rFonts w:ascii="微软雅黑" w:eastAsia="微软雅黑" w:hAnsi="微软雅黑" w:cs="微软雅黑" w:hint="eastAsia"/>
          <w:noProof/>
          <w:spacing w:val="7"/>
          <w:lang w:eastAsia="zh-CN"/>
        </w:rPr>
        <w:t>美分</w:t>
      </w:r>
      <w:r w:rsidRPr="00A1609A">
        <w:rPr>
          <w:rFonts w:ascii="微软雅黑" w:eastAsia="微软雅黑" w:hAnsi="微软雅黑" w:cs="微软雅黑"/>
          <w:noProof/>
          <w:spacing w:val="7"/>
          <w:lang w:eastAsia="zh-CN"/>
        </w:rPr>
        <w:t>/</w:t>
      </w:r>
      <w:r w:rsidRPr="00A1609A">
        <w:rPr>
          <w:rFonts w:ascii="微软雅黑" w:eastAsia="微软雅黑" w:hAnsi="微软雅黑" w:cs="微软雅黑" w:hint="eastAsia"/>
          <w:noProof/>
          <w:spacing w:val="7"/>
          <w:lang w:eastAsia="zh-CN"/>
        </w:rPr>
        <w:t>磅。建议</w:t>
      </w:r>
      <w:r w:rsidRPr="00A1609A">
        <w:rPr>
          <w:rFonts w:ascii="微软雅黑" w:eastAsia="微软雅黑" w:hAnsi="微软雅黑" w:cs="微软雅黑"/>
          <w:noProof/>
          <w:spacing w:val="7"/>
          <w:lang w:eastAsia="zh-CN"/>
        </w:rPr>
        <w:t xml:space="preserve"> ICE 3</w:t>
      </w:r>
      <w:r w:rsidRPr="00A1609A">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0E87DEE4" w:rsidR="00C24CC6" w:rsidRDefault="00A1609A"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lastRenderedPageBreak/>
        <w:drawing>
          <wp:inline distT="0" distB="0" distL="0" distR="0" wp14:anchorId="4F0FDB23" wp14:editId="2FE47F4E">
            <wp:extent cx="5266690" cy="2223770"/>
            <wp:effectExtent l="0" t="0" r="0" b="5080"/>
            <wp:docPr id="469359420" name="图片 6" descr="QQ截图2026013008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9" descr="QQ截图202601300804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690" cy="222377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D7A8B" w14:textId="77777777" w:rsidR="00BB20F8" w:rsidRDefault="00BB20F8">
      <w:pPr>
        <w:ind w:right="210" w:firstLine="420"/>
      </w:pPr>
      <w:r>
        <w:separator/>
      </w:r>
    </w:p>
  </w:endnote>
  <w:endnote w:type="continuationSeparator" w:id="0">
    <w:p w14:paraId="43AF5ABC" w14:textId="77777777" w:rsidR="00BB20F8" w:rsidRDefault="00BB20F8">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183AA" w14:textId="77777777" w:rsidR="00BB20F8" w:rsidRDefault="00BB20F8">
      <w:pPr>
        <w:ind w:right="210" w:firstLine="420"/>
      </w:pPr>
      <w:r>
        <w:separator/>
      </w:r>
    </w:p>
  </w:footnote>
  <w:footnote w:type="continuationSeparator" w:id="0">
    <w:p w14:paraId="745CD1B1" w14:textId="77777777" w:rsidR="00BB20F8" w:rsidRDefault="00BB20F8">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37BF"/>
    <w:rsid w:val="000F2E96"/>
    <w:rsid w:val="000F434E"/>
    <w:rsid w:val="000F5752"/>
    <w:rsid w:val="000F5A1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E12E7"/>
    <w:rsid w:val="005E2060"/>
    <w:rsid w:val="005E38C6"/>
    <w:rsid w:val="005E5863"/>
    <w:rsid w:val="005E5DC2"/>
    <w:rsid w:val="005E5F4F"/>
    <w:rsid w:val="005E6517"/>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09A"/>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625C1"/>
    <w:rsid w:val="00A6283C"/>
    <w:rsid w:val="00A62BE6"/>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0F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47B5"/>
    <w:rsid w:val="00D348C5"/>
    <w:rsid w:val="00D34EFB"/>
    <w:rsid w:val="00D34F1E"/>
    <w:rsid w:val="00D36381"/>
    <w:rsid w:val="00D372FB"/>
    <w:rsid w:val="00D4028E"/>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962"/>
    <w:rsid w:val="00F3674E"/>
    <w:rsid w:val="00F37895"/>
    <w:rsid w:val="00F37B2C"/>
    <w:rsid w:val="00F40EB7"/>
    <w:rsid w:val="00F42B6B"/>
    <w:rsid w:val="00F45C72"/>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4DBB"/>
    <w:rsid w:val="00FC53B5"/>
    <w:rsid w:val="00FC56DE"/>
    <w:rsid w:val="00FC5810"/>
    <w:rsid w:val="00FC60F3"/>
    <w:rsid w:val="00FC6E52"/>
    <w:rsid w:val="00FC700D"/>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77F4A"/>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707</Words>
  <Characters>4034</Characters>
  <Application>Microsoft Office Word</Application>
  <DocSecurity>0</DocSecurity>
  <Lines>33</Lines>
  <Paragraphs>9</Paragraphs>
  <ScaleCrop>false</ScaleCrop>
  <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2026-01-30T01:24:00Z</dcterms:created>
  <dcterms:modified xsi:type="dcterms:W3CDTF">2026-01-30T01:24:00Z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