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87091AF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B3E0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458D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3C704464" w:rsidR="007B3E0B" w:rsidRDefault="000F6A95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1.61%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47954.74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0F6A95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0.56%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6830.71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0F6A95">
        <w:rPr>
          <w:rFonts w:ascii="微软雅黑" w:eastAsia="微软雅黑" w:hAnsi="微软雅黑" w:cs="微软雅黑"/>
          <w:spacing w:val="12"/>
          <w:lang w:eastAsia="zh-CN"/>
        </w:rPr>
        <w:t>0.26%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22748.99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点。美元指数涨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99.04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0.23%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1.1609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0.09%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1.3358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0.34%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157.5595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，美元兑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瑞郎涨</w:t>
      </w:r>
      <w:proofErr w:type="gramEnd"/>
      <w:r w:rsidRPr="000F6A95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0.7810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238.0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6.9184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5.64%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78.87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桶；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3.22%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84.02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桶。国际贵金属期货普遍收跌。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0.81%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5093.30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0.80%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82.52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7B3E0B" w:rsidRPr="00451F4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51F4B">
        <w:rPr>
          <w:rFonts w:ascii="微软雅黑" w:eastAsia="微软雅黑" w:hAnsi="微软雅黑" w:cs="微软雅黑" w:hint="eastAsia"/>
          <w:spacing w:val="12"/>
          <w:lang w:eastAsia="zh-CN"/>
        </w:rPr>
        <w:t>原糖主力合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约</w:t>
      </w:r>
      <w:r w:rsidR="00451F4B">
        <w:rPr>
          <w:rFonts w:ascii="微软雅黑" w:eastAsia="微软雅黑" w:hAnsi="微软雅黑" w:cs="微软雅黑" w:hint="eastAsia"/>
          <w:spacing w:val="12"/>
          <w:lang w:eastAsia="zh-CN"/>
        </w:rPr>
        <w:t>跌1.</w:t>
      </w:r>
      <w:r w:rsidR="006458DB">
        <w:rPr>
          <w:rFonts w:ascii="微软雅黑" w:eastAsia="微软雅黑" w:hAnsi="微软雅黑" w:cs="微软雅黑" w:hint="eastAsia"/>
          <w:spacing w:val="12"/>
          <w:lang w:eastAsia="zh-CN"/>
        </w:rPr>
        <w:t>46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13.</w:t>
      </w:r>
      <w:r w:rsidR="00451F4B">
        <w:rPr>
          <w:rFonts w:ascii="微软雅黑" w:eastAsia="微软雅黑" w:hAnsi="微软雅黑" w:cs="微软雅黑" w:hint="eastAsia"/>
          <w:spacing w:val="12"/>
          <w:lang w:eastAsia="zh-CN"/>
        </w:rPr>
        <w:t>71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6458DB">
        <w:rPr>
          <w:rFonts w:ascii="微软雅黑" w:eastAsia="微软雅黑" w:hAnsi="微软雅黑" w:cs="微软雅黑" w:hint="eastAsia"/>
          <w:spacing w:val="12"/>
          <w:lang w:eastAsia="zh-CN"/>
        </w:rPr>
        <w:t>跌0.16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64.</w:t>
      </w:r>
      <w:r w:rsidR="006458DB">
        <w:rPr>
          <w:rFonts w:ascii="微软雅黑" w:eastAsia="微软雅黑" w:hAnsi="微软雅黑" w:cs="微软雅黑" w:hint="eastAsia"/>
          <w:spacing w:val="12"/>
          <w:lang w:eastAsia="zh-CN"/>
        </w:rPr>
        <w:t>06</w:t>
      </w:r>
      <w:r w:rsidR="00451F4B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414BD1CF" w:rsidR="00557736" w:rsidRPr="0022448B" w:rsidRDefault="006458DB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79F880BF" wp14:editId="6788A293">
            <wp:extent cx="6070521" cy="3589324"/>
            <wp:effectExtent l="0" t="0" r="6985" b="0"/>
            <wp:docPr id="11244974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44" cy="359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0F9224A5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中东冲突局势持续升级，各方表态趋于强硬。伊朗外长阿拉格齐称，伊朗已做好应对美国地面部队侵袭国内的准备，并明确拒绝与美方重启谈判。伊朗常驻联合国代表团驳斥所谓伊朗封锁霍尔木兹海峡的说法，称其毫无根据，荒谬至极。伊朗尚未选出新任最高领袖。美国总统特朗普表示，必须参与确定伊朗下一任最高领袖人选，此言论遭伊朗方面强烈驳斥。以色列军方宣布对德黑兰发动第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13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轮空袭。美国据称正追加资源、以求支持战争持续“至少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100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天甚至到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月”。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0DBFAC7F" w:rsidR="00DA61DC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24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个州向美国国际贸易法院提起诉讼，要求阻止特朗普政府近期宣布实施的新关税措施。美国最高法院此前裁定，特朗普政府此前依据《国际紧急经济权力法》对多国产品加征关税的做法违法。在裁决后，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特朗普并未接受败诉结果，转而援引《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1974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年贸易法》第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122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条款，宣布对全球大多数产品征收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15%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的关税。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08A9D642" w:rsidR="005D31CD" w:rsidRDefault="005D31CD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美国拟定新规，要求全球人工智能芯片出口必须获得许可。美国政府表示，审查流程将取决于人工智能芯片订单的规模。美国关注芯片审查是为了设定条件，而不是为了禁止芯片。英伟达和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AMD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产品出口到所有国家都需要获得批准。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40F1A73" w14:textId="0739075C" w:rsidR="007B3E0B" w:rsidRDefault="007B3E0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美国上周初请失业金人数为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21.3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万人，预期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21.5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万人，前值自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21.2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万人修正至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21.3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万人；四周均值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21.575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万人，前值自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22.025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万人修正至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22.05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万人；至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21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日当周续请失业金人数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186.8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万人，预期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185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万人，前值自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183.3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万人修正至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182.2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ECCAA47" w14:textId="2D62C91A" w:rsidR="007B3E0B" w:rsidRDefault="007B3E0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欧盟理事会正式通过修订后的《欧洲气候法》，到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2040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年温室气体净排放量比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1990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年水平降低</w:t>
      </w:r>
      <w:r w:rsidR="000F6A95" w:rsidRPr="000F6A95">
        <w:rPr>
          <w:rFonts w:ascii="微软雅黑" w:eastAsia="微软雅黑" w:hAnsi="微软雅黑" w:cs="微软雅黑"/>
          <w:color w:val="auto"/>
          <w:spacing w:val="4"/>
          <w:lang w:eastAsia="zh-CN"/>
        </w:rPr>
        <w:t>90%</w:t>
      </w:r>
      <w:r w:rsidR="000F6A95" w:rsidRPr="000F6A9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EC1D91" w14:textId="77777777" w:rsidR="00212DDB" w:rsidRDefault="00212DD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0F6A95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0F6A95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7B3E0B" w:rsidRPr="008E3E9D" w14:paraId="7DA151AE" w14:textId="77777777" w:rsidTr="005970B0">
        <w:trPr>
          <w:trHeight w:val="620"/>
        </w:trPr>
        <w:tc>
          <w:tcPr>
            <w:tcW w:w="1701" w:type="dxa"/>
          </w:tcPr>
          <w:bookmarkEnd w:id="0"/>
          <w:p w14:paraId="27107280" w14:textId="04528083" w:rsidR="007B3E0B" w:rsidRPr="002703B8" w:rsidRDefault="007B3E0B" w:rsidP="000F6A95">
            <w:pPr>
              <w:pStyle w:val="TableText"/>
              <w:rPr>
                <w:rFonts w:hint="eastAsia"/>
                <w:lang w:eastAsia="zh-CN"/>
              </w:rPr>
            </w:pPr>
            <w:r w:rsidRPr="00170285">
              <w:t>2026/3/</w:t>
            </w:r>
            <w:r w:rsidR="000F6A95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3D056FF1" w14:textId="316C9564" w:rsidR="007B3E0B" w:rsidRPr="0043741A" w:rsidRDefault="00451F4B" w:rsidP="000F6A95">
            <w:pPr>
              <w:pStyle w:val="TableText"/>
              <w:rPr>
                <w:rFonts w:hint="eastAsia"/>
                <w:lang w:eastAsia="zh-CN"/>
              </w:rPr>
            </w:pPr>
            <w:r w:rsidRPr="00451F4B">
              <w:rPr>
                <w:lang w:eastAsia="zh-CN"/>
              </w:rPr>
              <w:t>18:00</w:t>
            </w:r>
          </w:p>
        </w:tc>
        <w:tc>
          <w:tcPr>
            <w:tcW w:w="6344" w:type="dxa"/>
          </w:tcPr>
          <w:p w14:paraId="14A4496B" w14:textId="06E59DDB" w:rsidR="007B3E0B" w:rsidRPr="0043741A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0F6A95">
              <w:rPr>
                <w:lang w:eastAsia="zh-CN"/>
              </w:rPr>
              <w:t>欧元区四季度GDP同比终值</w:t>
            </w:r>
          </w:p>
        </w:tc>
      </w:tr>
      <w:tr w:rsidR="000F6A95" w:rsidRPr="008E3E9D" w14:paraId="385383E5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7473FD0" w14:textId="765F1AD2" w:rsidR="000F6A95" w:rsidRPr="005F5D93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B95F7D">
              <w:t>2026/3/</w:t>
            </w:r>
            <w:r w:rsidRPr="00B95F7D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367F811" w14:textId="43A28BBD" w:rsidR="000F6A95" w:rsidRPr="005F5D93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451F4B">
              <w:rPr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6A44E10" w14:textId="032EBBB5" w:rsidR="000F6A95" w:rsidRPr="005F5D93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美国</w:t>
            </w:r>
            <w:r>
              <w:rPr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月零售销售</w:t>
            </w:r>
          </w:p>
        </w:tc>
      </w:tr>
      <w:tr w:rsidR="000F6A95" w:rsidRPr="008E3E9D" w14:paraId="0B8F007B" w14:textId="77777777" w:rsidTr="0022310E">
        <w:trPr>
          <w:trHeight w:val="652"/>
        </w:trPr>
        <w:tc>
          <w:tcPr>
            <w:tcW w:w="1701" w:type="dxa"/>
          </w:tcPr>
          <w:p w14:paraId="35B7D90B" w14:textId="1D150237" w:rsidR="000F6A95" w:rsidRDefault="000F6A95" w:rsidP="000F6A95">
            <w:pPr>
              <w:pStyle w:val="TableText"/>
              <w:rPr>
                <w:rFonts w:hint="eastAsia"/>
              </w:rPr>
            </w:pPr>
            <w:r w:rsidRPr="00B95F7D">
              <w:t>2026/3/</w:t>
            </w:r>
            <w:r w:rsidRPr="00B95F7D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690E5A9A" w14:textId="64BBAC1A" w:rsidR="000F6A95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451F4B">
              <w:rPr>
                <w:lang w:eastAsia="zh-CN"/>
              </w:rPr>
              <w:t>21:30</w:t>
            </w:r>
          </w:p>
        </w:tc>
        <w:tc>
          <w:tcPr>
            <w:tcW w:w="6344" w:type="dxa"/>
          </w:tcPr>
          <w:p w14:paraId="66B6BD74" w14:textId="7C0E3458" w:rsidR="000F6A95" w:rsidRPr="004F059A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0F6A95">
              <w:rPr>
                <w:lang w:eastAsia="zh-CN"/>
              </w:rPr>
              <w:t>美国2月失业率</w:t>
            </w:r>
          </w:p>
        </w:tc>
      </w:tr>
      <w:tr w:rsidR="000F6A95" w:rsidRPr="008E3E9D" w14:paraId="24FB6FD9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23BBFEF6" w14:textId="65D6FDE3" w:rsidR="000F6A95" w:rsidRPr="00272FFA" w:rsidRDefault="000F6A95" w:rsidP="000F6A95">
            <w:pPr>
              <w:pStyle w:val="TableText"/>
              <w:rPr>
                <w:rFonts w:hint="eastAsia"/>
              </w:rPr>
            </w:pPr>
            <w:r w:rsidRPr="00B95F7D">
              <w:t>2026/3/</w:t>
            </w:r>
            <w:r w:rsidRPr="00B95F7D"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E30E3A7" w14:textId="77777777" w:rsidR="000F6A95" w:rsidRPr="00451F4B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 w:rsidRPr="00451F4B">
              <w:rPr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49A7807" w14:textId="2ADDAB5F" w:rsidR="000F6A95" w:rsidRPr="00451F4B" w:rsidRDefault="000F6A95" w:rsidP="000F6A95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美国</w:t>
            </w:r>
            <w:r>
              <w:rPr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月非农就业人口变动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4BF5A5E" w14:textId="77777777" w:rsidR="000F6A95" w:rsidRPr="000F6A95" w:rsidRDefault="000F6A95" w:rsidP="000F6A9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99.04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0.23%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1.1609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0.09%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1.3358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157.5595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BFAAAFA" w14:textId="77777777" w:rsidR="000F6A95" w:rsidRPr="000F6A95" w:rsidRDefault="000F6A95" w:rsidP="000F6A9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美元指数持续偏强运行，美国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就业新增超出市场预期，美联储褐皮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书显示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多数地区经济呈温和增长态势。此前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就伊朗局势维持其强硬立场，叠加伊方宣布关闭霍尔木兹海峡，市场避险资金流入为美元提供强支撑。美联储主席提名人凯文·沃什将缓慢推进美联储缩表。沃什目标将美联储资产负债表规模恢复至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2008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年危机前水平，鹰派政策预期导致降息预期再度回落，年内两次降息概率回落至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50%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以下。近期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年期与</w:t>
      </w:r>
      <w:proofErr w:type="gramStart"/>
      <w:r w:rsidRPr="000F6A95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年期美债利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差收窄，显示出能源价格上涨背景下市场对通胀反弹风险的再定价。美经济数据延续较强韧性，叠加避险资金提供边际支撑，支持美元继续偏强运行，但由财政无序扩张导致美元信用走弱之叙事持续展开，美元大幅走高可能性仍相对受限。</w:t>
      </w:r>
    </w:p>
    <w:p w14:paraId="502379A4" w14:textId="5A7E2910" w:rsidR="002760F0" w:rsidRPr="002760F0" w:rsidRDefault="000F6A95" w:rsidP="000F6A9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月失业率意外下滑至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6.1%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，创下历史新低，通胀意外加速，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1.9%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，高于市场预期，支持了欧洲央行维持利率按兵不动的政策立场，本轮能源价格飙升或推动后续通胀读数再次走高。日本方面，央行行长植田和男重申，薪资水平的上涨为实现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通胀目标的关键因素。高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市对于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日央行鹰派基调呈强硬态度，延续宽松政策立场，但财政扩张基调较此前有所收敛。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欧元日元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走势仍受到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强美元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的压制，短期或震荡偏弱运行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14613A87" w:rsidR="007A477E" w:rsidRDefault="000F6A95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D184C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710EFFC4" wp14:editId="67770148">
            <wp:extent cx="4667250" cy="2389505"/>
            <wp:effectExtent l="0" t="0" r="0" b="0"/>
            <wp:docPr id="471583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7391EF2F" w:rsidR="007B3E0B" w:rsidRDefault="000F6A95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0F6A9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0.65%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6830.71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0F6A9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0.79%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6824.75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点。地缘局势上，中东冲突局势持续升级，各方表态趋于强硬。伊朗外长阿拉格齐称，已做好应对美国地面部队入侵的准备，并明确拒绝与美方重启谈判。伊朗常驻联合国代表团驳斥所谓伊朗封锁霍尔木兹海峡的说法，称其毫无根据，荒谬至极。以色列军方宣布对德黑兰发动第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13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轮空袭。美国方面据称正追加资源、以求支持战争持续“至少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100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天甚至到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月”。隔夜布伦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特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原油期货一度突破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85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美元，但收盘回落至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84.31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美元。再通胀预期令美联储降息概率明显回落，目前市场对美联储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月降息的押注仅有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30%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。美国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年期国债期货收益率站上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4.1%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。由于当前美伊局势未见好转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且冲突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仍在持续扩大，油价仍有进一步走高的可能，若油价突破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100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美元将对美股产生明显冲击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1553DE29" w:rsidR="007A477E" w:rsidRPr="00EE7376" w:rsidRDefault="000F6A95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27A7C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4D7E8FAE" wp14:editId="364C807D">
            <wp:extent cx="5274310" cy="1554095"/>
            <wp:effectExtent l="0" t="0" r="2540" b="8255"/>
            <wp:docPr id="3" name="图片 3" descr="C:\Users\Administrator\xwechat_files\wxid_vkxlzo0vqu7s22_6f5b\temp\InputTemp\7edd57f0-b944-4e9f-9105-e84e34e96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7edd57f0-b944-4e9f-9105-e84e34e9660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0B1E97FA" w:rsidR="00A42B48" w:rsidRDefault="000F6A95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截至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0.97%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14636.44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1.12%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14606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。海外方面，美国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就业人数超预期，同时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非制造业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价格指数创近一年新低。劳动市场稳健加上物价领先指标回落令隔夜美股出现反弹。然而市场对再通胀的预期并未消散，美国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年期国债期货收益率一度突破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4.1%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月份，受到春节假期影响，工厂停工使得制造业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回落，同时生产指数和新订单指数均回落，制造业呈</w:t>
      </w:r>
      <w:proofErr w:type="gramStart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供需双弱</w:t>
      </w:r>
      <w:proofErr w:type="gramEnd"/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态势；但居民消费火爆支撑非制造业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小幅上行。政策面，政府工作报告对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年经济增长目标较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年下调，但结合产业政策，显示出经济发展正向高质转变。同时对于财政政策的安排较</w:t>
      </w:r>
      <w:r w:rsidRPr="000F6A9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0F6A95">
        <w:rPr>
          <w:rFonts w:ascii="微软雅黑" w:eastAsia="微软雅黑" w:hAnsi="微软雅黑" w:cs="微软雅黑" w:hint="eastAsia"/>
          <w:spacing w:val="7"/>
          <w:lang w:eastAsia="zh-CN"/>
        </w:rPr>
        <w:t>年更为积极。整体来看，随着海外地缘冲突对再通胀预期的影响逐步被市场消化，全国两会的召开成为市场目前关注的热点，政府工作报告中对高技术制造行业的支持使得相关板块明显走高，同时积极的财政政策安排也强化市场对于政策支撑经济的预期。随着外部冲突的淡化，市场重新聚焦国内，稳中向好的基本面也为市场提供支撑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6D07DDC" w:rsidR="00A10388" w:rsidRDefault="000F6A95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327A7C">
        <w:rPr>
          <w:rFonts w:ascii="宋体" w:eastAsia="宋体" w:hAnsi="宋体" w:cs="Times New Roman"/>
          <w:noProof/>
        </w:rPr>
        <w:drawing>
          <wp:inline distT="0" distB="0" distL="0" distR="0" wp14:anchorId="67794B18" wp14:editId="76A51611">
            <wp:extent cx="5274310" cy="1561452"/>
            <wp:effectExtent l="0" t="0" r="2540" b="1270"/>
            <wp:docPr id="771533140" name="图片 771533140" descr="C:\Users\Administrator\xwechat_files\wxid_vkxlzo0vqu7s22_6f5b\temp\InputTemp\6ce0b3a0-0e76-4e0d-b534-f35cac30b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6ce0b3a0-0e76-4e0d-b534-f35cac30bc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46F36DD" w:rsidR="00AC6ADE" w:rsidRDefault="000F6A95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5.827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-1.36%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。国际方面，中东冲突——伊朗副外长拉万奇表示，伊朗尚未选出新任最高领袖；准备放弃其核计划，前提是美国提出令人满意的替代方案。美军被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曝开始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为对伊朗行动持续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天甚至到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月做准备。伊朗称摧毁西部分裂势力武装组织总部和弹药库。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需亲自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参与伊朗接班安排，不接受哈梅内伊之子接任最高领袖。鼓励库尔德人对伊朗发动攻势。伊朗正在打电话问怎么达成协议，但有点晚了。国内方面，政府工作报告提出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年发展主要预期目标：经济增长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4.5%-5%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，在实际工作中努力争取更好结果；居民消费价格涨幅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左右。库存方面，截至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599662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-1286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282200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+20675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303632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+1157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吨。美元美债方面，因中东冲突升级令投资者感到不安，推动避险资产需求上升，美元指数重拾涨势，最终收涨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99.05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0F6A95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4.1400%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0F6A95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F6A95">
        <w:rPr>
          <w:rFonts w:ascii="微软雅黑" w:eastAsia="微软雅黑" w:hAnsi="微软雅黑" w:cs="微软雅黑"/>
          <w:spacing w:val="12"/>
          <w:lang w:eastAsia="zh-CN"/>
        </w:rPr>
        <w:t>3.5910%</w:t>
      </w:r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0F6A95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7696CA0" w:rsidR="00A02266" w:rsidRDefault="000F6A95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52793640" wp14:editId="0F232652">
            <wp:extent cx="5274310" cy="2879090"/>
            <wp:effectExtent l="0" t="0" r="2540" b="0"/>
            <wp:docPr id="64075700" name="图片 6407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20EE28C4" w:rsidR="003E540D" w:rsidRPr="00E942DC" w:rsidRDefault="000F6A95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隔夜，贵金属市场震荡偏弱运行，伦敦金跌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0.70%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5084.63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盎司，伦敦银跌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1.50%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82.28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盎司；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0.81%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5093.30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0.80%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82.52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美元近期持续偏强运行，压制无息资产吸引力，叠加近期市场对于联储边际转鹰的一致预期，贵金属市场震荡回落。地缘方面，霍尔木兹海峡的通行中断以及多个海湾国家遭受袭击，提振市场避险情绪。经济数据方面，美国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ADP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就业新增超出市场预期，美联储褐皮书显示多数地区经济呈温和增长态势，美元及美债收益率延续偏强走势，对金价构成较强上行阻力。能源价格持续攀升，再度点燃市场对通胀上行的担忧。美联储主席提名人沃什将缓慢推进美联储缩表，鹰派政策预期导致降息预期再度回落，预计年内两次降息的概率已降至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50%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10Y-2Y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债利差延续收敛，预示市场继续展开对于通胀预期走强以及降息预期回落的定价。短期来看，资产抛售或导致流动性趋紧，但考虑到美伊局势后续较强不确定性，或继续推动贵金属市场的避险买盘需求。中长期而言，地缘裂痕加深与美元信用弱化的结构性逻辑未变，黄金作为首选避险对冲资产的吸引力仍存。操作上建议，逢低布局多单为主，注意风险控制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4E072D34" w:rsidR="007A477E" w:rsidRDefault="000F6A95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6D184C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045DF15F" wp14:editId="230175F2">
            <wp:extent cx="4419600" cy="2181860"/>
            <wp:effectExtent l="0" t="0" r="0" b="8890"/>
            <wp:docPr id="16924520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67B2EBE7" w14:textId="77777777" w:rsidR="000F6A95" w:rsidRPr="000F6A95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原糖期货周四基本持平，因需求减弱预期抵消油价上涨带来支撑。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0.07%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13.72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610FBFF" w14:textId="77777777" w:rsidR="000F6A95" w:rsidRPr="000F6A95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41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43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146.17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万吨，较此前一周的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157.7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万吨。当周等待装运出口的食糖船只数量小幅减少。</w:t>
      </w:r>
    </w:p>
    <w:p w14:paraId="3F44DEBC" w14:textId="64A041DF" w:rsidR="00C27A84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13.2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690FE915" w:rsidR="007A477E" w:rsidRPr="00786136" w:rsidRDefault="000F6A95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5E457E15" wp14:editId="7CC6EDFE">
            <wp:extent cx="5263515" cy="2162810"/>
            <wp:effectExtent l="0" t="0" r="0" b="8890"/>
            <wp:docPr id="2107560025" name="图片 5" descr="QQ截图2026030607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 descr="QQ截图20260306075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D607946" w14:textId="77777777" w:rsidR="000F6A95" w:rsidRPr="000F6A95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棉花期货周四下跌，受到市场不确定因素加剧及美元走强打压。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0.12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0.18%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64.04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59195F60" w14:textId="77777777" w:rsidR="000F6A95" w:rsidRPr="000F6A95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25.32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46%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19.30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10%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。当周美国棉花出口签约量减少。</w:t>
      </w:r>
    </w:p>
    <w:p w14:paraId="15654938" w14:textId="3D6CC3C3" w:rsidR="0034283D" w:rsidRPr="00AC6ADE" w:rsidRDefault="000F6A95" w:rsidP="000F6A9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F6A9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0F6A9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7CD039E" w:rsidR="00C24CC6" w:rsidRDefault="000F6A95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694B5F3A" wp14:editId="3F10A641">
            <wp:extent cx="5271770" cy="2170430"/>
            <wp:effectExtent l="0" t="0" r="5080" b="1270"/>
            <wp:docPr id="70761356" name="图片 6" descr="QQ截图2026030607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 descr="QQ截图202603060758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60CA8" w14:textId="77777777" w:rsidR="00B325E6" w:rsidRDefault="00B325E6">
      <w:pPr>
        <w:ind w:right="210" w:firstLine="420"/>
      </w:pPr>
      <w:r>
        <w:separator/>
      </w:r>
    </w:p>
  </w:endnote>
  <w:endnote w:type="continuationSeparator" w:id="0">
    <w:p w14:paraId="27901AF8" w14:textId="77777777" w:rsidR="00B325E6" w:rsidRDefault="00B325E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12801" w14:textId="77777777" w:rsidR="00B325E6" w:rsidRDefault="00B325E6">
      <w:pPr>
        <w:ind w:right="210" w:firstLine="420"/>
      </w:pPr>
      <w:r>
        <w:separator/>
      </w:r>
    </w:p>
  </w:footnote>
  <w:footnote w:type="continuationSeparator" w:id="0">
    <w:p w14:paraId="4D74A842" w14:textId="77777777" w:rsidR="00B325E6" w:rsidRDefault="00B325E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0F6A95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736</Words>
  <Characters>4197</Characters>
  <Application>Microsoft Office Word</Application>
  <DocSecurity>0</DocSecurity>
  <Lines>34</Lines>
  <Paragraphs>9</Paragraphs>
  <ScaleCrop>false</ScaleCrop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2026-03-06T01:31:00Z</dcterms:created>
  <dcterms:modified xsi:type="dcterms:W3CDTF">2026-03-06T01:31:00Z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