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E648F1">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01E1E042"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693203">
        <w:t>3</w:t>
      </w:r>
      <w:r>
        <w:rPr>
          <w:rFonts w:hint="eastAsia"/>
        </w:rPr>
        <w:t>月</w:t>
      </w:r>
      <w:r w:rsidR="00693203">
        <w:rPr>
          <w:rFonts w:hint="eastAsia"/>
        </w:rPr>
        <w:t>6</w:t>
      </w:r>
      <w:r>
        <w:rPr>
          <w:rFonts w:hint="eastAsia"/>
        </w:rPr>
        <w:t>日）</w:t>
      </w:r>
      <w:r>
        <w:t>美元兑人民币中间价</w:t>
      </w:r>
      <w:r>
        <w:rPr>
          <w:rFonts w:ascii="宋体" w:hAnsi="宋体" w:cs="宋体"/>
        </w:rPr>
        <w:t>报</w:t>
      </w:r>
      <w:r w:rsidR="002D37D1">
        <w:rPr>
          <w:rFonts w:ascii="宋体" w:hAnsi="宋体" w:cs="宋体"/>
        </w:rPr>
        <w:t>6.</w:t>
      </w:r>
      <w:r w:rsidR="00E648F1">
        <w:rPr>
          <w:rFonts w:ascii="宋体" w:hAnsi="宋体" w:cs="宋体"/>
        </w:rPr>
        <w:t>9025</w:t>
      </w:r>
      <w:r>
        <w:rPr>
          <w:rFonts w:ascii="宋体" w:hAnsi="宋体" w:cs="宋体"/>
        </w:rPr>
        <w:t>，</w:t>
      </w:r>
      <w:r w:rsidR="00E648F1">
        <w:rPr>
          <w:rFonts w:ascii="宋体" w:hAnsi="宋体" w:cs="宋体" w:hint="eastAsia"/>
        </w:rPr>
        <w:t>调升1</w:t>
      </w:r>
      <w:r w:rsidR="00E648F1">
        <w:rPr>
          <w:rFonts w:ascii="宋体" w:hAnsi="宋体" w:cs="宋体"/>
        </w:rPr>
        <w:t>8</w:t>
      </w:r>
      <w:r w:rsidR="00E648F1">
        <w:rPr>
          <w:rFonts w:ascii="宋体" w:hAnsi="宋体" w:cs="宋体" w:hint="eastAsia"/>
        </w:rPr>
        <w:t>个基点</w:t>
      </w:r>
      <w:r>
        <w:rPr>
          <w:rFonts w:ascii="宋体" w:hAnsi="宋体" w:cs="宋体" w:hint="eastAsia"/>
        </w:rPr>
        <w:t>，累计调</w:t>
      </w:r>
      <w:r w:rsidR="00503735">
        <w:rPr>
          <w:rFonts w:ascii="宋体" w:hAnsi="宋体" w:cs="宋体" w:hint="eastAsia"/>
        </w:rPr>
        <w:t>降</w:t>
      </w:r>
      <w:r w:rsidR="00E648F1">
        <w:rPr>
          <w:rFonts w:ascii="宋体" w:hAnsi="宋体" w:cs="宋体" w:hint="eastAsia"/>
        </w:rPr>
        <w:t>2</w:t>
      </w:r>
      <w:r w:rsidR="00E648F1">
        <w:rPr>
          <w:rFonts w:ascii="宋体" w:hAnsi="宋体" w:cs="宋体"/>
        </w:rPr>
        <w:t>03</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E648F1">
        <w:rPr>
          <w:rFonts w:ascii="宋体" w:hAnsi="宋体" w:hint="eastAsia"/>
        </w:rPr>
        <w:t>涨</w:t>
      </w:r>
      <w:r w:rsidR="004D1771">
        <w:rPr>
          <w:rFonts w:ascii="宋体" w:hAnsi="宋体" w:hint="eastAsia"/>
        </w:rPr>
        <w:t>0</w:t>
      </w:r>
      <w:r w:rsidR="00FB6956">
        <w:rPr>
          <w:rFonts w:ascii="宋体" w:hAnsi="宋体"/>
        </w:rPr>
        <w:t>.</w:t>
      </w:r>
      <w:r w:rsidR="00E648F1">
        <w:rPr>
          <w:rFonts w:ascii="宋体" w:hAnsi="宋体"/>
        </w:rPr>
        <w:t>8</w:t>
      </w:r>
      <w:r w:rsidR="00D66A7C">
        <w:rPr>
          <w:rFonts w:ascii="宋体" w:hAnsi="宋体"/>
        </w:rPr>
        <w:t>6</w:t>
      </w:r>
      <w:r w:rsidR="00FB6956">
        <w:rPr>
          <w:rFonts w:ascii="宋体" w:hAnsi="宋体"/>
        </w:rPr>
        <w:t>%</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E648F1">
        <w:rPr>
          <w:rFonts w:ascii="宋体" w:hAnsi="宋体" w:hint="eastAsia"/>
        </w:rPr>
        <w:t>涨0</w:t>
      </w:r>
      <w:r w:rsidR="00E648F1">
        <w:rPr>
          <w:rFonts w:ascii="宋体" w:hAnsi="宋体"/>
        </w:rPr>
        <w:t>.9</w:t>
      </w:r>
      <w:r w:rsidR="00D66A7C">
        <w:rPr>
          <w:rFonts w:ascii="宋体" w:hAnsi="宋体"/>
        </w:rPr>
        <w:t>1</w:t>
      </w:r>
      <w:r w:rsidR="007844B4" w:rsidRPr="00AA5ABE">
        <w:rPr>
          <w:rFonts w:ascii="宋体" w:hAnsi="宋体"/>
        </w:rPr>
        <w:t>%</w:t>
      </w:r>
      <w:r w:rsidRPr="00AA5ABE">
        <w:rPr>
          <w:rFonts w:ascii="宋体" w:hAnsi="宋体" w:hint="eastAsia"/>
        </w:rPr>
        <w:t>。</w:t>
      </w:r>
    </w:p>
    <w:p w14:paraId="2A8620FC" w14:textId="13056F77" w:rsidR="00CA7296" w:rsidRDefault="00CA7296" w:rsidP="00CA7296">
      <w:pPr>
        <w:spacing w:line="312" w:lineRule="auto"/>
        <w:ind w:firstLine="420"/>
      </w:pPr>
      <w:r>
        <w:rPr>
          <w:rFonts w:ascii="宋体" w:hAnsi="宋体" w:cs="宋体" w:hint="eastAsia"/>
        </w:rPr>
        <w:t>美元兑在岸人民币</w:t>
      </w:r>
      <w:r>
        <w:t>收报</w:t>
      </w:r>
      <w:r w:rsidR="003A699C">
        <w:t>6.</w:t>
      </w:r>
      <w:r w:rsidR="00D66A7C">
        <w:t>8</w:t>
      </w:r>
      <w:r w:rsidR="006553DD">
        <w:t>981</w:t>
      </w:r>
      <w:r>
        <w:t>，</w:t>
      </w:r>
      <w:r>
        <w:rPr>
          <w:rFonts w:hint="eastAsia"/>
        </w:rPr>
        <w:t>美元兑离岸人民币收报</w:t>
      </w:r>
      <w:r w:rsidR="003A699C">
        <w:t>6.</w:t>
      </w:r>
      <w:r w:rsidR="006553DD">
        <w:t>9093</w:t>
      </w:r>
      <w:r>
        <w:rPr>
          <w:rFonts w:hint="eastAsia"/>
        </w:rPr>
        <w:t>，在当周</w:t>
      </w:r>
      <w:r>
        <w:t>分别</w:t>
      </w:r>
      <w:r w:rsidR="006553DD">
        <w:rPr>
          <w:rFonts w:hint="eastAsia"/>
        </w:rPr>
        <w:t>上</w:t>
      </w:r>
      <w:r w:rsidR="00F76960">
        <w:rPr>
          <w:rFonts w:hint="eastAsia"/>
        </w:rPr>
        <w:t>调</w:t>
      </w:r>
      <w:r w:rsidR="006553DD">
        <w:rPr>
          <w:rFonts w:hint="eastAsia"/>
        </w:rPr>
        <w:t>4</w:t>
      </w:r>
      <w:r w:rsidR="006553DD">
        <w:t>22</w:t>
      </w:r>
      <w:r>
        <w:t>和</w:t>
      </w:r>
      <w:r w:rsidR="006553DD">
        <w:rPr>
          <w:rFonts w:hint="eastAsia"/>
        </w:rPr>
        <w:t>上</w:t>
      </w:r>
      <w:r w:rsidR="003576ED">
        <w:rPr>
          <w:rFonts w:hint="eastAsia"/>
        </w:rPr>
        <w:t>调</w:t>
      </w:r>
      <w:r w:rsidR="006553DD">
        <w:rPr>
          <w:rFonts w:hint="eastAsia"/>
        </w:rPr>
        <w:t>4</w:t>
      </w:r>
      <w:r w:rsidR="006553DD">
        <w:t>81</w:t>
      </w:r>
      <w:r>
        <w:rPr>
          <w:rFonts w:hint="eastAsia"/>
        </w:rPr>
        <w:t>个基点</w:t>
      </w:r>
      <w:r>
        <w:t>。欧元兑人民币报</w:t>
      </w:r>
      <w:r w:rsidR="006553DD">
        <w:t>7.9959</w:t>
      </w:r>
      <w:r>
        <w:t>、英镑兑人民币报</w:t>
      </w:r>
      <w:r w:rsidR="00C66DB1">
        <w:t>9</w:t>
      </w:r>
      <w:r w:rsidR="002D37D1">
        <w:t>.</w:t>
      </w:r>
      <w:r w:rsidR="00577A61">
        <w:t>2</w:t>
      </w:r>
      <w:r w:rsidR="00687269">
        <w:t>140</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6553DD">
        <w:t>3744</w:t>
      </w:r>
      <w:r w:rsidR="000959E1">
        <w:rPr>
          <w:rFonts w:hint="eastAsia"/>
        </w:rPr>
        <w:t>、</w:t>
      </w:r>
      <w:r>
        <w:t>澳元兑人民币报</w:t>
      </w:r>
      <w:r>
        <w:t>4</w:t>
      </w:r>
      <w:r w:rsidR="006B50D4">
        <w:t>.</w:t>
      </w:r>
      <w:r w:rsidR="00BC1938">
        <w:t>8</w:t>
      </w:r>
      <w:r w:rsidR="006553DD">
        <w:t>571</w:t>
      </w:r>
      <w:r>
        <w:rPr>
          <w:rFonts w:hint="eastAsia"/>
        </w:rPr>
        <w:t>，在当</w:t>
      </w:r>
      <w:r>
        <w:t>周分别</w:t>
      </w:r>
      <w:r w:rsidR="00D66A7C">
        <w:rPr>
          <w:rFonts w:hint="eastAsia"/>
        </w:rPr>
        <w:t>降</w:t>
      </w:r>
      <w:r w:rsidR="006553DD">
        <w:t>963</w:t>
      </w:r>
      <w:r>
        <w:t>、</w:t>
      </w:r>
      <w:r w:rsidR="00581D9D">
        <w:rPr>
          <w:rFonts w:hint="eastAsia"/>
        </w:rPr>
        <w:t>降</w:t>
      </w:r>
      <w:r w:rsidR="00687269">
        <w:rPr>
          <w:rFonts w:hint="eastAsia"/>
        </w:rPr>
        <w:t>4</w:t>
      </w:r>
      <w:r w:rsidR="00687269">
        <w:t>08</w:t>
      </w:r>
      <w:r>
        <w:rPr>
          <w:rFonts w:hint="eastAsia"/>
        </w:rPr>
        <w:t>、</w:t>
      </w:r>
      <w:r w:rsidR="00577A61">
        <w:rPr>
          <w:rFonts w:hint="eastAsia"/>
        </w:rPr>
        <w:t>降</w:t>
      </w:r>
      <w:r w:rsidR="006553DD">
        <w:rPr>
          <w:rFonts w:hint="eastAsia"/>
        </w:rPr>
        <w:t>2</w:t>
      </w:r>
      <w:r w:rsidR="006553DD">
        <w:t>81</w:t>
      </w:r>
      <w:r>
        <w:t>和</w:t>
      </w:r>
      <w:r w:rsidR="00577A61">
        <w:rPr>
          <w:rFonts w:hint="eastAsia"/>
        </w:rPr>
        <w:t>降</w:t>
      </w:r>
      <w:r w:rsidR="006553DD">
        <w:rPr>
          <w:rFonts w:hint="eastAsia"/>
        </w:rPr>
        <w:t>2</w:t>
      </w:r>
      <w:r w:rsidR="006553DD">
        <w:t>28</w:t>
      </w:r>
      <w:r>
        <w:rPr>
          <w:rFonts w:hint="eastAsia"/>
        </w:rPr>
        <w:t>个基点</w:t>
      </w:r>
      <w:r>
        <w:t>。</w:t>
      </w:r>
    </w:p>
    <w:p w14:paraId="76AC2601" w14:textId="4B56F5B3"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4E159A" w:rsidRPr="004E159A">
        <w:rPr>
          <w:rFonts w:hint="eastAsia"/>
        </w:rPr>
        <w:t>1616</w:t>
      </w:r>
      <w:r w:rsidR="004E159A" w:rsidRPr="004E159A">
        <w:rPr>
          <w:rFonts w:hint="eastAsia"/>
        </w:rPr>
        <w:t>亿元</w:t>
      </w:r>
      <w:r w:rsidR="004E159A" w:rsidRPr="004E159A">
        <w:rPr>
          <w:rFonts w:hint="eastAsia"/>
        </w:rPr>
        <w:t>7</w:t>
      </w:r>
      <w:r w:rsidR="004E159A" w:rsidRPr="004E159A">
        <w:rPr>
          <w:rFonts w:hint="eastAsia"/>
        </w:rPr>
        <w:t>天期逆回购操作，</w:t>
      </w:r>
      <w:r w:rsidR="004E159A">
        <w:rPr>
          <w:rFonts w:hint="eastAsia"/>
        </w:rPr>
        <w:t>当</w:t>
      </w:r>
      <w:r w:rsidR="004E159A" w:rsidRPr="004E159A">
        <w:rPr>
          <w:rFonts w:hint="eastAsia"/>
        </w:rPr>
        <w:t>周央行公开市场有</w:t>
      </w:r>
      <w:r w:rsidR="004E159A" w:rsidRPr="004E159A">
        <w:rPr>
          <w:rFonts w:hint="eastAsia"/>
        </w:rPr>
        <w:t>15250</w:t>
      </w:r>
      <w:r w:rsidR="004E159A" w:rsidRPr="004E159A">
        <w:rPr>
          <w:rFonts w:hint="eastAsia"/>
        </w:rPr>
        <w:t>亿元逆回购到期，因此净回笼</w:t>
      </w:r>
      <w:r w:rsidR="004E159A" w:rsidRPr="004E159A">
        <w:rPr>
          <w:rFonts w:hint="eastAsia"/>
        </w:rPr>
        <w:t>13634</w:t>
      </w:r>
      <w:r w:rsidR="004E159A" w:rsidRPr="004E159A">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EFD811D"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6553DD" w:rsidRPr="006553DD">
        <w:rPr>
          <w:rFonts w:ascii="宋体" w:hAnsi="宋体" w:hint="eastAsia"/>
        </w:rPr>
        <w:t>美国总统特朗普表示，美国对伊朗的战争可能很快就会结束。特朗普称，这场战争已经基本结束，差不多了。伊朗没有海军，没有通信系统，也没有空军。这比他最初预计的4到5周时间框架“进展快得多”。霍尔木兹海峡往来船只正在增多，他考虑接管该海峡。</w:t>
      </w:r>
    </w:p>
    <w:p w14:paraId="3316BE34" w14:textId="0E63F446" w:rsidR="00785749" w:rsidRPr="0011314B" w:rsidRDefault="00CA7296" w:rsidP="0011314B">
      <w:pPr>
        <w:spacing w:line="312" w:lineRule="auto"/>
        <w:ind w:firstLine="420"/>
        <w:rPr>
          <w:rFonts w:ascii="宋体" w:hAnsi="宋体"/>
        </w:rPr>
      </w:pPr>
      <w:r w:rsidRPr="0086476E">
        <w:rPr>
          <w:rFonts w:ascii="宋体" w:hAnsi="宋体" w:hint="eastAsia"/>
        </w:rPr>
        <w:t>2、</w:t>
      </w:r>
      <w:r w:rsidR="006553DD" w:rsidRPr="006553DD">
        <w:rPr>
          <w:rFonts w:ascii="宋体" w:hAnsi="宋体" w:hint="eastAsia"/>
        </w:rPr>
        <w:t>十四届全国人大四次会议3月5日在京开幕，国务院总理李强作《政府工作报告》。《政府工作报告》提出，今年发展主要预期目标是：经济增长4.5%-5%，在实际工作中努力争取更好结果；城镇调查失业率5.5%左右，城镇新增就业1200万人以上；居民消费价格涨幅2%左右；居民收入增长和经济增长同步；国际收支基本平衡；粮食产量1.4万亿斤左右；单位国内生产总值二氧化碳排放降低3.8%左右。</w:t>
      </w:r>
    </w:p>
    <w:p w14:paraId="0E3CF4D4" w14:textId="38086088"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6553DD" w:rsidRPr="006553DD">
        <w:rPr>
          <w:rFonts w:ascii="宋体" w:hAnsi="宋体" w:hint="eastAsia"/>
        </w:rPr>
        <w:t>十四届全国人大四次会议3月6日举行经济主题记者会。央行行长潘功胜表示，今年央行将实施适度宽松的货币政策，灵活高效地运用降准降息等多种货币政策工具，发挥增量和存量、货币政策和财政政策的集成协同效应。在数量上，将综合运用短、中、长期的政策工具，保证市场的流动性充裕，使社会融资规模、货币供应量增长，同经济增长、价格水平的预期目标相匹配。目前我国货币政策采用数量型和价格型调控并行的方式，未来将逐步</w:t>
      </w:r>
      <w:r w:rsidR="006553DD" w:rsidRPr="006553DD">
        <w:rPr>
          <w:rFonts w:ascii="宋体" w:hAnsi="宋体" w:hint="eastAsia"/>
        </w:rPr>
        <w:lastRenderedPageBreak/>
        <w:t>淡化数量型中介目标，把金融总量更多作为观测性、参考性、预期性指标，为更好发挥利率调控的作用创造条件。</w:t>
      </w:r>
    </w:p>
    <w:p w14:paraId="630B9579" w14:textId="20A3A63A" w:rsidR="00BC01B8" w:rsidRPr="00F44D25" w:rsidRDefault="00BC01B8" w:rsidP="001F0839">
      <w:pPr>
        <w:spacing w:line="312" w:lineRule="auto"/>
        <w:ind w:firstLine="420"/>
        <w:rPr>
          <w:rFonts w:ascii="宋体" w:hAnsi="宋体"/>
        </w:rPr>
      </w:pPr>
      <w:r w:rsidRPr="0086476E">
        <w:rPr>
          <w:rFonts w:ascii="宋体" w:hAnsi="宋体" w:hint="eastAsia"/>
        </w:rPr>
        <w:t>4、</w:t>
      </w:r>
      <w:bookmarkStart w:id="0" w:name="_GoBack"/>
      <w:r w:rsidR="006553DD" w:rsidRPr="006553DD">
        <w:rPr>
          <w:rFonts w:ascii="宋体" w:hAnsi="宋体" w:hint="eastAsia"/>
        </w:rPr>
        <w:t>美国财政部长贝森特表示，关税税率很快就会恢复到最高法院否决特朗普对等关税之前的水平。被问及美国何时正式采用15%的全球关税税率时，他表示“可能在本周的某个时候”。贝森特还表示，美国国际开发金融公司（DFC）将为在波斯湾地区运营的原油运输船及货船提供保险，相关安排已于3月3日宣布启动。美国将在未来几天与船东保持联系，后续还将推出更多举措。</w:t>
      </w:r>
      <w:bookmarkEnd w:id="0"/>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484E951E" w:rsidR="00CA7296" w:rsidRDefault="00E648F1"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09BB8C40" wp14:editId="6C837546">
            <wp:extent cx="3990611" cy="2114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02054" cy="2120613"/>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18C83F0D" w:rsidR="00CA7296" w:rsidRDefault="00E648F1" w:rsidP="00CA7296">
      <w:pPr>
        <w:spacing w:line="360" w:lineRule="auto"/>
        <w:jc w:val="center"/>
        <w:rPr>
          <w:rFonts w:ascii="宋体" w:hAnsi="宋体"/>
          <w:sz w:val="18"/>
          <w:szCs w:val="18"/>
        </w:rPr>
      </w:pPr>
      <w:r>
        <w:rPr>
          <w:noProof/>
        </w:rPr>
        <w:drawing>
          <wp:inline distT="0" distB="0" distL="0" distR="0" wp14:anchorId="552788F9" wp14:editId="3E0BF657">
            <wp:extent cx="4752975" cy="2707239"/>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3563" cy="271327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78F256E4" w:rsidR="00CA7296" w:rsidRPr="00AB4AA6" w:rsidRDefault="00E648F1" w:rsidP="00AB4AA6">
      <w:pPr>
        <w:jc w:val="center"/>
      </w:pPr>
      <w:r>
        <w:rPr>
          <w:noProof/>
        </w:rPr>
        <w:drawing>
          <wp:inline distT="0" distB="0" distL="0" distR="0" wp14:anchorId="03FC534E" wp14:editId="70B8D547">
            <wp:extent cx="3590925" cy="2128797"/>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8276" cy="2150940"/>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364FF03B" w:rsidR="00CA7296" w:rsidRDefault="00E648F1" w:rsidP="00CA7296">
      <w:pPr>
        <w:jc w:val="center"/>
      </w:pPr>
      <w:r>
        <w:rPr>
          <w:noProof/>
        </w:rPr>
        <w:drawing>
          <wp:inline distT="0" distB="0" distL="0" distR="0" wp14:anchorId="33BFE099" wp14:editId="76143BCC">
            <wp:extent cx="4714875" cy="2698026"/>
            <wp:effectExtent l="0" t="0" r="0"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5076" cy="2703863"/>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44EBDA19" w:rsidR="00CA7296" w:rsidRDefault="00E648F1" w:rsidP="00CA7296">
      <w:pPr>
        <w:jc w:val="center"/>
      </w:pPr>
      <w:r>
        <w:rPr>
          <w:noProof/>
        </w:rPr>
        <w:drawing>
          <wp:inline distT="0" distB="0" distL="0" distR="0" wp14:anchorId="271ACE72" wp14:editId="3D4D05DF">
            <wp:extent cx="3629025" cy="214197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52668" cy="2155927"/>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51772DCE">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5EF8A066" w14:textId="18E5E0E0" w:rsidR="00480DFA" w:rsidRDefault="00480DFA" w:rsidP="00103A47">
      <w:pPr>
        <w:spacing w:line="312" w:lineRule="auto"/>
        <w:ind w:firstLine="420"/>
        <w:rPr>
          <w:rFonts w:ascii="宋体" w:hAnsi="宋体" w:cs="宋体"/>
        </w:rPr>
      </w:pPr>
      <w:r w:rsidRPr="00480DFA">
        <w:rPr>
          <w:rFonts w:ascii="宋体" w:hAnsi="宋体" w:cs="宋体" w:hint="eastAsia"/>
        </w:rPr>
        <w:t>美国ISM制造业PMI数据强于预期，新订单指数延续韧性，但受关税担忧影响，通胀分项大幅走高，2月ADP就业新增超出市场预期。此前特朗普就伊朗局势维持其强硬立场，叠加伊方宣布关闭霍尔木兹海峡，避险情绪对美元进行支撑</w:t>
      </w:r>
      <w:r>
        <w:rPr>
          <w:rFonts w:ascii="宋体" w:hAnsi="宋体" w:cs="宋体" w:hint="eastAsia"/>
        </w:rPr>
        <w:t>，但随着特朗普生成</w:t>
      </w:r>
      <w:r w:rsidRPr="00480DFA">
        <w:rPr>
          <w:rFonts w:ascii="宋体" w:hAnsi="宋体" w:cs="宋体" w:hint="eastAsia"/>
        </w:rPr>
        <w:t>美国对伊朗的军事行动“很快”会结束，</w:t>
      </w:r>
      <w:r>
        <w:rPr>
          <w:rFonts w:ascii="宋体" w:hAnsi="宋体" w:cs="宋体" w:hint="eastAsia"/>
        </w:rPr>
        <w:t>市场对地缘局势的预期迅速改善</w:t>
      </w:r>
      <w:r w:rsidRPr="00480DFA">
        <w:rPr>
          <w:rFonts w:ascii="宋体" w:hAnsi="宋体" w:cs="宋体" w:hint="eastAsia"/>
        </w:rPr>
        <w:t>。美联储主席提名人凯文·沃什将缓慢推进美联储缩表，鹰派政策预期导致降息预期再度回落。近期10年期与2年期美债利差收窄，显示出能源价格上涨背景下市场对通胀反弹风险的再定价。经济韧性与避险情绪升温共同提振美元</w:t>
      </w:r>
      <w:r w:rsidR="006553DD">
        <w:rPr>
          <w:rFonts w:ascii="宋体" w:hAnsi="宋体" w:cs="宋体" w:hint="eastAsia"/>
        </w:rPr>
        <w:t>，但随着地缘政治局势缓和，料有所回落</w:t>
      </w:r>
      <w:r w:rsidRPr="00480DFA">
        <w:rPr>
          <w:rFonts w:ascii="宋体" w:hAnsi="宋体" w:cs="宋体" w:hint="eastAsia"/>
        </w:rPr>
        <w:t>。</w:t>
      </w:r>
    </w:p>
    <w:p w14:paraId="16FCB4C1" w14:textId="21DB5CF0" w:rsidR="00F954EA" w:rsidRPr="00AA5ABE" w:rsidRDefault="00480DFA" w:rsidP="00103A47">
      <w:pPr>
        <w:spacing w:line="312" w:lineRule="auto"/>
        <w:ind w:firstLine="420"/>
        <w:rPr>
          <w:rFonts w:ascii="宋体" w:hAnsi="宋体"/>
        </w:rPr>
      </w:pPr>
      <w:r w:rsidRPr="00480DFA">
        <w:rPr>
          <w:rFonts w:ascii="宋体" w:hAnsi="宋体" w:cs="宋体" w:hint="eastAsia"/>
        </w:rPr>
        <w:t>国内端，2月我国制造业景气度小幅回落，环比下降0.3%，除了春节季节性因素影响外，供需两端双双回落。新出口订单大幅下行2.8个百分点至45.0，相较于生产端，需求端尤其是外需收缩幅度更甚，地缘政治局势恶化使得全球贸易端遭受挑战。总的来看，特朗普提高关税水平叠加地缘政治事件反复，市场避险情绪升温，</w:t>
      </w:r>
      <w:r w:rsidR="006553DD">
        <w:rPr>
          <w:rFonts w:ascii="宋体" w:hAnsi="宋体" w:cs="宋体" w:hint="eastAsia"/>
        </w:rPr>
        <w:t>但特朗普生成“短期”结束或带动</w:t>
      </w:r>
      <w:r w:rsidRPr="00480DFA">
        <w:rPr>
          <w:rFonts w:ascii="宋体" w:hAnsi="宋体" w:cs="宋体" w:hint="eastAsia"/>
        </w:rPr>
        <w:t>人民币兑美元汇率波动</w:t>
      </w:r>
      <w:r w:rsidR="006553DD">
        <w:rPr>
          <w:rFonts w:ascii="宋体" w:hAnsi="宋体" w:cs="宋体" w:hint="eastAsia"/>
        </w:rPr>
        <w:t>走向平稳</w:t>
      </w:r>
      <w:r w:rsidRPr="00480DFA">
        <w:rPr>
          <w:rFonts w:ascii="宋体" w:hAnsi="宋体" w:cs="宋体" w:hint="eastAsia"/>
        </w:rPr>
        <w:t>。</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8D23" w14:textId="77777777" w:rsidR="00E04EBC" w:rsidRDefault="00E04EBC" w:rsidP="00127060">
      <w:r>
        <w:separator/>
      </w:r>
    </w:p>
  </w:endnote>
  <w:endnote w:type="continuationSeparator" w:id="0">
    <w:p w14:paraId="6098BF54" w14:textId="77777777" w:rsidR="00E04EBC" w:rsidRDefault="00E04EBC"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28981" w14:textId="77777777" w:rsidR="00E04EBC" w:rsidRDefault="00E04EBC" w:rsidP="00127060">
      <w:r>
        <w:separator/>
      </w:r>
    </w:p>
  </w:footnote>
  <w:footnote w:type="continuationSeparator" w:id="0">
    <w:p w14:paraId="4CA6DE46" w14:textId="77777777" w:rsidR="00E04EBC" w:rsidRDefault="00E04EBC"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E6617"/>
    <w:rsid w:val="000F156E"/>
    <w:rsid w:val="000F6721"/>
    <w:rsid w:val="000F6A0B"/>
    <w:rsid w:val="000F72AD"/>
    <w:rsid w:val="00100296"/>
    <w:rsid w:val="00103A47"/>
    <w:rsid w:val="00112C39"/>
    <w:rsid w:val="0011314B"/>
    <w:rsid w:val="00113D9E"/>
    <w:rsid w:val="00115730"/>
    <w:rsid w:val="0012070F"/>
    <w:rsid w:val="00125BEA"/>
    <w:rsid w:val="00127060"/>
    <w:rsid w:val="001359F0"/>
    <w:rsid w:val="001407AC"/>
    <w:rsid w:val="001431CC"/>
    <w:rsid w:val="001470E8"/>
    <w:rsid w:val="00150521"/>
    <w:rsid w:val="00153427"/>
    <w:rsid w:val="001564E1"/>
    <w:rsid w:val="0015671A"/>
    <w:rsid w:val="001573DE"/>
    <w:rsid w:val="001728A8"/>
    <w:rsid w:val="00182FB2"/>
    <w:rsid w:val="001847B0"/>
    <w:rsid w:val="001848CA"/>
    <w:rsid w:val="001869F4"/>
    <w:rsid w:val="00186F23"/>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58C3"/>
    <w:rsid w:val="00247EFC"/>
    <w:rsid w:val="00253827"/>
    <w:rsid w:val="00254A2B"/>
    <w:rsid w:val="00257436"/>
    <w:rsid w:val="0026035D"/>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66A3"/>
    <w:rsid w:val="003070DC"/>
    <w:rsid w:val="00310347"/>
    <w:rsid w:val="00311DD7"/>
    <w:rsid w:val="00312B57"/>
    <w:rsid w:val="00324293"/>
    <w:rsid w:val="003265E6"/>
    <w:rsid w:val="00326BE8"/>
    <w:rsid w:val="00330541"/>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57B41"/>
    <w:rsid w:val="00462568"/>
    <w:rsid w:val="00464902"/>
    <w:rsid w:val="0047032F"/>
    <w:rsid w:val="00472C1A"/>
    <w:rsid w:val="00480DFA"/>
    <w:rsid w:val="0048255E"/>
    <w:rsid w:val="00482C6C"/>
    <w:rsid w:val="004855D9"/>
    <w:rsid w:val="00490A4C"/>
    <w:rsid w:val="00495814"/>
    <w:rsid w:val="004A483B"/>
    <w:rsid w:val="004A5DEA"/>
    <w:rsid w:val="004A618A"/>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71EBF"/>
    <w:rsid w:val="00574E1F"/>
    <w:rsid w:val="00577A61"/>
    <w:rsid w:val="00581D9D"/>
    <w:rsid w:val="00583AD9"/>
    <w:rsid w:val="00585144"/>
    <w:rsid w:val="00592071"/>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6B9B"/>
    <w:rsid w:val="00687269"/>
    <w:rsid w:val="00693203"/>
    <w:rsid w:val="006938C5"/>
    <w:rsid w:val="00695DD5"/>
    <w:rsid w:val="006A2C2A"/>
    <w:rsid w:val="006A35D1"/>
    <w:rsid w:val="006A3F5D"/>
    <w:rsid w:val="006A584F"/>
    <w:rsid w:val="006B4178"/>
    <w:rsid w:val="006B50D4"/>
    <w:rsid w:val="006B685C"/>
    <w:rsid w:val="006C158F"/>
    <w:rsid w:val="006C1898"/>
    <w:rsid w:val="006D339B"/>
    <w:rsid w:val="006E2C2D"/>
    <w:rsid w:val="006E5C84"/>
    <w:rsid w:val="006E7ABA"/>
    <w:rsid w:val="006F53BF"/>
    <w:rsid w:val="006F54F0"/>
    <w:rsid w:val="006F7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15E9"/>
    <w:rsid w:val="00852D32"/>
    <w:rsid w:val="00852FAF"/>
    <w:rsid w:val="00853402"/>
    <w:rsid w:val="00854449"/>
    <w:rsid w:val="008575F1"/>
    <w:rsid w:val="0086476E"/>
    <w:rsid w:val="008663E7"/>
    <w:rsid w:val="0087172E"/>
    <w:rsid w:val="00871BD0"/>
    <w:rsid w:val="00881976"/>
    <w:rsid w:val="00882F85"/>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58F9"/>
    <w:rsid w:val="00B17CED"/>
    <w:rsid w:val="00B20497"/>
    <w:rsid w:val="00B21983"/>
    <w:rsid w:val="00B21F18"/>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8EA"/>
    <w:rsid w:val="00C42CD6"/>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D1D"/>
    <w:rsid w:val="00D7687B"/>
    <w:rsid w:val="00D80111"/>
    <w:rsid w:val="00D87535"/>
    <w:rsid w:val="00D906DE"/>
    <w:rsid w:val="00D96A08"/>
    <w:rsid w:val="00DA3C42"/>
    <w:rsid w:val="00DA54C3"/>
    <w:rsid w:val="00DA6F42"/>
    <w:rsid w:val="00DB06A2"/>
    <w:rsid w:val="00DB11FD"/>
    <w:rsid w:val="00DB2849"/>
    <w:rsid w:val="00DB58B5"/>
    <w:rsid w:val="00DB70AE"/>
    <w:rsid w:val="00DC2BE9"/>
    <w:rsid w:val="00DC342B"/>
    <w:rsid w:val="00DC373F"/>
    <w:rsid w:val="00DD3375"/>
    <w:rsid w:val="00DE437F"/>
    <w:rsid w:val="00DE5BCE"/>
    <w:rsid w:val="00DF74BC"/>
    <w:rsid w:val="00E0471F"/>
    <w:rsid w:val="00E04EBC"/>
    <w:rsid w:val="00E07DDD"/>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384B"/>
    <w:rsid w:val="00E83E98"/>
    <w:rsid w:val="00E8480F"/>
    <w:rsid w:val="00EA1A14"/>
    <w:rsid w:val="00EB0DF5"/>
    <w:rsid w:val="00EC0693"/>
    <w:rsid w:val="00EC0D08"/>
    <w:rsid w:val="00EC3FF1"/>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B30"/>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46090</c:v>
                </c:pt>
                <c:pt idx="1">
                  <c:v>46087</c:v>
                </c:pt>
                <c:pt idx="2">
                  <c:v>46086</c:v>
                </c:pt>
                <c:pt idx="3">
                  <c:v>46085</c:v>
                </c:pt>
                <c:pt idx="4">
                  <c:v>46084</c:v>
                </c:pt>
                <c:pt idx="5">
                  <c:v>46083</c:v>
                </c:pt>
              </c:numCache>
            </c:numRef>
          </c:cat>
          <c:val>
            <c:numRef>
              <c:f>价差!$D$7:$D$12</c:f>
              <c:numCache>
                <c:formatCode>0.0000_ </c:formatCode>
                <c:ptCount val="6"/>
                <c:pt idx="0">
                  <c:v>3.0800000000000161E-2</c:v>
                </c:pt>
                <c:pt idx="1">
                  <c:v>-1.1199999999999655E-2</c:v>
                </c:pt>
                <c:pt idx="2">
                  <c:v>-1.8100000000000449E-2</c:v>
                </c:pt>
                <c:pt idx="3">
                  <c:v>1.7400000000000304E-2</c:v>
                </c:pt>
                <c:pt idx="4">
                  <c:v>-1.780000000000026E-2</c:v>
                </c:pt>
                <c:pt idx="5">
                  <c:v>-1.5699999999999825E-2</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46090</c:v>
                </c:pt>
                <c:pt idx="1">
                  <c:v>46087</c:v>
                </c:pt>
                <c:pt idx="2">
                  <c:v>46086</c:v>
                </c:pt>
                <c:pt idx="3">
                  <c:v>46085</c:v>
                </c:pt>
                <c:pt idx="4">
                  <c:v>46084</c:v>
                </c:pt>
                <c:pt idx="5">
                  <c:v>46083</c:v>
                </c:pt>
              </c:numCache>
            </c:numRef>
          </c:cat>
          <c:val>
            <c:numRef>
              <c:f>价差!$B$7:$B$12</c:f>
              <c:numCache>
                <c:formatCode>0.0000</c:formatCode>
                <c:ptCount val="6"/>
                <c:pt idx="0">
                  <c:v>6.9183000000000003</c:v>
                </c:pt>
                <c:pt idx="1">
                  <c:v>6.8981000000000003</c:v>
                </c:pt>
                <c:pt idx="2">
                  <c:v>6.9002999999999997</c:v>
                </c:pt>
                <c:pt idx="3">
                  <c:v>6.9119999999999999</c:v>
                </c:pt>
                <c:pt idx="4">
                  <c:v>6.8997000000000002</c:v>
                </c:pt>
                <c:pt idx="5">
                  <c:v>6.8855000000000004</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46090</c:v>
                </c:pt>
                <c:pt idx="1">
                  <c:v>46087</c:v>
                </c:pt>
                <c:pt idx="2">
                  <c:v>46086</c:v>
                </c:pt>
                <c:pt idx="3">
                  <c:v>46085</c:v>
                </c:pt>
                <c:pt idx="4">
                  <c:v>46084</c:v>
                </c:pt>
                <c:pt idx="5">
                  <c:v>46083</c:v>
                </c:pt>
              </c:numCache>
            </c:numRef>
          </c:cat>
          <c:val>
            <c:numRef>
              <c:f>价差!$C$7:$C$12</c:f>
              <c:numCache>
                <c:formatCode>0.0000</c:formatCode>
                <c:ptCount val="6"/>
                <c:pt idx="0">
                  <c:v>6.8875000000000002</c:v>
                </c:pt>
                <c:pt idx="1">
                  <c:v>6.9093</c:v>
                </c:pt>
                <c:pt idx="2">
                  <c:v>6.9184000000000001</c:v>
                </c:pt>
                <c:pt idx="3">
                  <c:v>6.8945999999999996</c:v>
                </c:pt>
                <c:pt idx="4">
                  <c:v>6.9175000000000004</c:v>
                </c:pt>
                <c:pt idx="5">
                  <c:v>6.9012000000000002</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1B358-5C63-4E28-96B1-FB31F420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9</cp:revision>
  <cp:lastPrinted>2024-12-24T02:37:00Z</cp:lastPrinted>
  <dcterms:created xsi:type="dcterms:W3CDTF">2026-03-03T01:48:00Z</dcterms:created>
  <dcterms:modified xsi:type="dcterms:W3CDTF">2026-03-10T01:22:00Z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