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ADB6AF0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17266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F849C0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7DE6914B" w:rsidR="007B3E0B" w:rsidRDefault="00172666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172666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涨2.49%报46341.51点，</w:t>
      </w:r>
      <w:proofErr w:type="gramStart"/>
      <w:r w:rsidRPr="00172666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172666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涨2.91%报6528.52点，</w:t>
      </w:r>
      <w:proofErr w:type="gramStart"/>
      <w:r w:rsidRPr="00172666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3.83%报21590.63点。美元指数跌0.62%报99.88，非美货币多数上涨，欧元兑美元涨0.79%报1.1553，英镑兑美元涨0.33%报1.3227，澳元兑美元涨0.70%报0.6900，美元兑日元跌0.63%报158.7270，</w:t>
      </w:r>
      <w:r w:rsidRPr="00172666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涨285个基点报6.8879。</w:t>
      </w:r>
      <w:proofErr w:type="gramStart"/>
      <w:r w:rsidRPr="00172666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主力合约收跌</w:t>
      </w:r>
      <w:proofErr w:type="gramEnd"/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1.28%，报101.56美元/桶；</w:t>
      </w:r>
      <w:proofErr w:type="gramStart"/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172666">
        <w:rPr>
          <w:rFonts w:ascii="微软雅黑" w:eastAsia="微软雅黑" w:hAnsi="微软雅黑" w:cs="微软雅黑" w:hint="eastAsia"/>
          <w:spacing w:val="12"/>
          <w:lang w:eastAsia="zh-CN"/>
        </w:rPr>
        <w:t>合约跌3.86%，报103.25美元/桶。国际贵金属期货普遍收涨，COMEX黄金期货涨3.12%报4699.60美元/盎司，COMEX白银期货涨6.77%报75.34美元/盎司。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653A5D" w:rsidRPr="00653A5D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0.26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1</w:t>
      </w:r>
      <w:r w:rsidR="008A04B9" w:rsidRPr="00653A5D">
        <w:rPr>
          <w:rFonts w:ascii="微软雅黑" w:eastAsia="微软雅黑" w:hAnsi="微软雅黑" w:cs="微软雅黑" w:hint="eastAsia"/>
          <w:spacing w:val="12"/>
          <w:lang w:eastAsia="zh-CN"/>
        </w:rPr>
        <w:t>5.</w:t>
      </w:r>
      <w:r w:rsidR="00653A5D" w:rsidRPr="00653A5D">
        <w:rPr>
          <w:rFonts w:ascii="微软雅黑" w:eastAsia="微软雅黑" w:hAnsi="微软雅黑" w:cs="微软雅黑" w:hint="eastAsia"/>
          <w:spacing w:val="12"/>
          <w:lang w:eastAsia="zh-CN"/>
        </w:rPr>
        <w:t>5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跌0.30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69.98</w:t>
      </w:r>
      <w:r w:rsidR="00451F4B" w:rsidRPr="00653A5D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22E68FD8" w:rsidR="00557736" w:rsidRPr="0022448B" w:rsidRDefault="00172666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197EBFC3" wp14:editId="6F0A910F">
            <wp:extent cx="6114808" cy="4037774"/>
            <wp:effectExtent l="0" t="0" r="635" b="1270"/>
            <wp:docPr id="20637995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78" cy="4047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0B2A72EF" w:rsidR="0079359D" w:rsidRPr="00F64537" w:rsidRDefault="0079359D" w:rsidP="001F0225">
      <w:pPr>
        <w:spacing w:before="102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表示，即使霍尔木兹海峡仍大体关闭，也愿意结束对伊朗的军事行动。他认为对伊朗战争很可能很快结束，其他国家无需美国军事援助即可重新开放霍尔木兹海峡。美国国防部长赫格塞思表示，美国当前“首要任务”是寻求一项协议，以结束与伊朗的战事。伊朗总统佩泽希齐扬表示，伊朗愿意结束战争，但前提是其诉求得到满足，尤其是获得不再遭受侵略的保证。</w:t>
      </w: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0F8D8B11" w:rsidR="008A04B9" w:rsidRPr="00F64537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伊朗外交部长阿拉格齐表示，当前局势“并非谈判”，而是通过直接渠道或“地区朋友”进行的信息交换。伊朗仍收到来自美方代表威特科夫的信息，但这并不意味着谈判已启动，相关交流主要为“警告或交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换观点”。他指出，目前伊朗未与任何特定方展开谈判。阿拉格齐强调，伊朗未对美国提出的15项提议</w:t>
      </w:r>
      <w:proofErr w:type="gramStart"/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任何回应，也未提出任何提议或条件。</w:t>
      </w: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676EB80B" w:rsidR="00DA61DC" w:rsidRPr="00F64537" w:rsidRDefault="008E1CCA" w:rsidP="00DA61D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伊朗伊斯兰革命卫队发布公告称，将中东地区与18家美国信息通信技术和人工智能企业有关的公司机构作为“合法打击目标”，包括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英伟达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苹果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特斯拉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谷歌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Meta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微软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思科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惠普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英特尔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甲骨文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IBM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、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摩根大通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及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波音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等。</w:t>
      </w: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E73758" w14:textId="304C9F46" w:rsidR="005D31CD" w:rsidRPr="00F64537" w:rsidRDefault="005D31CD" w:rsidP="00DA61D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美国国防部长赫格塞思表示，考虑到部分盟友拒绝提供帮助，美国总统特朗普将在对伊朗军事行动结束后就北约的未来</w:t>
      </w:r>
      <w:proofErr w:type="gramStart"/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决定。此前，特朗普在社交媒体上连发两条帖文，对英国和法国在对伊朗军事行动中的表现表示不满。</w:t>
      </w: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D62D9A" w14:textId="7415ACFE" w:rsidR="009145EF" w:rsidRPr="00F64537" w:rsidRDefault="009145EF" w:rsidP="00DA61DC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据联合国分析，伊朗战争造成的扰乱可能导致阿拉伯国家GDP损失1200亿-1940亿美元，导致该地区失业率上升最多4个百分点，约360万个就业岗位流失，使多达400万人陷入贫困。高盛估计，如果冲突持续至4月底，卡塔尔和科威特今年GDP可能各自萎缩14%，沙特和阿联酋的GDP可能分别下降约3%和5%。</w:t>
      </w: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4FDECCC" w14:textId="2B10E27D" w:rsidR="00800F46" w:rsidRPr="00F64537" w:rsidRDefault="009145EF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消息称，阿联酋、沙特等部分海湾国家希望美国继续对伊朗战争，其中，阿联酋正“极力推动”美军发动地面战，科威特和巴林也对此持支持立场。针对美可能发动地面战，伊朗高官近日密集发声进行警告。伊朗最高领袖外事顾问韦拉亚提表示，敌人对伊朗任何地区的地面入侵，都将遭遇“历史性”失败。</w:t>
      </w: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F3213A5" w14:textId="7F57F1AB" w:rsidR="00725257" w:rsidRDefault="0072525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F6453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世界大型企业联合会公布数据，美国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3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月消费者信心指数升至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91.8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，高于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2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月修正后的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91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，也显著好于经济学家预期的</w:t>
      </w:r>
      <w:r w:rsidR="00172666" w:rsidRPr="00172666">
        <w:rPr>
          <w:rFonts w:ascii="微软雅黑" w:eastAsia="微软雅黑" w:hAnsi="微软雅黑" w:cs="微软雅黑"/>
          <w:color w:val="auto"/>
          <w:spacing w:val="4"/>
          <w:lang w:eastAsia="zh-CN"/>
        </w:rPr>
        <w:t>87.9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。受伊朗战争推高能源价格影响，通胀预期指标明显上升。</w:t>
      </w:r>
      <w:r w:rsidRPr="00FF3BC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3C03547" w14:textId="60B8C59D" w:rsidR="00653A5D" w:rsidRPr="00FF3BC9" w:rsidRDefault="00653A5D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172666" w:rsidRPr="0017266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欧元区3月CPI初值同比上涨2.5%，创2022年以来最大单月涨幅。剔除能源、食品的核心CPI意外放缓至2.3%，服务业通胀也出现回落。欧洲央行管委穆勒表示，若伊朗战争持续推高油气价格，不能排除4月加息的可能性。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5F614C" w14:textId="77777777" w:rsidR="001566D0" w:rsidRDefault="001566D0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653A5D" w14:paraId="1D7AD70B" w14:textId="77777777" w:rsidTr="002B6785">
        <w:trPr>
          <w:trHeight w:val="620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172666" w:rsidRPr="00653A5D" w14:paraId="5F022180" w14:textId="77777777" w:rsidTr="002B6785">
        <w:trPr>
          <w:trHeight w:val="620"/>
        </w:trPr>
        <w:tc>
          <w:tcPr>
            <w:tcW w:w="1701" w:type="dxa"/>
          </w:tcPr>
          <w:bookmarkEnd w:id="0"/>
          <w:p w14:paraId="0C988316" w14:textId="182CF7E3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2026/4/1</w:t>
            </w:r>
          </w:p>
        </w:tc>
        <w:tc>
          <w:tcPr>
            <w:tcW w:w="1314" w:type="dxa"/>
          </w:tcPr>
          <w:p w14:paraId="51E99E69" w14:textId="16C88E9A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</w:tcPr>
          <w:p w14:paraId="0A6EFD90" w14:textId="5FC7B16E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 3 月制造业 PMI 终值</w:t>
            </w:r>
          </w:p>
        </w:tc>
      </w:tr>
      <w:tr w:rsidR="00172666" w:rsidRPr="00653A5D" w14:paraId="38D6AA35" w14:textId="77777777" w:rsidTr="002B6785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6FCC216F" w14:textId="651E29A1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052B9BC9" w14:textId="5AA9A3B1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F849C0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5041641" w14:textId="05FA45DE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 2 月失业率</w:t>
            </w:r>
          </w:p>
        </w:tc>
      </w:tr>
      <w:tr w:rsidR="00172666" w:rsidRPr="00653A5D" w14:paraId="522F07B0" w14:textId="77777777" w:rsidTr="002B6785">
        <w:trPr>
          <w:trHeight w:val="652"/>
        </w:trPr>
        <w:tc>
          <w:tcPr>
            <w:tcW w:w="1701" w:type="dxa"/>
          </w:tcPr>
          <w:p w14:paraId="1E4C90FE" w14:textId="37380CED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2026/4/1</w:t>
            </w:r>
          </w:p>
        </w:tc>
        <w:tc>
          <w:tcPr>
            <w:tcW w:w="1314" w:type="dxa"/>
          </w:tcPr>
          <w:p w14:paraId="7A631CAA" w14:textId="06D65B38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20:15</w:t>
            </w:r>
          </w:p>
        </w:tc>
        <w:tc>
          <w:tcPr>
            <w:tcW w:w="6344" w:type="dxa"/>
          </w:tcPr>
          <w:p w14:paraId="474F8F08" w14:textId="36F84141" w:rsidR="00172666" w:rsidRPr="00653A5D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3 月 ADP 就业人数</w:t>
            </w:r>
          </w:p>
        </w:tc>
      </w:tr>
      <w:tr w:rsidR="00172666" w:rsidRPr="00653A5D" w14:paraId="43C273B2" w14:textId="77777777" w:rsidTr="00172666">
        <w:trPr>
          <w:trHeight w:val="652"/>
        </w:trPr>
        <w:tc>
          <w:tcPr>
            <w:tcW w:w="1701" w:type="dxa"/>
            <w:shd w:val="clear" w:color="auto" w:fill="DAE3F4" w:themeFill="accent1" w:themeFillTint="33"/>
          </w:tcPr>
          <w:p w14:paraId="46E293B4" w14:textId="7C54B43D" w:rsidR="00172666" w:rsidRPr="00F849C0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D493941" w14:textId="7DE4AEE8" w:rsidR="00172666" w:rsidRPr="00F849C0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D265CC9" w14:textId="62A2EBBA" w:rsidR="00172666" w:rsidRPr="00172666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2 月零售销售</w:t>
            </w:r>
          </w:p>
        </w:tc>
      </w:tr>
      <w:tr w:rsidR="00172666" w:rsidRPr="00653A5D" w14:paraId="75C68A08" w14:textId="77777777" w:rsidTr="002B6785">
        <w:trPr>
          <w:trHeight w:val="652"/>
        </w:trPr>
        <w:tc>
          <w:tcPr>
            <w:tcW w:w="1701" w:type="dxa"/>
          </w:tcPr>
          <w:p w14:paraId="75D00D91" w14:textId="589387B0" w:rsidR="00172666" w:rsidRPr="00F849C0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2026/4/1</w:t>
            </w:r>
          </w:p>
        </w:tc>
        <w:tc>
          <w:tcPr>
            <w:tcW w:w="1314" w:type="dxa"/>
          </w:tcPr>
          <w:p w14:paraId="49A57BAC" w14:textId="0B34E90A" w:rsidR="00172666" w:rsidRPr="00F849C0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</w:tcPr>
          <w:p w14:paraId="6C864308" w14:textId="2C9D7174" w:rsidR="00172666" w:rsidRPr="00172666" w:rsidRDefault="00172666" w:rsidP="00172666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172666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 3 月 ISM 制造业 PMI</w:t>
            </w:r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美元指数</w:t>
      </w:r>
    </w:p>
    <w:p w14:paraId="06BD6CD8" w14:textId="77777777" w:rsidR="002F6B1F" w:rsidRPr="002F6B1F" w:rsidRDefault="002F6B1F" w:rsidP="002F6B1F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0.62%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99.88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0.79%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1.1553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0.33%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1.3227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0.63%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158.7270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2C054C3A" w14:textId="77777777" w:rsidR="002F6B1F" w:rsidRPr="002F6B1F" w:rsidRDefault="002F6B1F" w:rsidP="002F6B1F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特朗普释放美伊局势缓和信号，表示即便霍尔木兹海峡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中断仍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将推进停火谈判。受此消息推动，市场风险偏好有所抬升，原油及美元高位大幅回落。美联储方面，主席鲍威尔表示将暂时“忽略”美伊冲突的短暂能源冲击对于联储后续降息路径的影响，使得年内加息押注边际回落，市场重启年内降息空间仍存的定价，米兰再度释放鸽派信号，呼吁年内维持降息节奏，美国短端国债收益率持续走弱，或对美元上行构成一定阻力。整体来看，地缘扰动、再通胀预期及“更高更久”利率环境仍支撑美元偏强运行，但财政扩张与美元信用走弱的中长期约束未消，上方整数关口存在较强阻力，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美指短期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或震荡偏强运行，重点关注本周五美国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月非农就业数据表现以及下周公布的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通胀数据。</w:t>
      </w:r>
    </w:p>
    <w:p w14:paraId="502379A4" w14:textId="624A088D" w:rsidR="002760F0" w:rsidRPr="002760F0" w:rsidRDefault="002F6B1F" w:rsidP="002F6B1F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非美方面，受能源价格冲击影响，欧元区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初值同比上涨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2.5%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，创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年以来最大单月涨幅，欧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央行管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委警惕若通胀持续走高将不排除今年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月加息的可能性。日本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录得近四年来最小升幅，并首次跌破日央行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的政策目标，削弱了市场对进一步加息的押注；尽管日央行立场仍偏鹰，但在美债收益率高位、美元资产吸引力仍强的环境下，日元走势显著偏弱，短期走势或继续受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强美元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压制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87F3772" w:rsidR="007A477E" w:rsidRDefault="002F6B1F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80A53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437F1B68" wp14:editId="7E4B3C85">
            <wp:extent cx="4622800" cy="2089150"/>
            <wp:effectExtent l="0" t="0" r="6350" b="6350"/>
            <wp:docPr id="1773631882" name="图片 177363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7BE6BC" w14:textId="5FA30D0A" w:rsidR="007B3E0B" w:rsidRDefault="002F6B1F" w:rsidP="00B00DB4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31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2F6B1F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2.91%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6528.52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2F6B1F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2.89%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6567.5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点。昨日美国总统特朗普表示，即使霍尔木兹海峡仍大体关闭，也愿意结束对伊朗的军事行动。他认为对伊朗战争很可能很快结束，其他国家无需美国军事援助即可重新开放霍尔木兹海峡。美国国防部长赫格塞思表示，美国当前“首要任务”是寻求一项协议，以结束与伊朗的战事。伊朗总统佩泽希齐扬表示，伊朗愿意结束战争，但前提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是其诉求得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到满足，尤其是获得不再遭受侵略的保证。美伊双方与昨日均释放愿意结束战争的信号，受到消息影响，市场呈现美元、原油回落，而其他资产集体走高态势。但从伊朗此前所提出的要求看，但美国方面或难以就伊朗诉求达成妥协，在战争尚未正式结束的背景下，美股仍有出现反转的可能</w:t>
      </w:r>
      <w:r w:rsidR="007B3E0B" w:rsidRPr="007B3E0B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3EE4067E" w:rsidR="007A477E" w:rsidRPr="00EE7376" w:rsidRDefault="002F6B1F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13D02">
        <w:rPr>
          <w:rFonts w:ascii="Helvetica" w:hAnsi="Helvetica" w:cs="Helvetica"/>
          <w:noProof/>
          <w:shd w:val="clear" w:color="auto" w:fill="FFFFFF"/>
        </w:rPr>
        <w:lastRenderedPageBreak/>
        <w:drawing>
          <wp:inline distT="0" distB="0" distL="0" distR="0" wp14:anchorId="4CD9E21F" wp14:editId="1D0BF0A0">
            <wp:extent cx="5274310" cy="1665065"/>
            <wp:effectExtent l="0" t="0" r="2540" b="0"/>
            <wp:docPr id="3" name="图片 3" descr="C:\Users\Administrator\xwechat_files\wxid_vkxlzo0vqu7s22_6f5b\temp\InputTemp\5b186cdd-ccc8-4dfe-ab48-46fe726b7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5b186cdd-ccc8-4dfe-ab48-46fe726b7a0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39E600BA" w:rsidR="00A42B48" w:rsidRDefault="002F6B1F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31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0.47%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14573.82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14536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。海外方面，昨日早间特朗普表示即使霍尔木兹海峡仍然关闭也愿意结束战争。对此，伊朗总统佩泽希齐扬表示，伊朗愿意结束战争，但前提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是其诉求得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到满足，尤其是获得不再遭受侵略的保证。消息带动隔夜美股及今日早间亚太股市大涨。国内方面，经济基本面，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月，在春节假期过后，企业逐步复工复产，制造业景气水平回升，制造业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创一年以来高位。上市公司基本面，从已披露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年年报的上市公司看，全体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A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股营收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增速加快，而净利增速小幅回落，但仍</w:t>
      </w:r>
      <w:proofErr w:type="gramStart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保持正</w:t>
      </w:r>
      <w:proofErr w:type="gramEnd"/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增长。整体来看，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月份三大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指数均重返扩张区间，经济基本面有望延续复苏态势，同时，目前披露</w:t>
      </w:r>
      <w:r w:rsidRPr="002F6B1F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2F6B1F">
        <w:rPr>
          <w:rFonts w:ascii="微软雅黑" w:eastAsia="微软雅黑" w:hAnsi="微软雅黑" w:cs="微软雅黑" w:hint="eastAsia"/>
          <w:spacing w:val="7"/>
          <w:lang w:eastAsia="zh-CN"/>
        </w:rPr>
        <w:t>年年报的上市公司整体表现良好。然而，海外地缘局势依旧面临不确定性，虽然伊朗方面昨日首次表示愿意结束战争，但美国方面或难以就伊朗诉求达成妥协，在战争尚未正式结束的背景下，仍需维持谨慎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95D3763" w:rsidR="00A10388" w:rsidRDefault="002F6B1F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B13D02">
        <w:rPr>
          <w:rFonts w:ascii="宋体" w:eastAsia="宋体" w:hAnsi="宋体" w:cs="Times New Roman"/>
          <w:noProof/>
        </w:rPr>
        <w:drawing>
          <wp:inline distT="0" distB="0" distL="0" distR="0" wp14:anchorId="6822B4EB" wp14:editId="4685FB71">
            <wp:extent cx="5274310" cy="1671481"/>
            <wp:effectExtent l="0" t="0" r="2540" b="5080"/>
            <wp:docPr id="579352644" name="图片 579352644" descr="C:\Users\Administrator\xwechat_files\wxid_vkxlzo0vqu7s22_6f5b\temp\InputTemp\f11e9165-1d3e-4b42-963f-5628062b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f11e9165-1d3e-4b42-963f-5628062bf5c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6746E006" w:rsidR="00AC6ADE" w:rsidRDefault="002F6B1F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铜震荡走强，报收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5.647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+2.73%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。国际方面，堪萨斯联储主席施密德警告称，美联储不应忽视伊朗冲突带来的能源价格飙升对通胀的影响。他表示，“鉴于通胀已经火热，现在不应假设油价上涨带来的通胀只是暂时性的。”他担心通胀率会滞留在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3%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左右。国内方面，我国经济景气水平回升。国家统计局公布数据显示，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月份，随着春节后复工复产加快，产需两端同步扩张，我国制造业、非制造业和综合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产出指数均重返扩张区间，分别为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50.4%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、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50.1%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和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50.5%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，比上月上升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1.4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个、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0.6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个和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个百分点。库存方面，截至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31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587166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短吨，环比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-955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362425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-175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230971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-9710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吨。美元美债方面，特朗普再度释放停战信号，即使霍尔木兹海峡仍关闭也愿结束战争，与此同时有迹象表明，伊朗领导层可能对谈判结束战争持开放态度。美元指数高位回落，</w:t>
      </w:r>
      <w:proofErr w:type="gramStart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2F6B1F">
        <w:rPr>
          <w:rFonts w:ascii="微软雅黑" w:eastAsia="微软雅黑" w:hAnsi="微软雅黑" w:cs="微软雅黑"/>
          <w:spacing w:val="12"/>
          <w:lang w:eastAsia="zh-CN"/>
        </w:rPr>
        <w:t>0.6%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99.88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创逾一周</w:t>
      </w:r>
      <w:proofErr w:type="gramEnd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新低；美国国债收益率全线走低，基准的</w:t>
      </w:r>
      <w:proofErr w:type="gramStart"/>
      <w:r w:rsidRPr="002F6B1F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4.3230%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2F6B1F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收益率则小幅回落至</w:t>
      </w:r>
      <w:r w:rsidRPr="002F6B1F">
        <w:rPr>
          <w:rFonts w:ascii="微软雅黑" w:eastAsia="微软雅黑" w:hAnsi="微软雅黑" w:cs="微软雅黑"/>
          <w:spacing w:val="12"/>
          <w:lang w:eastAsia="zh-CN"/>
        </w:rPr>
        <w:t>3.8030%</w:t>
      </w:r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2F6B1F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0DC5618" w:rsidR="00A02266" w:rsidRDefault="002F6B1F" w:rsidP="006B6996">
      <w:pPr>
        <w:spacing w:before="103" w:line="256" w:lineRule="auto"/>
        <w:ind w:right="210" w:firstLine="420"/>
        <w:jc w:val="center"/>
      </w:pPr>
      <w:r>
        <w:rPr>
          <w:noProof/>
        </w:rPr>
        <w:drawing>
          <wp:inline distT="0" distB="0" distL="0" distR="0" wp14:anchorId="0FDFA9E4" wp14:editId="12855B22">
            <wp:extent cx="5274310" cy="2879090"/>
            <wp:effectExtent l="0" t="0" r="2540" b="0"/>
            <wp:docPr id="630027561" name="图片 63002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20320569" w:rsidR="00394BD0" w:rsidRDefault="002F6B1F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隔夜，贵金属市场全线反弹，伦敦金重新站稳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4600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美元关口，伦敦银突破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75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美元关口，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黄金期货涨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3.12%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4699.60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白银期货涨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6.77%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75.34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消息面上，特朗普释放美伊局势缓和信号，表示即便霍尔木兹海峡中断仍将推进停火谈判。受此消息推动，市场风险偏好有所回升，原油及美元高位大幅回落，贵金属集体走高。美联储主席鲍威尔表示将暂时“忽略”美伊冲突的短暂能源冲击对于联储后续降息路径的影响，使得年内加息押注回落，美国短端国债收益率受到较强压制，亦对金银价格形成了一定的承托。地缘方面，伊方拟对霍尔木兹海峡通行船只收费的法案，但仍禁止美以船只的通过，美元近期走势维持较强韧性，从持有成本端限制了金银的大幅反弹空间。展望后市，若地缘冲突持续反复并支撑油价维持高位，通胀粘性预期或进一步强化，进而推动美元及美债收益率延续偏强运行，或使贵金属反弹空间持续面临压制。然而，若后续美国经济放缓态势能得到更多数据验证，即将公布的非农数据偏弱而</w:t>
      </w:r>
      <w:r w:rsidRPr="002F6B1F">
        <w:rPr>
          <w:rFonts w:ascii="微软雅黑" w:eastAsia="微软雅黑" w:hAnsi="微软雅黑" w:cs="微软雅黑"/>
          <w:noProof/>
          <w:spacing w:val="7"/>
          <w:lang w:eastAsia="zh-CN"/>
        </w:rPr>
        <w:t>CPI</w:t>
      </w:r>
      <w:r w:rsidRPr="002F6B1F">
        <w:rPr>
          <w:rFonts w:ascii="微软雅黑" w:eastAsia="微软雅黑" w:hAnsi="微软雅黑" w:cs="微软雅黑" w:hint="eastAsia"/>
          <w:noProof/>
          <w:spacing w:val="7"/>
          <w:lang w:eastAsia="zh-CN"/>
        </w:rPr>
        <w:t>通胀显著走高，则金价或受益于滞胀风险的实质性升温风险。综合而言，通胀预期升温、全球主要央行政策基调转鹰、油价及美元偏强运行为当前主要风险因素，中长期而言，央行持续购金与美元信用弱化之叙事仍存，黄金作为首选宏观对冲资产的吸引力尚未出现明显松动，策略上可考虑短线偏观望，中长线逢低布局思路对待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44E2E5B" w:rsidR="007A477E" w:rsidRDefault="002F6B1F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680A53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26553A9E" wp14:editId="2EB685E8">
            <wp:extent cx="4813300" cy="219138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34624758" w14:textId="77777777" w:rsidR="00944987" w:rsidRPr="00944987" w:rsidRDefault="00944987" w:rsidP="0094498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原糖期货周二收跌，自周一触及的五个月高点回落，交易商称，主要出口国泰国糖产量增加限制糖价上涨。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0.03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0.20%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15.52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957D0C3" w14:textId="77777777" w:rsidR="00944987" w:rsidRPr="00944987" w:rsidRDefault="00944987" w:rsidP="0094498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25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34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40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106.37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万吨，此前一周为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128.27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万吨。当周等待装运出口的食糖船只数量持续减少。</w:t>
      </w:r>
    </w:p>
    <w:p w14:paraId="3F44DEBC" w14:textId="427E204E" w:rsidR="00C27A84" w:rsidRDefault="00944987" w:rsidP="0094498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16.0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5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EC1B907" w:rsidR="007A477E" w:rsidRPr="00786136" w:rsidRDefault="00944987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30099DB4" wp14:editId="49406596">
            <wp:extent cx="5270500" cy="2009775"/>
            <wp:effectExtent l="0" t="0" r="6350" b="9525"/>
            <wp:docPr id="854331779" name="图片 4" descr="QQ截图20260401080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QQ截图202604010805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4BD6DF1" w14:textId="77777777" w:rsidR="00944987" w:rsidRPr="00944987" w:rsidRDefault="00944987" w:rsidP="0094498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棉花期货周二下跌，回吐此前的涨幅，因美国农业部发布的种植意向报告显示，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年棉花种植面积增加。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ICE 5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0.19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0.20%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70.00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722F5E7C" w14:textId="77777777" w:rsidR="00944987" w:rsidRPr="00944987" w:rsidRDefault="00944987" w:rsidP="0094498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国际方面，据美国农业部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19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20.24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3%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10.06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46%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，较前四周平均水平增加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43%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。当周美国棉花出口签约量、装运量均增加为主，出口需求表现强劲。</w:t>
      </w:r>
    </w:p>
    <w:p w14:paraId="15654938" w14:textId="1E48B422" w:rsidR="0034283D" w:rsidRPr="00AC6ADE" w:rsidRDefault="00944987" w:rsidP="0094498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76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58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944987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ICE5</w:t>
      </w:r>
      <w:r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567D2763" w:rsidR="00C24CC6" w:rsidRDefault="00944987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061DACA9" wp14:editId="4E12FB52">
            <wp:extent cx="5262245" cy="2165350"/>
            <wp:effectExtent l="0" t="0" r="0" b="6350"/>
            <wp:docPr id="338022501" name="图片 5" descr="QQ截图2026040108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QQ截图202604010806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09BE9" w14:textId="77777777" w:rsidR="00577356" w:rsidRDefault="00577356">
      <w:pPr>
        <w:ind w:right="210" w:firstLine="420"/>
      </w:pPr>
      <w:r>
        <w:separator/>
      </w:r>
    </w:p>
  </w:endnote>
  <w:endnote w:type="continuationSeparator" w:id="0">
    <w:p w14:paraId="7903E1D6" w14:textId="77777777" w:rsidR="00577356" w:rsidRDefault="00577356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282D4" w14:textId="77777777" w:rsidR="00577356" w:rsidRDefault="00577356">
      <w:pPr>
        <w:ind w:right="210" w:firstLine="420"/>
      </w:pPr>
      <w:r>
        <w:separator/>
      </w:r>
    </w:p>
  </w:footnote>
  <w:footnote w:type="continuationSeparator" w:id="0">
    <w:p w14:paraId="68385CB6" w14:textId="77777777" w:rsidR="00577356" w:rsidRDefault="00577356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451509967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1CD6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4B67"/>
    <w:rsid w:val="00216516"/>
    <w:rsid w:val="00216CCD"/>
    <w:rsid w:val="00216D52"/>
    <w:rsid w:val="00220006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1F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B89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04B9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9B6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5923"/>
    <w:rsid w:val="00A75D0F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1618"/>
    <w:rsid w:val="00BB20F8"/>
    <w:rsid w:val="00BB257A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465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806</Words>
  <Characters>4595</Characters>
  <Application>Microsoft Office Word</Application>
  <DocSecurity>0</DocSecurity>
  <Lines>38</Lines>
  <Paragraphs>10</Paragraphs>
  <ScaleCrop>false</ScaleCrop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3</cp:revision>
  <cp:lastPrinted>2025-10-24T01:06:00Z</cp:lastPrinted>
  <dcterms:created xsi:type="dcterms:W3CDTF">2026-04-01T01:31:00Z</dcterms:created>
  <dcterms:modified xsi:type="dcterms:W3CDTF">2026-04-01T01:34:00Z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