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EF1A60">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6BD751CE"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A95FCB">
        <w:t>4</w:t>
      </w:r>
      <w:r>
        <w:rPr>
          <w:rFonts w:hint="eastAsia"/>
        </w:rPr>
        <w:t>月</w:t>
      </w:r>
      <w:r w:rsidR="00A95FCB">
        <w:t>3</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B43AEB">
        <w:rPr>
          <w:rFonts w:ascii="宋体" w:hAnsi="宋体" w:cs="宋体"/>
        </w:rPr>
        <w:t>929</w:t>
      </w:r>
      <w:r>
        <w:rPr>
          <w:rFonts w:ascii="宋体" w:hAnsi="宋体" w:cs="宋体"/>
        </w:rPr>
        <w:t>，</w:t>
      </w:r>
      <w:r w:rsidR="00E648F1">
        <w:rPr>
          <w:rFonts w:ascii="宋体" w:hAnsi="宋体" w:cs="宋体" w:hint="eastAsia"/>
        </w:rPr>
        <w:t>调</w:t>
      </w:r>
      <w:r w:rsidR="00B43AEB">
        <w:rPr>
          <w:rFonts w:ascii="宋体" w:hAnsi="宋体" w:cs="宋体" w:hint="eastAsia"/>
        </w:rPr>
        <w:t>升4</w:t>
      </w:r>
      <w:r w:rsidR="00B43AEB">
        <w:rPr>
          <w:rFonts w:ascii="宋体" w:hAnsi="宋体" w:cs="宋体"/>
        </w:rPr>
        <w:t>9</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降2</w:t>
      </w:r>
      <w:r w:rsidR="00EF1A60">
        <w:rPr>
          <w:rFonts w:ascii="宋体" w:hAnsi="宋体" w:cs="宋体"/>
        </w:rPr>
        <w:t>12</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EF1A60">
        <w:rPr>
          <w:rFonts w:ascii="宋体" w:hAnsi="宋体" w:hint="eastAsia"/>
        </w:rPr>
        <w:t>跌</w:t>
      </w:r>
      <w:r w:rsidR="004D1771">
        <w:rPr>
          <w:rFonts w:ascii="宋体" w:hAnsi="宋体" w:hint="eastAsia"/>
        </w:rPr>
        <w:t>0</w:t>
      </w:r>
      <w:r w:rsidR="00FB6956">
        <w:rPr>
          <w:rFonts w:ascii="宋体" w:hAnsi="宋体"/>
        </w:rPr>
        <w:t>.</w:t>
      </w:r>
      <w:r w:rsidR="00D720A5">
        <w:rPr>
          <w:rFonts w:ascii="宋体" w:hAnsi="宋体"/>
        </w:rPr>
        <w:t>3</w:t>
      </w:r>
      <w:r w:rsidR="00EF1A60">
        <w:rPr>
          <w:rFonts w:ascii="宋体" w:hAnsi="宋体"/>
        </w:rPr>
        <w:t>9</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EF1A60">
        <w:rPr>
          <w:rFonts w:ascii="宋体" w:hAnsi="宋体" w:hint="eastAsia"/>
        </w:rPr>
        <w:t>跌</w:t>
      </w:r>
      <w:r w:rsidR="006A0016">
        <w:rPr>
          <w:rFonts w:ascii="宋体" w:hAnsi="宋体" w:hint="eastAsia"/>
        </w:rPr>
        <w:t>0</w:t>
      </w:r>
      <w:r w:rsidR="006A0016">
        <w:rPr>
          <w:rFonts w:ascii="宋体" w:hAnsi="宋体"/>
        </w:rPr>
        <w:t>.</w:t>
      </w:r>
      <w:r w:rsidR="00D720A5">
        <w:rPr>
          <w:rFonts w:ascii="宋体" w:hAnsi="宋体"/>
        </w:rPr>
        <w:t>3</w:t>
      </w:r>
      <w:r w:rsidR="00EF1A60">
        <w:rPr>
          <w:rFonts w:ascii="宋体" w:hAnsi="宋体"/>
        </w:rPr>
        <w:t>8</w:t>
      </w:r>
      <w:r w:rsidR="007844B4" w:rsidRPr="00AA5ABE">
        <w:rPr>
          <w:rFonts w:ascii="宋体" w:hAnsi="宋体"/>
        </w:rPr>
        <w:t>%</w:t>
      </w:r>
      <w:r w:rsidRPr="00AA5ABE">
        <w:rPr>
          <w:rFonts w:ascii="宋体" w:hAnsi="宋体" w:hint="eastAsia"/>
        </w:rPr>
        <w:t>。</w:t>
      </w:r>
    </w:p>
    <w:p w14:paraId="2A8620FC" w14:textId="0A8D2014"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bookmarkStart w:id="0" w:name="_GoBack"/>
      <w:bookmarkEnd w:id="0"/>
      <w:r w:rsidR="00B43AEB">
        <w:rPr>
          <w:rFonts w:ascii="宋体" w:hAnsi="宋体" w:cs="宋体"/>
        </w:rPr>
        <w:t>8803</w:t>
      </w:r>
      <w:r>
        <w:t>，</w:t>
      </w:r>
      <w:r>
        <w:rPr>
          <w:rFonts w:hint="eastAsia"/>
        </w:rPr>
        <w:t>美元兑离岸人民币收报</w:t>
      </w:r>
      <w:r w:rsidR="003A699C">
        <w:t>6.</w:t>
      </w:r>
      <w:r w:rsidR="001F6F76">
        <w:t>8865</w:t>
      </w:r>
      <w:r>
        <w:rPr>
          <w:rFonts w:hint="eastAsia"/>
        </w:rPr>
        <w:t>，在当周</w:t>
      </w:r>
      <w:r>
        <w:t>分别</w:t>
      </w:r>
      <w:r w:rsidR="00B43AEB">
        <w:rPr>
          <w:rFonts w:hint="eastAsia"/>
        </w:rPr>
        <w:t>下</w:t>
      </w:r>
      <w:r w:rsidR="00F76960">
        <w:rPr>
          <w:rFonts w:hint="eastAsia"/>
        </w:rPr>
        <w:t>调</w:t>
      </w:r>
      <w:r w:rsidR="00B43AEB">
        <w:t>302</w:t>
      </w:r>
      <w:r>
        <w:t>和</w:t>
      </w:r>
      <w:r w:rsidR="001F6F76">
        <w:rPr>
          <w:rFonts w:hint="eastAsia"/>
        </w:rPr>
        <w:t>下</w:t>
      </w:r>
      <w:r w:rsidR="003576ED">
        <w:rPr>
          <w:rFonts w:hint="eastAsia"/>
        </w:rPr>
        <w:t>调</w:t>
      </w:r>
      <w:r w:rsidR="001F6F76">
        <w:rPr>
          <w:rFonts w:hint="eastAsia"/>
        </w:rPr>
        <w:t>3</w:t>
      </w:r>
      <w:r w:rsidR="001F6F76">
        <w:t>33</w:t>
      </w:r>
      <w:r>
        <w:rPr>
          <w:rFonts w:hint="eastAsia"/>
        </w:rPr>
        <w:t>个基点</w:t>
      </w:r>
      <w:r>
        <w:t>。欧元兑人民币报</w:t>
      </w:r>
      <w:r w:rsidR="006553DD">
        <w:t>7.9</w:t>
      </w:r>
      <w:r w:rsidR="001F6F76">
        <w:t>413</w:t>
      </w:r>
      <w:r>
        <w:t>、英镑兑人民币报</w:t>
      </w:r>
      <w:r w:rsidR="00C66DB1">
        <w:t>9</w:t>
      </w:r>
      <w:r w:rsidR="002D37D1">
        <w:t>.</w:t>
      </w:r>
      <w:r w:rsidR="00C77E4C">
        <w:t>1</w:t>
      </w:r>
      <w:r w:rsidR="001F6F76">
        <w:t>088</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6553DD">
        <w:t>3</w:t>
      </w:r>
      <w:r w:rsidR="001F6F76">
        <w:t>108</w:t>
      </w:r>
      <w:r w:rsidR="000959E1">
        <w:rPr>
          <w:rFonts w:hint="eastAsia"/>
        </w:rPr>
        <w:t>、</w:t>
      </w:r>
      <w:r>
        <w:t>澳元兑人民币报</w:t>
      </w:r>
      <w:r>
        <w:t>4</w:t>
      </w:r>
      <w:r w:rsidR="006B50D4">
        <w:t>.</w:t>
      </w:r>
      <w:r w:rsidR="00C77E4C">
        <w:t>7</w:t>
      </w:r>
      <w:r w:rsidR="001F6F76">
        <w:t>532</w:t>
      </w:r>
      <w:r>
        <w:rPr>
          <w:rFonts w:hint="eastAsia"/>
        </w:rPr>
        <w:t>，在当</w:t>
      </w:r>
      <w:r>
        <w:t>周分别</w:t>
      </w:r>
      <w:r w:rsidR="001F6F76">
        <w:rPr>
          <w:rFonts w:hint="eastAsia"/>
        </w:rPr>
        <w:t>降</w:t>
      </w:r>
      <w:r w:rsidR="001F6F76">
        <w:rPr>
          <w:rFonts w:hint="eastAsia"/>
        </w:rPr>
        <w:t>2</w:t>
      </w:r>
      <w:r w:rsidR="001F6F76">
        <w:t>08</w:t>
      </w:r>
      <w:r>
        <w:t>、</w:t>
      </w:r>
      <w:r w:rsidR="00C77E4C">
        <w:rPr>
          <w:rFonts w:hint="eastAsia"/>
        </w:rPr>
        <w:t>降</w:t>
      </w:r>
      <w:r w:rsidR="001F6F76">
        <w:t>846</w:t>
      </w:r>
      <w:r>
        <w:rPr>
          <w:rFonts w:hint="eastAsia"/>
        </w:rPr>
        <w:t>、</w:t>
      </w:r>
      <w:r w:rsidR="00C77E4C">
        <w:rPr>
          <w:rFonts w:hint="eastAsia"/>
        </w:rPr>
        <w:t>降</w:t>
      </w:r>
      <w:r w:rsidR="001F6F76">
        <w:t>118</w:t>
      </w:r>
      <w:r>
        <w:t>和</w:t>
      </w:r>
      <w:r w:rsidR="00C77E4C">
        <w:rPr>
          <w:rFonts w:hint="eastAsia"/>
        </w:rPr>
        <w:t>降</w:t>
      </w:r>
      <w:r w:rsidR="001F6F76">
        <w:t>144</w:t>
      </w:r>
      <w:r>
        <w:rPr>
          <w:rFonts w:hint="eastAsia"/>
        </w:rPr>
        <w:t>个基点</w:t>
      </w:r>
      <w:r>
        <w:t>。</w:t>
      </w:r>
    </w:p>
    <w:p w14:paraId="76AC2601" w14:textId="587C0AB5"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236D53" w:rsidRPr="00236D53">
        <w:rPr>
          <w:rFonts w:hint="eastAsia"/>
        </w:rPr>
        <w:t>3040</w:t>
      </w:r>
      <w:r w:rsidR="00236D53" w:rsidRPr="00236D53">
        <w:rPr>
          <w:rFonts w:hint="eastAsia"/>
        </w:rPr>
        <w:t>亿元</w:t>
      </w:r>
      <w:r w:rsidR="00236D53" w:rsidRPr="00236D53">
        <w:rPr>
          <w:rFonts w:hint="eastAsia"/>
        </w:rPr>
        <w:t>7</w:t>
      </w:r>
      <w:r w:rsidR="00236D53" w:rsidRPr="00236D53">
        <w:rPr>
          <w:rFonts w:hint="eastAsia"/>
        </w:rPr>
        <w:t>天期逆回购操作，</w:t>
      </w:r>
      <w:r w:rsidR="00236D53">
        <w:rPr>
          <w:rFonts w:hint="eastAsia"/>
        </w:rPr>
        <w:t>当</w:t>
      </w:r>
      <w:r w:rsidR="00236D53" w:rsidRPr="00236D53">
        <w:rPr>
          <w:rFonts w:hint="eastAsia"/>
        </w:rPr>
        <w:t>周央行公开市场有</w:t>
      </w:r>
      <w:r w:rsidR="00236D53" w:rsidRPr="00236D53">
        <w:rPr>
          <w:rFonts w:hint="eastAsia"/>
        </w:rPr>
        <w:t>4742</w:t>
      </w:r>
      <w:r w:rsidR="00236D53" w:rsidRPr="00236D53">
        <w:rPr>
          <w:rFonts w:hint="eastAsia"/>
        </w:rPr>
        <w:t>亿元逆回购到期，因此净回笼</w:t>
      </w:r>
      <w:r w:rsidR="00236D53" w:rsidRPr="00236D53">
        <w:rPr>
          <w:rFonts w:hint="eastAsia"/>
        </w:rPr>
        <w:t>1702</w:t>
      </w:r>
      <w:r w:rsidR="00236D53" w:rsidRPr="00236D53">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24A5061"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F15B0B" w:rsidRPr="00F15B0B">
        <w:rPr>
          <w:rFonts w:ascii="宋体" w:hAnsi="宋体" w:hint="eastAsia"/>
        </w:rPr>
        <w:t>央行货币政策委员会召开一季度例会，研究下阶段货币政策主要思路，建议发挥增量政策和存量政策集成效应，综合运用多种工具，加强货币政策调控，把握好政策实施的力度、节奏和时机。会议指出，要用好各类结构性货币政策工具，优化工具管理。维护金融市场稳定运行。</w:t>
      </w:r>
    </w:p>
    <w:p w14:paraId="3316BE34" w14:textId="6164071C" w:rsidR="00785749" w:rsidRPr="0011314B" w:rsidRDefault="00CA7296" w:rsidP="0011314B">
      <w:pPr>
        <w:spacing w:line="312" w:lineRule="auto"/>
        <w:ind w:firstLine="420"/>
        <w:rPr>
          <w:rFonts w:ascii="宋体" w:hAnsi="宋体"/>
        </w:rPr>
      </w:pPr>
      <w:r w:rsidRPr="0086476E">
        <w:rPr>
          <w:rFonts w:ascii="宋体" w:hAnsi="宋体" w:hint="eastAsia"/>
        </w:rPr>
        <w:t>2、</w:t>
      </w:r>
      <w:r w:rsidR="00F15B0B" w:rsidRPr="00F15B0B">
        <w:rPr>
          <w:rFonts w:ascii="宋体" w:hAnsi="宋体" w:hint="eastAsia"/>
        </w:rPr>
        <w:t>商务部等九部门联合印发《服务消费提质惠民行动2026年工作方案》，围绕餐饮住宿、养老托育、文娱旅游、体育健康等传统服务消费领域，和家政服务、网络视听、入境消费、演出服务等新增长点领域，打造一批带动面广、显示度高的消费新场景。</w:t>
      </w:r>
    </w:p>
    <w:p w14:paraId="0E3CF4D4" w14:textId="2755F1F6"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1F6F76" w:rsidRPr="001F6F76">
        <w:rPr>
          <w:rFonts w:ascii="宋体" w:hAnsi="宋体" w:hint="eastAsia"/>
        </w:rPr>
        <w:t>美国方面透露，由巴基斯坦等地区国家主导，旨在促成美国与伊朗停火的最新一轮斡旋努力已陷入僵局。伊朗方面已正式告知调解人，不愿在未来几天于伊斯兰堡同美方官员会面，并表示美方提出的要求不可接受。目前，土耳其和埃及仍在努力推动谈判进程，考虑将卡塔尔首都多哈或土耳其最大城市伊斯坦布尔作为新的谈判地点，并试图提出新方案以打破僵局。</w:t>
      </w:r>
    </w:p>
    <w:p w14:paraId="630B9579" w14:textId="6DC77E48" w:rsidR="00BC01B8" w:rsidRPr="00F44D25" w:rsidRDefault="00BC01B8" w:rsidP="001F0839">
      <w:pPr>
        <w:spacing w:line="312" w:lineRule="auto"/>
        <w:ind w:firstLine="420"/>
        <w:rPr>
          <w:rFonts w:ascii="宋体" w:hAnsi="宋体"/>
        </w:rPr>
      </w:pPr>
      <w:r w:rsidRPr="0086476E">
        <w:rPr>
          <w:rFonts w:ascii="宋体" w:hAnsi="宋体" w:hint="eastAsia"/>
        </w:rPr>
        <w:t>4、</w:t>
      </w:r>
      <w:r w:rsidR="001F6F76" w:rsidRPr="001F6F76">
        <w:rPr>
          <w:rFonts w:ascii="宋体" w:hAnsi="宋体" w:hint="eastAsia"/>
        </w:rPr>
        <w:t>德国五大经济研究机构发布联合经济预测报告，受中东战事引发的能源价格上涨影</w:t>
      </w:r>
      <w:r w:rsidR="001F6F76" w:rsidRPr="001F6F76">
        <w:rPr>
          <w:rFonts w:ascii="宋体" w:hAnsi="宋体" w:hint="eastAsia"/>
        </w:rPr>
        <w:lastRenderedPageBreak/>
        <w:t>响，将2026年德国经济增长预期从1.3%大幅下调至0.6%。报告警告，德国经济面临陷入停滞的可能，预计未来十年经济增速将从当前估计的0.2%降为零。</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0648BB41" w:rsidR="00CA7296" w:rsidRDefault="00EF1A6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2F445F57" wp14:editId="30D22B64">
            <wp:extent cx="3781425" cy="21389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01256" cy="2150206"/>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1093934F" w:rsidR="00CA7296" w:rsidRDefault="00EF1A60" w:rsidP="00CA7296">
      <w:pPr>
        <w:spacing w:line="360" w:lineRule="auto"/>
        <w:jc w:val="center"/>
        <w:rPr>
          <w:rFonts w:ascii="宋体" w:hAnsi="宋体"/>
          <w:sz w:val="18"/>
          <w:szCs w:val="18"/>
        </w:rPr>
      </w:pPr>
      <w:r>
        <w:rPr>
          <w:noProof/>
        </w:rPr>
        <w:drawing>
          <wp:inline distT="0" distB="0" distL="0" distR="0" wp14:anchorId="0886ED82" wp14:editId="441DFD8C">
            <wp:extent cx="4971202" cy="260985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5149" cy="2617172"/>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061980B1" w:rsidR="00CA7296" w:rsidRPr="00AB4AA6" w:rsidRDefault="00EF1A60" w:rsidP="00AB4AA6">
      <w:pPr>
        <w:jc w:val="center"/>
      </w:pPr>
      <w:r>
        <w:rPr>
          <w:noProof/>
        </w:rPr>
        <w:drawing>
          <wp:inline distT="0" distB="0" distL="0" distR="0" wp14:anchorId="1B6AB968" wp14:editId="0CCB2305">
            <wp:extent cx="3933825" cy="232869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8581" cy="2343346"/>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1D6168A" w:rsidR="00CA7296" w:rsidRDefault="00EF1A60" w:rsidP="00CA7296">
      <w:pPr>
        <w:jc w:val="center"/>
      </w:pPr>
      <w:r>
        <w:rPr>
          <w:noProof/>
        </w:rPr>
        <w:drawing>
          <wp:inline distT="0" distB="0" distL="0" distR="0" wp14:anchorId="7D2B7303" wp14:editId="6B0A6F5A">
            <wp:extent cx="4800600" cy="2742457"/>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08193" cy="2746795"/>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20235D5" w:rsidR="00CA7296" w:rsidRDefault="00EF1A60" w:rsidP="00CA7296">
      <w:pPr>
        <w:jc w:val="center"/>
      </w:pPr>
      <w:r>
        <w:rPr>
          <w:noProof/>
        </w:rPr>
        <w:drawing>
          <wp:inline distT="0" distB="0" distL="0" distR="0" wp14:anchorId="39D80000" wp14:editId="4C4C49D8">
            <wp:extent cx="3581400" cy="209735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14852" cy="2116942"/>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25B9B2BF">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61E98EF6" w14:textId="77777777" w:rsidR="00EF1A60" w:rsidRDefault="00EF1A60" w:rsidP="00103A47">
      <w:pPr>
        <w:spacing w:line="312" w:lineRule="auto"/>
        <w:ind w:firstLine="420"/>
        <w:rPr>
          <w:rFonts w:ascii="宋体" w:hAnsi="宋体" w:cs="宋体"/>
        </w:rPr>
      </w:pPr>
      <w:r w:rsidRPr="00EF1A60">
        <w:rPr>
          <w:rFonts w:ascii="宋体" w:hAnsi="宋体" w:cs="宋体" w:hint="eastAsia"/>
        </w:rPr>
        <w:t>美国制造业PMI继续回升，零售销售强于预期，显示需求端仍具韧性；3月ADP就业新增亦超预期，薪资与招聘同步改善，强化了市场对3月非农或小幅向好的预期。尽管鲍威尔倾向于淡化短期能源冲击对政策路径的影响，但在油价高位、通胀粘性待显和美国经济尚未全面走弱的背景下，市场对降息的押注仍较谨慎，美元下方支撑较强。后续若中东局势持续反复、油价中枢维持高位，美元大概率仍将偏强运行，但其上方空间仍受财政扩张与美元信用弱化叙事制约。</w:t>
      </w:r>
    </w:p>
    <w:p w14:paraId="16FCB4C1" w14:textId="382E43BE" w:rsidR="00F954EA" w:rsidRPr="00AA5ABE" w:rsidRDefault="00EF1A60" w:rsidP="00103A47">
      <w:pPr>
        <w:spacing w:line="312" w:lineRule="auto"/>
        <w:ind w:firstLine="420"/>
        <w:rPr>
          <w:rFonts w:ascii="宋体" w:hAnsi="宋体"/>
        </w:rPr>
      </w:pPr>
      <w:r w:rsidRPr="00EF1A60">
        <w:rPr>
          <w:rFonts w:ascii="宋体" w:hAnsi="宋体" w:cs="宋体" w:hint="eastAsia"/>
        </w:rPr>
        <w:t>国内端，制造业PMI作为经济景气度的“风向标”，3月景气度迅速回暖，环比回升1.4%至50.4%，时隔两个月重返荣枯线以上，标志着制造业景气度触底反弹，主要受节后企业全面复工复产推动。具体来看，生产指数升至51.4%，新订单指数跃至51.6%，均进入扩张区间，显示生产活动加快、市场需求明显改善；而新出口订单指数虽仍在收缩区间，但环比大幅回升4.1个百分点，或反映外需边际改善。装备制造业、高技术制造业涨幅持续亮眼，其PMI分别为51.5和52.1，持续带动整体制造业好转。生产经营活动预期指数为53.4，较上月仍小幅上升，反映制造业企业对节后市场发展有信心，后续在海外经济体韧性足的背景下有望进一步改善。整体来看，油价高位运行及避险情绪反复，叠加特朗普提高关税水平，人民币兑美元汇率波动将持续加剧，维持宽幅震荡趋势。</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lastRenderedPageBreak/>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A204D" w14:textId="77777777" w:rsidR="00CD7032" w:rsidRDefault="00CD7032" w:rsidP="00127060">
      <w:r>
        <w:separator/>
      </w:r>
    </w:p>
  </w:endnote>
  <w:endnote w:type="continuationSeparator" w:id="0">
    <w:p w14:paraId="2DD920A7" w14:textId="77777777" w:rsidR="00CD7032" w:rsidRDefault="00CD7032"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6D2F7" w14:textId="77777777" w:rsidR="00CD7032" w:rsidRDefault="00CD7032" w:rsidP="00127060">
      <w:r>
        <w:separator/>
      </w:r>
    </w:p>
  </w:footnote>
  <w:footnote w:type="continuationSeparator" w:id="0">
    <w:p w14:paraId="33DEC4C5" w14:textId="77777777" w:rsidR="00CD7032" w:rsidRDefault="00CD7032"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70E8"/>
    <w:rsid w:val="00150521"/>
    <w:rsid w:val="00153427"/>
    <w:rsid w:val="001564E1"/>
    <w:rsid w:val="0015671A"/>
    <w:rsid w:val="001573DE"/>
    <w:rsid w:val="001728A8"/>
    <w:rsid w:val="00182FB2"/>
    <w:rsid w:val="001847B0"/>
    <w:rsid w:val="001848CA"/>
    <w:rsid w:val="001869F4"/>
    <w:rsid w:val="00186F23"/>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67A01"/>
    <w:rsid w:val="00571EBF"/>
    <w:rsid w:val="00574E1F"/>
    <w:rsid w:val="00577A61"/>
    <w:rsid w:val="00581D9D"/>
    <w:rsid w:val="00583AD9"/>
    <w:rsid w:val="00585144"/>
    <w:rsid w:val="00592071"/>
    <w:rsid w:val="005A3626"/>
    <w:rsid w:val="005B0999"/>
    <w:rsid w:val="005B127B"/>
    <w:rsid w:val="005B4337"/>
    <w:rsid w:val="005B6BB0"/>
    <w:rsid w:val="005D4042"/>
    <w:rsid w:val="005D591B"/>
    <w:rsid w:val="005D6040"/>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15E9"/>
    <w:rsid w:val="00852D32"/>
    <w:rsid w:val="00852FAF"/>
    <w:rsid w:val="00853402"/>
    <w:rsid w:val="00854449"/>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8EA"/>
    <w:rsid w:val="00C42CD6"/>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A1C69"/>
    <w:rsid w:val="00CA2893"/>
    <w:rsid w:val="00CA393B"/>
    <w:rsid w:val="00CA3BCB"/>
    <w:rsid w:val="00CA7296"/>
    <w:rsid w:val="00CB2110"/>
    <w:rsid w:val="00CB6E2B"/>
    <w:rsid w:val="00CC28AB"/>
    <w:rsid w:val="00CC2C53"/>
    <w:rsid w:val="00CD3D78"/>
    <w:rsid w:val="00CD65B1"/>
    <w:rsid w:val="00CD7032"/>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46115</c:v>
                </c:pt>
                <c:pt idx="1">
                  <c:v>46114</c:v>
                </c:pt>
                <c:pt idx="2">
                  <c:v>46113</c:v>
                </c:pt>
                <c:pt idx="3">
                  <c:v>46112</c:v>
                </c:pt>
                <c:pt idx="4">
                  <c:v>46111</c:v>
                </c:pt>
                <c:pt idx="5">
                  <c:v>46108</c:v>
                </c:pt>
              </c:numCache>
            </c:numRef>
          </c:cat>
          <c:val>
            <c:numRef>
              <c:f>价差!$D$7:$D$12</c:f>
              <c:numCache>
                <c:formatCode>0.0000_ </c:formatCode>
                <c:ptCount val="6"/>
                <c:pt idx="0">
                  <c:v>-6.1999999999997613E-3</c:v>
                </c:pt>
                <c:pt idx="1">
                  <c:v>4.1000000000002146E-3</c:v>
                </c:pt>
                <c:pt idx="2">
                  <c:v>-4.9000000000001265E-3</c:v>
                </c:pt>
                <c:pt idx="3">
                  <c:v>2.0199999999999996E-2</c:v>
                </c:pt>
                <c:pt idx="4">
                  <c:v>-3.4000000000000696E-3</c:v>
                </c:pt>
                <c:pt idx="5">
                  <c:v>-9.3000000000005301E-3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46115</c:v>
                </c:pt>
                <c:pt idx="1">
                  <c:v>46114</c:v>
                </c:pt>
                <c:pt idx="2">
                  <c:v>46113</c:v>
                </c:pt>
                <c:pt idx="3">
                  <c:v>46112</c:v>
                </c:pt>
                <c:pt idx="4">
                  <c:v>46111</c:v>
                </c:pt>
                <c:pt idx="5">
                  <c:v>46108</c:v>
                </c:pt>
              </c:numCache>
            </c:numRef>
          </c:cat>
          <c:val>
            <c:numRef>
              <c:f>价差!$B$7:$B$12</c:f>
              <c:numCache>
                <c:formatCode>0.0000</c:formatCode>
                <c:ptCount val="6"/>
                <c:pt idx="0">
                  <c:v>6.8803000000000001</c:v>
                </c:pt>
                <c:pt idx="1">
                  <c:v>6.8936000000000002</c:v>
                </c:pt>
                <c:pt idx="2">
                  <c:v>6.8739999999999997</c:v>
                </c:pt>
                <c:pt idx="3">
                  <c:v>6.9081000000000001</c:v>
                </c:pt>
                <c:pt idx="4">
                  <c:v>6.9130000000000003</c:v>
                </c:pt>
                <c:pt idx="5">
                  <c:v>6.9104999999999999</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46115</c:v>
                </c:pt>
                <c:pt idx="1">
                  <c:v>46114</c:v>
                </c:pt>
                <c:pt idx="2">
                  <c:v>46113</c:v>
                </c:pt>
                <c:pt idx="3">
                  <c:v>46112</c:v>
                </c:pt>
                <c:pt idx="4">
                  <c:v>46111</c:v>
                </c:pt>
                <c:pt idx="5">
                  <c:v>46108</c:v>
                </c:pt>
              </c:numCache>
            </c:numRef>
          </c:cat>
          <c:val>
            <c:numRef>
              <c:f>价差!$C$7:$C$12</c:f>
              <c:numCache>
                <c:formatCode>0.0000</c:formatCode>
                <c:ptCount val="6"/>
                <c:pt idx="0">
                  <c:v>6.8864999999999998</c:v>
                </c:pt>
                <c:pt idx="1">
                  <c:v>6.8895</c:v>
                </c:pt>
                <c:pt idx="2">
                  <c:v>6.8788999999999998</c:v>
                </c:pt>
                <c:pt idx="3">
                  <c:v>6.8879000000000001</c:v>
                </c:pt>
                <c:pt idx="4">
                  <c:v>6.9164000000000003</c:v>
                </c:pt>
                <c:pt idx="5">
                  <c:v>6.9198000000000004</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3CFC-DEEB-4A7A-BB01-186A4BAA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cp:revision>
  <cp:lastPrinted>2024-12-24T02:37:00Z</cp:lastPrinted>
  <dcterms:created xsi:type="dcterms:W3CDTF">2026-03-31T01:09:00Z</dcterms:created>
  <dcterms:modified xsi:type="dcterms:W3CDTF">2026-04-07T01:29:00Z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