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F87E98">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7CDF1F10"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A95FCB">
        <w:t>4</w:t>
      </w:r>
      <w:r>
        <w:rPr>
          <w:rFonts w:hint="eastAsia"/>
        </w:rPr>
        <w:t>月</w:t>
      </w:r>
      <w:r w:rsidR="00C42001">
        <w:t>1</w:t>
      </w:r>
      <w:r w:rsidR="005A6A6F">
        <w:t>7</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C442CC">
        <w:rPr>
          <w:rFonts w:ascii="宋体" w:hAnsi="宋体" w:cs="宋体"/>
        </w:rPr>
        <w:t>6</w:t>
      </w:r>
      <w:r w:rsidR="00F87E98">
        <w:rPr>
          <w:rFonts w:ascii="宋体" w:hAnsi="宋体" w:cs="宋体"/>
        </w:rPr>
        <w:t>22</w:t>
      </w:r>
      <w:r>
        <w:rPr>
          <w:rFonts w:ascii="宋体" w:hAnsi="宋体" w:cs="宋体"/>
        </w:rPr>
        <w:t>，</w:t>
      </w:r>
      <w:r w:rsidR="00E648F1">
        <w:rPr>
          <w:rFonts w:ascii="宋体" w:hAnsi="宋体" w:cs="宋体" w:hint="eastAsia"/>
        </w:rPr>
        <w:t>调</w:t>
      </w:r>
      <w:r w:rsidR="00B43AEB">
        <w:rPr>
          <w:rFonts w:ascii="宋体" w:hAnsi="宋体" w:cs="宋体" w:hint="eastAsia"/>
        </w:rPr>
        <w:t>升</w:t>
      </w:r>
      <w:r w:rsidR="00F87E98">
        <w:rPr>
          <w:rFonts w:ascii="宋体" w:hAnsi="宋体" w:cs="宋体" w:hint="eastAsia"/>
        </w:rPr>
        <w:t>6</w:t>
      </w:r>
      <w:r w:rsidR="00E648F1">
        <w:rPr>
          <w:rFonts w:ascii="宋体" w:hAnsi="宋体" w:cs="宋体" w:hint="eastAsia"/>
        </w:rPr>
        <w:t>个基点</w:t>
      </w:r>
      <w:r>
        <w:rPr>
          <w:rFonts w:ascii="宋体" w:hAnsi="宋体" w:cs="宋体" w:hint="eastAsia"/>
        </w:rPr>
        <w:t>，累计调</w:t>
      </w:r>
      <w:r w:rsidR="00EF1A60">
        <w:rPr>
          <w:rFonts w:ascii="宋体" w:hAnsi="宋体" w:cs="宋体" w:hint="eastAsia"/>
        </w:rPr>
        <w:t>降</w:t>
      </w:r>
      <w:r w:rsidR="00F87E98">
        <w:rPr>
          <w:rFonts w:ascii="宋体" w:hAnsi="宋体" w:cs="宋体" w:hint="eastAsia"/>
        </w:rPr>
        <w:t>3</w:t>
      </w:r>
      <w:r w:rsidR="00F87E98">
        <w:rPr>
          <w:rFonts w:ascii="宋体" w:hAnsi="宋体" w:cs="宋体"/>
        </w:rPr>
        <w:t>2</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EF1A60">
        <w:rPr>
          <w:rFonts w:ascii="宋体" w:hAnsi="宋体" w:hint="eastAsia"/>
        </w:rPr>
        <w:t>跌</w:t>
      </w:r>
      <w:r w:rsidR="004D1771">
        <w:rPr>
          <w:rFonts w:ascii="宋体" w:hAnsi="宋体" w:hint="eastAsia"/>
        </w:rPr>
        <w:t>0</w:t>
      </w:r>
      <w:r w:rsidR="00FB6956">
        <w:rPr>
          <w:rFonts w:ascii="宋体" w:hAnsi="宋体"/>
        </w:rPr>
        <w:t>.</w:t>
      </w:r>
      <w:r w:rsidR="00F87E98">
        <w:rPr>
          <w:rFonts w:ascii="宋体" w:hAnsi="宋体"/>
        </w:rPr>
        <w:t>28</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EF1A60">
        <w:rPr>
          <w:rFonts w:ascii="宋体" w:hAnsi="宋体" w:hint="eastAsia"/>
        </w:rPr>
        <w:t>跌</w:t>
      </w:r>
      <w:r w:rsidR="00F87E98">
        <w:rPr>
          <w:rFonts w:ascii="宋体" w:hAnsi="宋体"/>
        </w:rPr>
        <w:t>0.06</w:t>
      </w:r>
      <w:r w:rsidR="007844B4" w:rsidRPr="00AA5ABE">
        <w:rPr>
          <w:rFonts w:ascii="宋体" w:hAnsi="宋体"/>
        </w:rPr>
        <w:t>%</w:t>
      </w:r>
      <w:r w:rsidRPr="00AA5ABE">
        <w:rPr>
          <w:rFonts w:ascii="宋体" w:hAnsi="宋体" w:hint="eastAsia"/>
        </w:rPr>
        <w:t>。</w:t>
      </w:r>
    </w:p>
    <w:p w14:paraId="2A8620FC" w14:textId="3F3F69C1"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B43AEB">
        <w:rPr>
          <w:rFonts w:ascii="宋体" w:hAnsi="宋体" w:cs="宋体"/>
        </w:rPr>
        <w:t>8</w:t>
      </w:r>
      <w:r w:rsidR="00FF18A2">
        <w:rPr>
          <w:rFonts w:ascii="宋体" w:hAnsi="宋体" w:cs="宋体"/>
        </w:rPr>
        <w:t>263</w:t>
      </w:r>
      <w:r>
        <w:t>，</w:t>
      </w:r>
      <w:r>
        <w:rPr>
          <w:rFonts w:hint="eastAsia"/>
        </w:rPr>
        <w:t>美元兑离岸人民币收报</w:t>
      </w:r>
      <w:r w:rsidR="003A699C">
        <w:t>6.</w:t>
      </w:r>
      <w:r w:rsidR="001F6F76">
        <w:t>8</w:t>
      </w:r>
      <w:r w:rsidR="00FF18A2">
        <w:t>163</w:t>
      </w:r>
      <w:r>
        <w:rPr>
          <w:rFonts w:hint="eastAsia"/>
        </w:rPr>
        <w:t>，在当周</w:t>
      </w:r>
      <w:r>
        <w:t>分别</w:t>
      </w:r>
      <w:r w:rsidR="00B43AEB">
        <w:rPr>
          <w:rFonts w:hint="eastAsia"/>
        </w:rPr>
        <w:t>下</w:t>
      </w:r>
      <w:r w:rsidR="002A6475">
        <w:rPr>
          <w:rFonts w:hint="eastAsia"/>
        </w:rPr>
        <w:t>跌</w:t>
      </w:r>
      <w:r w:rsidR="002A6475">
        <w:rPr>
          <w:rFonts w:hint="eastAsia"/>
        </w:rPr>
        <w:t>0</w:t>
      </w:r>
      <w:r w:rsidR="002A6475">
        <w:t>.</w:t>
      </w:r>
      <w:r w:rsidR="00FF18A2">
        <w:t>1</w:t>
      </w:r>
      <w:r w:rsidR="002A6475">
        <w:t>8%</w:t>
      </w:r>
      <w:r>
        <w:t>和</w:t>
      </w:r>
      <w:r w:rsidR="001F6F76">
        <w:rPr>
          <w:rFonts w:hint="eastAsia"/>
        </w:rPr>
        <w:t>下</w:t>
      </w:r>
      <w:r w:rsidR="002A6475">
        <w:rPr>
          <w:rFonts w:hint="eastAsia"/>
        </w:rPr>
        <w:t>跌</w:t>
      </w:r>
      <w:r w:rsidR="002A6475">
        <w:t>0.</w:t>
      </w:r>
      <w:r w:rsidR="00FF18A2">
        <w:t>13</w:t>
      </w:r>
      <w:r w:rsidR="002A6475">
        <w:t>%</w:t>
      </w:r>
      <w:r>
        <w:t>。欧元兑人民币报</w:t>
      </w:r>
      <w:r w:rsidR="002A6475">
        <w:t>8.</w:t>
      </w:r>
      <w:r w:rsidR="00FF18A2">
        <w:t>0679</w:t>
      </w:r>
      <w:r>
        <w:t>、英镑兑人民币报</w:t>
      </w:r>
      <w:r w:rsidR="00C66DB1">
        <w:t>9</w:t>
      </w:r>
      <w:r w:rsidR="002D37D1">
        <w:t>.</w:t>
      </w:r>
      <w:r w:rsidR="00FF18A2">
        <w:t>2559</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FF18A2">
        <w:t>3228</w:t>
      </w:r>
      <w:r w:rsidR="000959E1">
        <w:rPr>
          <w:rFonts w:hint="eastAsia"/>
        </w:rPr>
        <w:t>、</w:t>
      </w:r>
      <w:r>
        <w:t>澳元兑人民币报</w:t>
      </w:r>
      <w:r>
        <w:t>4</w:t>
      </w:r>
      <w:r w:rsidR="006B50D4">
        <w:t>.</w:t>
      </w:r>
      <w:r w:rsidR="002A6475">
        <w:t>8</w:t>
      </w:r>
      <w:r w:rsidR="00FF18A2">
        <w:t>949</w:t>
      </w:r>
      <w:r>
        <w:rPr>
          <w:rFonts w:hint="eastAsia"/>
        </w:rPr>
        <w:t>，在当</w:t>
      </w:r>
      <w:r>
        <w:t>周分别</w:t>
      </w:r>
      <w:r w:rsidR="002A6475">
        <w:rPr>
          <w:rFonts w:hint="eastAsia"/>
        </w:rPr>
        <w:t>涨</w:t>
      </w:r>
      <w:r w:rsidR="002A6475">
        <w:rPr>
          <w:rFonts w:hint="eastAsia"/>
        </w:rPr>
        <w:t>0</w:t>
      </w:r>
      <w:r w:rsidR="002A6475">
        <w:t>.</w:t>
      </w:r>
      <w:r w:rsidR="00FF18A2">
        <w:t>69</w:t>
      </w:r>
      <w:r w:rsidR="002A6475">
        <w:t>%</w:t>
      </w:r>
      <w:r>
        <w:t>、</w:t>
      </w:r>
      <w:r w:rsidR="002A6475">
        <w:rPr>
          <w:rFonts w:hint="eastAsia"/>
        </w:rPr>
        <w:t>涨</w:t>
      </w:r>
      <w:r w:rsidR="002A6475">
        <w:rPr>
          <w:rFonts w:hint="eastAsia"/>
        </w:rPr>
        <w:t>0</w:t>
      </w:r>
      <w:r w:rsidR="002A6475">
        <w:t>.</w:t>
      </w:r>
      <w:r w:rsidR="00FF18A2">
        <w:t>97</w:t>
      </w:r>
      <w:r w:rsidR="00DD51CB">
        <w:t>%</w:t>
      </w:r>
      <w:r>
        <w:rPr>
          <w:rFonts w:hint="eastAsia"/>
        </w:rPr>
        <w:t>、</w:t>
      </w:r>
      <w:r w:rsidR="00FF18A2">
        <w:rPr>
          <w:rFonts w:hint="eastAsia"/>
        </w:rPr>
        <w:t>涨</w:t>
      </w:r>
      <w:r w:rsidR="00FF18A2">
        <w:rPr>
          <w:rFonts w:hint="eastAsia"/>
        </w:rPr>
        <w:t>0</w:t>
      </w:r>
      <w:r w:rsidR="00FF18A2">
        <w:t>.78</w:t>
      </w:r>
      <w:r w:rsidR="002A6475">
        <w:t>%</w:t>
      </w:r>
      <w:r>
        <w:t>和</w:t>
      </w:r>
      <w:r w:rsidR="002A6475">
        <w:rPr>
          <w:rFonts w:hint="eastAsia"/>
        </w:rPr>
        <w:t>涨</w:t>
      </w:r>
      <w:r w:rsidR="002A6475">
        <w:rPr>
          <w:rFonts w:hint="eastAsia"/>
        </w:rPr>
        <w:t>1</w:t>
      </w:r>
      <w:r w:rsidR="002A6475">
        <w:t>.4</w:t>
      </w:r>
      <w:r w:rsidR="00FF18A2">
        <w:t>9%</w:t>
      </w:r>
      <w:r>
        <w:t>。</w:t>
      </w:r>
    </w:p>
    <w:p w14:paraId="76AC2601" w14:textId="01B6C366"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58569A">
        <w:t>30</w:t>
      </w:r>
      <w:r w:rsidR="0047158A" w:rsidRPr="0047158A">
        <w:rPr>
          <w:rFonts w:hint="eastAsia"/>
        </w:rPr>
        <w:t>亿元</w:t>
      </w:r>
      <w:r w:rsidR="0047158A" w:rsidRPr="0047158A">
        <w:rPr>
          <w:rFonts w:hint="eastAsia"/>
        </w:rPr>
        <w:t>7</w:t>
      </w:r>
      <w:r w:rsidR="0047158A" w:rsidRPr="0047158A">
        <w:rPr>
          <w:rFonts w:hint="eastAsia"/>
        </w:rPr>
        <w:t>天期逆回购操作，</w:t>
      </w:r>
      <w:r w:rsidR="0047158A">
        <w:rPr>
          <w:rFonts w:hint="eastAsia"/>
        </w:rPr>
        <w:t>当</w:t>
      </w:r>
      <w:r w:rsidR="0047158A" w:rsidRPr="0047158A">
        <w:rPr>
          <w:rFonts w:hint="eastAsia"/>
        </w:rPr>
        <w:t>周央行公开市场有</w:t>
      </w:r>
      <w:r w:rsidR="0047158A" w:rsidRPr="0047158A">
        <w:rPr>
          <w:rFonts w:hint="eastAsia"/>
        </w:rPr>
        <w:t>3</w:t>
      </w:r>
      <w:r w:rsidR="0058569A">
        <w:t>5</w:t>
      </w:r>
      <w:r w:rsidR="0047158A" w:rsidRPr="0047158A">
        <w:rPr>
          <w:rFonts w:hint="eastAsia"/>
        </w:rPr>
        <w:t>亿元逆回购到期，因此净回笼</w:t>
      </w:r>
      <w:r w:rsidR="0058569A">
        <w:t>5</w:t>
      </w:r>
      <w:r w:rsidR="0047158A" w:rsidRPr="0047158A">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2EE272C4"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D11AF7" w:rsidRPr="00D11AF7">
        <w:rPr>
          <w:rFonts w:ascii="宋体" w:hAnsi="宋体" w:hint="eastAsia"/>
        </w:rPr>
        <w:t>中国人民银行、国家外汇管理局发布《关于调整银行业金融机构境外贷款业务有关事宜的通知》，将境内外资银行的境外贷款杠杆率由0.5上调至1.5，将进出口银行的杠杆率由3上调至3.5，并将20亿元核定上限上调至100亿元。优化间接方式贷款管理要求，允许境外银行依据所在地相关法律法规办理。</w:t>
      </w:r>
    </w:p>
    <w:p w14:paraId="3316BE34" w14:textId="16FF111B" w:rsidR="00785749" w:rsidRPr="0011314B" w:rsidRDefault="00CA7296" w:rsidP="0011314B">
      <w:pPr>
        <w:spacing w:line="312" w:lineRule="auto"/>
        <w:ind w:firstLine="420"/>
        <w:rPr>
          <w:rFonts w:ascii="宋体" w:hAnsi="宋体"/>
        </w:rPr>
      </w:pPr>
      <w:r w:rsidRPr="0086476E">
        <w:rPr>
          <w:rFonts w:ascii="宋体" w:hAnsi="宋体" w:hint="eastAsia"/>
        </w:rPr>
        <w:t>2、</w:t>
      </w:r>
      <w:r w:rsidR="00D11AF7" w:rsidRPr="00D11AF7">
        <w:rPr>
          <w:rFonts w:ascii="宋体" w:hAnsi="宋体" w:hint="eastAsia"/>
        </w:rPr>
        <w:t>伊朗外交部发言人巴加埃表示，鉴于美国反复违反停火协议并对伊朗港口和船只构成威胁，目前无法实现霍尔木兹海峡航行正常化。伊方谈判立场坚定不移，从伊朗移除浓缩铀从来不是谈判选项。美国总统特朗普则表示，在协议签署之前，不会开放霍尔木兹海峡。美国中央司令部发布消息称，自针对进出伊朗港口及沿海地区船只的封锁开始以来，已有27艘船只掉头或返回伊朗港口。</w:t>
      </w:r>
    </w:p>
    <w:p w14:paraId="0E3CF4D4" w14:textId="007DB2AD"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D11AF7" w:rsidRPr="00D11AF7">
        <w:rPr>
          <w:rFonts w:ascii="宋体" w:hAnsi="宋体" w:hint="eastAsia"/>
        </w:rPr>
        <w:t>美国国防部长赫格塞思称，美军正继续执行“坚不可摧的封锁任务”，随时准备重启作战行动。美国财政部正在启动代号为“经济狂怒”的行动，对伊朗施加最大化的经济压力。美军也已扩大对伊朗航运物资封锁范围，将武器、弹药、原油、成品油、钢铁、铝等纳入其中。伊朗外交部发言人巴加埃表示，美国这些政策是“故意给人们带来痛苦”，这种行</w:t>
      </w:r>
      <w:r w:rsidR="00D11AF7" w:rsidRPr="00D11AF7">
        <w:rPr>
          <w:rFonts w:ascii="宋体" w:hAnsi="宋体" w:hint="eastAsia"/>
        </w:rPr>
        <w:lastRenderedPageBreak/>
        <w:t>为是“经济恐怖主义”和“敲诈”，实质上构成反人类罪和种族灭绝罪。</w:t>
      </w:r>
    </w:p>
    <w:p w14:paraId="630B9579" w14:textId="22D9589F" w:rsidR="00BC01B8" w:rsidRPr="00F44D25" w:rsidRDefault="00BC01B8" w:rsidP="001F0839">
      <w:pPr>
        <w:spacing w:line="312" w:lineRule="auto"/>
        <w:ind w:firstLine="420"/>
        <w:rPr>
          <w:rFonts w:ascii="宋体" w:hAnsi="宋体"/>
        </w:rPr>
      </w:pPr>
      <w:r w:rsidRPr="0086476E">
        <w:rPr>
          <w:rFonts w:ascii="宋体" w:hAnsi="宋体" w:hint="eastAsia"/>
        </w:rPr>
        <w:t>4、</w:t>
      </w:r>
      <w:r w:rsidR="00D11AF7" w:rsidRPr="00D11AF7">
        <w:rPr>
          <w:rFonts w:ascii="宋体" w:hAnsi="宋体" w:hint="eastAsia"/>
        </w:rPr>
        <w:t>国际货币基金组织（IMF）发布最新一期《世界经济展望报告》，将2026年世界经济增长预期下调0.2个百分点至3.1%。报告认为，中东战事已显著影响当前世界经济增长势头，若战事与高油价持续更长时间，今年世界经济增速将降至2.5%甚至更低。报告将今年美国和欧元区经济增长预期分别下调0.1和0.2个百分点，至2.3%和1.1%。</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0EEA6443"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5115121E" wp14:editId="4C67C54B">
            <wp:extent cx="3524250" cy="1954746"/>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7647" cy="1967723"/>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035D98AC" w:rsidR="00CA7296" w:rsidRDefault="00F87E98" w:rsidP="00CA7296">
      <w:pPr>
        <w:spacing w:line="360" w:lineRule="auto"/>
        <w:jc w:val="center"/>
        <w:rPr>
          <w:rFonts w:ascii="宋体" w:hAnsi="宋体"/>
          <w:sz w:val="18"/>
          <w:szCs w:val="18"/>
        </w:rPr>
      </w:pPr>
      <w:bookmarkStart w:id="0" w:name="_GoBack"/>
      <w:r>
        <w:rPr>
          <w:noProof/>
        </w:rPr>
        <w:drawing>
          <wp:inline distT="0" distB="0" distL="0" distR="0" wp14:anchorId="38B6ABAB" wp14:editId="3F2DA110">
            <wp:extent cx="5352460" cy="330263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5263" cy="3310535"/>
                    </a:xfrm>
                    <a:prstGeom prst="rect">
                      <a:avLst/>
                    </a:prstGeom>
                  </pic:spPr>
                </pic:pic>
              </a:graphicData>
            </a:graphic>
          </wp:inline>
        </w:drawing>
      </w:r>
      <w:bookmarkEnd w:id="0"/>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69B75236" w:rsidR="00CA7296" w:rsidRPr="00AB4AA6" w:rsidRDefault="00F87E98" w:rsidP="00AB4AA6">
      <w:pPr>
        <w:jc w:val="center"/>
      </w:pPr>
      <w:r>
        <w:rPr>
          <w:noProof/>
        </w:rPr>
        <w:drawing>
          <wp:inline distT="0" distB="0" distL="0" distR="0" wp14:anchorId="38D9D77B" wp14:editId="1882B7CF">
            <wp:extent cx="3676200" cy="1905000"/>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05535" cy="1920202"/>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048FF326" w:rsidR="00CA7296" w:rsidRDefault="00F87E98" w:rsidP="00CA7296">
      <w:pPr>
        <w:jc w:val="center"/>
      </w:pPr>
      <w:r>
        <w:rPr>
          <w:noProof/>
        </w:rPr>
        <w:drawing>
          <wp:inline distT="0" distB="0" distL="0" distR="0" wp14:anchorId="216FAC0F" wp14:editId="38D23EAD">
            <wp:extent cx="5133975" cy="255400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2201" cy="2558099"/>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4ABB2DAD" w:rsidR="00CA7296" w:rsidRDefault="00F87E98" w:rsidP="00CA7296">
      <w:pPr>
        <w:jc w:val="center"/>
      </w:pPr>
      <w:r>
        <w:rPr>
          <w:noProof/>
        </w:rPr>
        <w:drawing>
          <wp:inline distT="0" distB="0" distL="0" distR="0" wp14:anchorId="09D42862" wp14:editId="6A8582E2">
            <wp:extent cx="3800290" cy="2038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20626" cy="2049258"/>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1EFB14B6">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13649EAB" w14:textId="77777777" w:rsidR="00F87E98" w:rsidRDefault="00F87E98" w:rsidP="00103A47">
      <w:pPr>
        <w:spacing w:line="312" w:lineRule="auto"/>
        <w:ind w:firstLine="420"/>
        <w:rPr>
          <w:rFonts w:ascii="宋体" w:hAnsi="宋体" w:cs="宋体"/>
        </w:rPr>
      </w:pPr>
      <w:r w:rsidRPr="00F87E98">
        <w:rPr>
          <w:rFonts w:ascii="宋体" w:hAnsi="宋体" w:cs="宋体" w:hint="eastAsia"/>
        </w:rPr>
        <w:t>美伊停火谈判持续拉锯，通胀预期抬升、消费者信心指数大幅遇冷，推动市场重新定价再通胀风险。美国生产端通胀不及市场预期，显示油价冲击向更广泛价格体系的传导仍有时滞；与此同时，就业市场依旧保持韧性，进一步压制美联储年内降息预期。整体来看，当前美元运行逻辑或仍处于“通胀与就业数据韧性”与“地缘局势趋缓及美元信用弱化叙事”的拉锯之中，美元短期或延续震荡趋势。</w:t>
      </w:r>
    </w:p>
    <w:p w14:paraId="16FCB4C1" w14:textId="784FA17A" w:rsidR="00F954EA" w:rsidRPr="00AA5ABE" w:rsidRDefault="00F87E98" w:rsidP="00103A47">
      <w:pPr>
        <w:spacing w:line="312" w:lineRule="auto"/>
        <w:ind w:firstLine="420"/>
        <w:rPr>
          <w:rFonts w:ascii="宋体" w:hAnsi="宋体"/>
        </w:rPr>
      </w:pPr>
      <w:r w:rsidRPr="00F87E98">
        <w:rPr>
          <w:rFonts w:ascii="宋体" w:hAnsi="宋体" w:cs="宋体" w:hint="eastAsia"/>
        </w:rPr>
        <w:t>国内端，制造业PMI作为经济景气度的“风向标”，3月景气度迅速回暖，环比回升1.4%至50.4%，时隔两个月重返荣枯线以上，标志着制造业景气度触底反弹，主要受节后企业全面复工复产推动。具体来看，生产指数升至51.4%，新订单指数跃至51.6%，均进入扩张区间，显示生产活动加快、市场需求明显改善；而新出口订单指数虽仍在收缩区间，但环比大幅回升4.1个百分点，或反映外需边际改善。</w:t>
      </w:r>
      <w:r>
        <w:rPr>
          <w:rFonts w:ascii="宋体" w:hAnsi="宋体" w:cs="宋体" w:hint="eastAsia"/>
        </w:rPr>
        <w:t>出口端，</w:t>
      </w:r>
      <w:r w:rsidRPr="00F87E98">
        <w:rPr>
          <w:rFonts w:ascii="宋体" w:hAnsi="宋体" w:cs="宋体" w:hint="eastAsia"/>
        </w:rPr>
        <w:t>3月我国出口大幅回落，主要与春节错位有关</w:t>
      </w:r>
      <w:r w:rsidR="00FF18A2">
        <w:rPr>
          <w:rFonts w:ascii="宋体" w:hAnsi="宋体" w:cs="宋体" w:hint="eastAsia"/>
        </w:rPr>
        <w:t>，排除这一因素外，总体较为平稳。</w:t>
      </w:r>
      <w:r w:rsidR="00FF18A2" w:rsidRPr="00FF18A2">
        <w:rPr>
          <w:rFonts w:ascii="宋体" w:hAnsi="宋体" w:cs="宋体" w:hint="eastAsia"/>
        </w:rPr>
        <w:t>AI投资热潮依旧，</w:t>
      </w:r>
      <w:r w:rsidR="00FF18A2">
        <w:rPr>
          <w:rFonts w:ascii="宋体" w:hAnsi="宋体" w:cs="宋体" w:hint="eastAsia"/>
        </w:rPr>
        <w:t>带动</w:t>
      </w:r>
      <w:r w:rsidR="00FF18A2" w:rsidRPr="00FF18A2">
        <w:rPr>
          <w:rFonts w:ascii="宋体" w:hAnsi="宋体" w:cs="宋体" w:hint="eastAsia"/>
        </w:rPr>
        <w:t>机电产品出口增速维持在24.9%的高位，集成电路出口同比上涨45.0%，中国出口</w:t>
      </w:r>
      <w:r w:rsidR="00FF18A2">
        <w:rPr>
          <w:rFonts w:ascii="宋体" w:hAnsi="宋体" w:cs="宋体" w:hint="eastAsia"/>
        </w:rPr>
        <w:t>在此背景下</w:t>
      </w:r>
      <w:r w:rsidR="00FF18A2" w:rsidRPr="00FF18A2">
        <w:rPr>
          <w:rFonts w:ascii="宋体" w:hAnsi="宋体" w:cs="宋体" w:hint="eastAsia"/>
        </w:rPr>
        <w:t>有望维持较高景气度</w:t>
      </w:r>
      <w:r w:rsidR="00FF18A2">
        <w:rPr>
          <w:rFonts w:ascii="宋体" w:hAnsi="宋体" w:cs="宋体" w:hint="eastAsia"/>
        </w:rPr>
        <w:t>。</w:t>
      </w:r>
      <w:r w:rsidRPr="00F87E98">
        <w:rPr>
          <w:rFonts w:ascii="宋体" w:hAnsi="宋体" w:cs="宋体" w:hint="eastAsia"/>
        </w:rPr>
        <w:t>整体来看，油价高位运行及避险情绪反复，人民币兑美元汇率波动将持续加剧，维持宽幅震荡趋势。</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9D59D" w14:textId="77777777" w:rsidR="008264F8" w:rsidRDefault="008264F8" w:rsidP="00127060">
      <w:r>
        <w:separator/>
      </w:r>
    </w:p>
  </w:endnote>
  <w:endnote w:type="continuationSeparator" w:id="0">
    <w:p w14:paraId="2BBF08BB" w14:textId="77777777" w:rsidR="008264F8" w:rsidRDefault="008264F8"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DEB81" w14:textId="77777777" w:rsidR="008264F8" w:rsidRDefault="008264F8" w:rsidP="00127060">
      <w:r>
        <w:separator/>
      </w:r>
    </w:p>
  </w:footnote>
  <w:footnote w:type="continuationSeparator" w:id="0">
    <w:p w14:paraId="0E99B65B" w14:textId="77777777" w:rsidR="008264F8" w:rsidRDefault="008264F8"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3A47"/>
    <w:rsid w:val="00112C39"/>
    <w:rsid w:val="0011314B"/>
    <w:rsid w:val="00113D9E"/>
    <w:rsid w:val="00115730"/>
    <w:rsid w:val="0012070F"/>
    <w:rsid w:val="00125BEA"/>
    <w:rsid w:val="00127060"/>
    <w:rsid w:val="001359F0"/>
    <w:rsid w:val="001407AC"/>
    <w:rsid w:val="001431CC"/>
    <w:rsid w:val="001470E8"/>
    <w:rsid w:val="00150521"/>
    <w:rsid w:val="00153427"/>
    <w:rsid w:val="001564E1"/>
    <w:rsid w:val="0015671A"/>
    <w:rsid w:val="001573DE"/>
    <w:rsid w:val="001728A8"/>
    <w:rsid w:val="00182FB2"/>
    <w:rsid w:val="001847B0"/>
    <w:rsid w:val="001848CA"/>
    <w:rsid w:val="001869F4"/>
    <w:rsid w:val="00186F23"/>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510B"/>
    <w:rsid w:val="0028572C"/>
    <w:rsid w:val="00290F42"/>
    <w:rsid w:val="00296492"/>
    <w:rsid w:val="0029743E"/>
    <w:rsid w:val="002A359F"/>
    <w:rsid w:val="002A6475"/>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2B57"/>
    <w:rsid w:val="00324293"/>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2769"/>
    <w:rsid w:val="004E332D"/>
    <w:rsid w:val="004F0C55"/>
    <w:rsid w:val="004F16E7"/>
    <w:rsid w:val="0050173E"/>
    <w:rsid w:val="00503735"/>
    <w:rsid w:val="00505961"/>
    <w:rsid w:val="00505DD6"/>
    <w:rsid w:val="00506D2A"/>
    <w:rsid w:val="00511152"/>
    <w:rsid w:val="00512646"/>
    <w:rsid w:val="0051618C"/>
    <w:rsid w:val="00534A80"/>
    <w:rsid w:val="00535FC1"/>
    <w:rsid w:val="00537CF9"/>
    <w:rsid w:val="0055205C"/>
    <w:rsid w:val="00567A01"/>
    <w:rsid w:val="00571EBF"/>
    <w:rsid w:val="00574E1F"/>
    <w:rsid w:val="00577A61"/>
    <w:rsid w:val="00581D9D"/>
    <w:rsid w:val="00583AD9"/>
    <w:rsid w:val="00585144"/>
    <w:rsid w:val="0058569A"/>
    <w:rsid w:val="00592071"/>
    <w:rsid w:val="005A3626"/>
    <w:rsid w:val="005A6A6F"/>
    <w:rsid w:val="005B0999"/>
    <w:rsid w:val="005B127B"/>
    <w:rsid w:val="005B4337"/>
    <w:rsid w:val="005B6BB0"/>
    <w:rsid w:val="005D4042"/>
    <w:rsid w:val="005D591B"/>
    <w:rsid w:val="005D6040"/>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B32"/>
    <w:rsid w:val="00651A45"/>
    <w:rsid w:val="0065442E"/>
    <w:rsid w:val="006553DD"/>
    <w:rsid w:val="00655606"/>
    <w:rsid w:val="00655FE4"/>
    <w:rsid w:val="006603DF"/>
    <w:rsid w:val="0066318A"/>
    <w:rsid w:val="00671429"/>
    <w:rsid w:val="00671C9F"/>
    <w:rsid w:val="00672F7C"/>
    <w:rsid w:val="00673887"/>
    <w:rsid w:val="00673FAC"/>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A98"/>
    <w:rsid w:val="007F6420"/>
    <w:rsid w:val="00800E28"/>
    <w:rsid w:val="008043B5"/>
    <w:rsid w:val="00804540"/>
    <w:rsid w:val="00813A5E"/>
    <w:rsid w:val="00814C88"/>
    <w:rsid w:val="00821138"/>
    <w:rsid w:val="008264F8"/>
    <w:rsid w:val="008306EA"/>
    <w:rsid w:val="0083623C"/>
    <w:rsid w:val="00844DA7"/>
    <w:rsid w:val="008461BD"/>
    <w:rsid w:val="00847CAE"/>
    <w:rsid w:val="008515E9"/>
    <w:rsid w:val="00852D32"/>
    <w:rsid w:val="00852FAF"/>
    <w:rsid w:val="00853402"/>
    <w:rsid w:val="00854449"/>
    <w:rsid w:val="008575F1"/>
    <w:rsid w:val="0086476E"/>
    <w:rsid w:val="008663E7"/>
    <w:rsid w:val="0087172E"/>
    <w:rsid w:val="00871BD0"/>
    <w:rsid w:val="00881976"/>
    <w:rsid w:val="00882F85"/>
    <w:rsid w:val="00883F0C"/>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2476"/>
    <w:rsid w:val="00AB2BF2"/>
    <w:rsid w:val="00AB35EA"/>
    <w:rsid w:val="00AB4AA6"/>
    <w:rsid w:val="00AB77E4"/>
    <w:rsid w:val="00AB7FCB"/>
    <w:rsid w:val="00AC09FC"/>
    <w:rsid w:val="00AC11D1"/>
    <w:rsid w:val="00AC23F7"/>
    <w:rsid w:val="00AD25D1"/>
    <w:rsid w:val="00AD468C"/>
    <w:rsid w:val="00AE352D"/>
    <w:rsid w:val="00AE3D5D"/>
    <w:rsid w:val="00AE4085"/>
    <w:rsid w:val="00AE4401"/>
    <w:rsid w:val="00AE5D02"/>
    <w:rsid w:val="00AE61BD"/>
    <w:rsid w:val="00AF4AA5"/>
    <w:rsid w:val="00AF77DE"/>
    <w:rsid w:val="00B109A3"/>
    <w:rsid w:val="00B11E90"/>
    <w:rsid w:val="00B158F9"/>
    <w:rsid w:val="00B17CED"/>
    <w:rsid w:val="00B20497"/>
    <w:rsid w:val="00B21983"/>
    <w:rsid w:val="00B21F18"/>
    <w:rsid w:val="00B25A83"/>
    <w:rsid w:val="00B26225"/>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058D"/>
    <w:rsid w:val="00BE253B"/>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77E4C"/>
    <w:rsid w:val="00C85ECA"/>
    <w:rsid w:val="00C861A9"/>
    <w:rsid w:val="00CA1C69"/>
    <w:rsid w:val="00CA2893"/>
    <w:rsid w:val="00CA393B"/>
    <w:rsid w:val="00CA3BCB"/>
    <w:rsid w:val="00CA7296"/>
    <w:rsid w:val="00CB2110"/>
    <w:rsid w:val="00CB6E2B"/>
    <w:rsid w:val="00CC28AB"/>
    <w:rsid w:val="00CC2C53"/>
    <w:rsid w:val="00CD3D78"/>
    <w:rsid w:val="00CD65B1"/>
    <w:rsid w:val="00CD7032"/>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1AF7"/>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648F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2BA5"/>
    <w:rsid w:val="00F858FD"/>
    <w:rsid w:val="00F868F7"/>
    <w:rsid w:val="00F87E98"/>
    <w:rsid w:val="00F94497"/>
    <w:rsid w:val="00F954EA"/>
    <w:rsid w:val="00F95B17"/>
    <w:rsid w:val="00FA206D"/>
    <w:rsid w:val="00FA6D95"/>
    <w:rsid w:val="00FA7DD2"/>
    <w:rsid w:val="00FB693A"/>
    <w:rsid w:val="00FB6956"/>
    <w:rsid w:val="00FB7024"/>
    <w:rsid w:val="00FB72A5"/>
    <w:rsid w:val="00FC30F3"/>
    <w:rsid w:val="00FD29C8"/>
    <w:rsid w:val="00FD467E"/>
    <w:rsid w:val="00FD78AF"/>
    <w:rsid w:val="00FE13DF"/>
    <w:rsid w:val="00FF18A2"/>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46132</c:v>
                </c:pt>
                <c:pt idx="1">
                  <c:v>46131</c:v>
                </c:pt>
                <c:pt idx="2">
                  <c:v>46130</c:v>
                </c:pt>
                <c:pt idx="3">
                  <c:v>46129</c:v>
                </c:pt>
                <c:pt idx="4">
                  <c:v>46128</c:v>
                </c:pt>
                <c:pt idx="5">
                  <c:v>46127</c:v>
                </c:pt>
                <c:pt idx="6">
                  <c:v>46126</c:v>
                </c:pt>
              </c:numCache>
            </c:numRef>
          </c:cat>
          <c:val>
            <c:numRef>
              <c:f>'价差 IFIND'!$D$4:$D$10</c:f>
              <c:numCache>
                <c:formatCode>#,##0.0000_ </c:formatCode>
                <c:ptCount val="7"/>
                <c:pt idx="0">
                  <c:v>1.7611176544720664E-3</c:v>
                </c:pt>
                <c:pt idx="1">
                  <c:v>4.6219422468691818E-3</c:v>
                </c:pt>
                <c:pt idx="2">
                  <c:v>4.1799061227054679E-3</c:v>
                </c:pt>
                <c:pt idx="3">
                  <c:v>3.8180899096111887E-3</c:v>
                </c:pt>
                <c:pt idx="4">
                  <c:v>2.7792085182021253E-4</c:v>
                </c:pt>
                <c:pt idx="5">
                  <c:v>5.6877009482469987E-4</c:v>
                </c:pt>
                <c:pt idx="6">
                  <c:v>7.0357983178830352E-3</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46132</c:v>
                </c:pt>
                <c:pt idx="1">
                  <c:v>46131</c:v>
                </c:pt>
                <c:pt idx="2">
                  <c:v>46130</c:v>
                </c:pt>
                <c:pt idx="3">
                  <c:v>46129</c:v>
                </c:pt>
                <c:pt idx="4">
                  <c:v>46128</c:v>
                </c:pt>
                <c:pt idx="5">
                  <c:v>46127</c:v>
                </c:pt>
                <c:pt idx="6">
                  <c:v>46126</c:v>
                </c:pt>
              </c:numCache>
            </c:numRef>
          </c:cat>
          <c:val>
            <c:numRef>
              <c:f>'价差 IFIND'!$B$4:$B$10</c:f>
              <c:numCache>
                <c:formatCode>#,##0.0000_ </c:formatCode>
                <c:ptCount val="7"/>
                <c:pt idx="0">
                  <c:v>6.8174635421284453</c:v>
                </c:pt>
                <c:pt idx="1">
                  <c:v>6.817991881445284</c:v>
                </c:pt>
                <c:pt idx="2">
                  <c:v>6.817550212142458</c:v>
                </c:pt>
                <c:pt idx="3">
                  <c:v>6.8187339424254274</c:v>
                </c:pt>
                <c:pt idx="4">
                  <c:v>6.8212844939202988</c:v>
                </c:pt>
                <c:pt idx="5">
                  <c:v>6.8184184757880413</c:v>
                </c:pt>
                <c:pt idx="6">
                  <c:v>6.8161125465070436</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46132</c:v>
                </c:pt>
                <c:pt idx="1">
                  <c:v>46131</c:v>
                </c:pt>
                <c:pt idx="2">
                  <c:v>46130</c:v>
                </c:pt>
                <c:pt idx="3">
                  <c:v>46129</c:v>
                </c:pt>
                <c:pt idx="4">
                  <c:v>46128</c:v>
                </c:pt>
                <c:pt idx="5">
                  <c:v>46127</c:v>
                </c:pt>
                <c:pt idx="6">
                  <c:v>46126</c:v>
                </c:pt>
              </c:numCache>
            </c:numRef>
          </c:cat>
          <c:val>
            <c:numRef>
              <c:f>'价差 IFIND'!$C$4:$C$10</c:f>
              <c:numCache>
                <c:formatCode>#,##0.0000_ </c:formatCode>
                <c:ptCount val="7"/>
                <c:pt idx="0">
                  <c:v>6.8157024244739732</c:v>
                </c:pt>
                <c:pt idx="1">
                  <c:v>6.8133699391984148</c:v>
                </c:pt>
                <c:pt idx="2">
                  <c:v>6.8133703060197526</c:v>
                </c:pt>
                <c:pt idx="3">
                  <c:v>6.8149158525158162</c:v>
                </c:pt>
                <c:pt idx="4">
                  <c:v>6.8210065730684786</c:v>
                </c:pt>
                <c:pt idx="5">
                  <c:v>6.8178497056932166</c:v>
                </c:pt>
                <c:pt idx="6">
                  <c:v>6.8090767481891605</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cat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1479-85FE-40BB-861C-74672DD1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cp:lastPrinted>2024-12-24T02:37:00Z</cp:lastPrinted>
  <dcterms:created xsi:type="dcterms:W3CDTF">2026-04-14T01:20:00Z</dcterms:created>
  <dcterms:modified xsi:type="dcterms:W3CDTF">2026-04-21T01:20:00Z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