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45A56F1"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7266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8A5696">
        <w:rPr>
          <w:rFonts w:ascii="微软雅黑" w:eastAsia="微软雅黑" w:hAnsi="微软雅黑" w:cs="微软雅黑" w:hint="eastAsia"/>
          <w:b/>
          <w:bCs/>
          <w:color w:val="005D97"/>
          <w:spacing w:val="-22"/>
          <w:sz w:val="48"/>
          <w:szCs w:val="48"/>
          <w:lang w:eastAsia="zh-CN"/>
        </w:rPr>
        <w:t>2</w:t>
      </w:r>
      <w:r w:rsidR="00E96B67">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7B0ED066" w:rsidR="007B3E0B" w:rsidRDefault="00E96B67"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E96B67">
        <w:rPr>
          <w:rFonts w:ascii="微软雅黑" w:eastAsia="微软雅黑" w:hAnsi="微软雅黑" w:cs="微软雅黑"/>
          <w:spacing w:val="12"/>
          <w:lang w:eastAsia="zh-CN"/>
        </w:rPr>
        <w:t>美国三大股指全线收跌，道指跌0.36%报49310.32点，</w:t>
      </w:r>
      <w:proofErr w:type="gramStart"/>
      <w:r w:rsidRPr="00E96B67">
        <w:rPr>
          <w:rFonts w:ascii="微软雅黑" w:eastAsia="微软雅黑" w:hAnsi="微软雅黑" w:cs="微软雅黑"/>
          <w:spacing w:val="12"/>
          <w:lang w:eastAsia="zh-CN"/>
        </w:rPr>
        <w:t>标普</w:t>
      </w:r>
      <w:proofErr w:type="gramEnd"/>
      <w:r w:rsidRPr="00E96B67">
        <w:rPr>
          <w:rFonts w:ascii="微软雅黑" w:eastAsia="微软雅黑" w:hAnsi="微软雅黑" w:cs="微软雅黑"/>
          <w:spacing w:val="12"/>
          <w:lang w:eastAsia="zh-CN"/>
        </w:rPr>
        <w:t>500指数跌0.41%报7108.4点，</w:t>
      </w:r>
      <w:proofErr w:type="gramStart"/>
      <w:r w:rsidRPr="00E96B67">
        <w:rPr>
          <w:rFonts w:ascii="微软雅黑" w:eastAsia="微软雅黑" w:hAnsi="微软雅黑" w:cs="微软雅黑"/>
          <w:spacing w:val="12"/>
          <w:lang w:eastAsia="zh-CN"/>
        </w:rPr>
        <w:t>纳指跌</w:t>
      </w:r>
      <w:proofErr w:type="gramEnd"/>
      <w:r w:rsidRPr="00E96B67">
        <w:rPr>
          <w:rFonts w:ascii="微软雅黑" w:eastAsia="微软雅黑" w:hAnsi="微软雅黑" w:cs="微软雅黑"/>
          <w:spacing w:val="12"/>
          <w:lang w:eastAsia="zh-CN"/>
        </w:rPr>
        <w:t>0.89%报24438.5点。美元指数涨0.23%报98.83，非美货币涨跌互现，欧元兑美元跌0.21%报1.1683，英镑兑美元跌0.27%报1.3467，澳元兑美元跌0.45%报0.7129，美元兑日元涨0.17%报159.7465，美元兑加元涨0.20%报1.3699，美元兑</w:t>
      </w:r>
      <w:proofErr w:type="gramStart"/>
      <w:r w:rsidRPr="00E96B67">
        <w:rPr>
          <w:rFonts w:ascii="微软雅黑" w:eastAsia="微软雅黑" w:hAnsi="微软雅黑" w:cs="微软雅黑"/>
          <w:spacing w:val="12"/>
          <w:lang w:eastAsia="zh-CN"/>
        </w:rPr>
        <w:t>瑞郎涨</w:t>
      </w:r>
      <w:proofErr w:type="gramEnd"/>
      <w:r w:rsidRPr="00E96B67">
        <w:rPr>
          <w:rFonts w:ascii="微软雅黑" w:eastAsia="微软雅黑" w:hAnsi="微软雅黑" w:cs="微软雅黑"/>
          <w:spacing w:val="12"/>
          <w:lang w:eastAsia="zh-CN"/>
        </w:rPr>
        <w:t>0.23%报0.7865，离岸人民币对美元跌41个基点报6.8359。国际贵金属期货普遍收跌，COMEX黄金期货跌0.93%报4708.60美元/盎司，COMEX白银期货跌3.21%报75.46美元/盎司</w:t>
      </w:r>
      <w:r w:rsidRPr="00E96B67">
        <w:rPr>
          <w:rFonts w:ascii="微软雅黑" w:eastAsia="微软雅黑" w:hAnsi="微软雅黑" w:cs="微软雅黑" w:hint="eastAsia"/>
          <w:spacing w:val="12"/>
          <w:lang w:eastAsia="zh-CN"/>
        </w:rPr>
        <w:t>。</w:t>
      </w:r>
      <w:proofErr w:type="gramStart"/>
      <w:r w:rsidRPr="00E96B67">
        <w:rPr>
          <w:rFonts w:ascii="微软雅黑" w:eastAsia="微软雅黑" w:hAnsi="微软雅黑" w:cs="微软雅黑"/>
          <w:spacing w:val="12"/>
          <w:lang w:eastAsia="zh-CN"/>
        </w:rPr>
        <w:t>美油主力</w:t>
      </w:r>
      <w:proofErr w:type="gramEnd"/>
      <w:r w:rsidRPr="00E96B67">
        <w:rPr>
          <w:rFonts w:ascii="微软雅黑" w:eastAsia="微软雅黑" w:hAnsi="微软雅黑" w:cs="微软雅黑"/>
          <w:spacing w:val="12"/>
          <w:lang w:eastAsia="zh-CN"/>
        </w:rPr>
        <w:t>合约收涨4.35%，报97.0美元/桶；</w:t>
      </w:r>
      <w:proofErr w:type="gramStart"/>
      <w:r w:rsidRPr="00E96B67">
        <w:rPr>
          <w:rFonts w:ascii="微软雅黑" w:eastAsia="微软雅黑" w:hAnsi="微软雅黑" w:cs="微软雅黑"/>
          <w:spacing w:val="12"/>
          <w:lang w:eastAsia="zh-CN"/>
        </w:rPr>
        <w:t>布油主力</w:t>
      </w:r>
      <w:proofErr w:type="gramEnd"/>
      <w:r w:rsidRPr="00E96B67">
        <w:rPr>
          <w:rFonts w:ascii="微软雅黑" w:eastAsia="微软雅黑" w:hAnsi="微软雅黑" w:cs="微软雅黑"/>
          <w:spacing w:val="12"/>
          <w:lang w:eastAsia="zh-CN"/>
        </w:rPr>
        <w:t>合约涨4.02%，报106.01美元/桶。</w:t>
      </w:r>
      <w:r w:rsidR="007B3E0B" w:rsidRPr="00426F5F">
        <w:rPr>
          <w:rFonts w:ascii="微软雅黑" w:eastAsia="微软雅黑" w:hAnsi="微软雅黑" w:cs="微软雅黑"/>
          <w:spacing w:val="12"/>
          <w:lang w:eastAsia="zh-CN"/>
        </w:rPr>
        <w:t>ICE</w:t>
      </w:r>
      <w:r w:rsidR="007B3E0B" w:rsidRPr="00426F5F">
        <w:rPr>
          <w:rFonts w:ascii="微软雅黑" w:eastAsia="微软雅黑" w:hAnsi="微软雅黑" w:cs="微软雅黑" w:hint="eastAsia"/>
          <w:spacing w:val="12"/>
          <w:lang w:eastAsia="zh-CN"/>
        </w:rPr>
        <w:t>原糖主</w:t>
      </w:r>
      <w:r w:rsidR="007B3E0B" w:rsidRPr="00653A5D">
        <w:rPr>
          <w:rFonts w:ascii="微软雅黑" w:eastAsia="微软雅黑" w:hAnsi="微软雅黑" w:cs="微软雅黑" w:hint="eastAsia"/>
          <w:spacing w:val="12"/>
          <w:lang w:eastAsia="zh-CN"/>
        </w:rPr>
        <w:t>力合约</w:t>
      </w:r>
      <w:r w:rsidR="00E15A36">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0.65</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047BEB">
        <w:rPr>
          <w:rFonts w:ascii="微软雅黑" w:eastAsia="微软雅黑" w:hAnsi="微软雅黑" w:cs="微软雅黑" w:hint="eastAsia"/>
          <w:spacing w:val="12"/>
          <w:lang w:eastAsia="zh-CN"/>
        </w:rPr>
        <w:t>3.</w:t>
      </w:r>
      <w:r>
        <w:rPr>
          <w:rFonts w:ascii="微软雅黑" w:eastAsia="微软雅黑" w:hAnsi="微软雅黑" w:cs="微软雅黑" w:hint="eastAsia"/>
          <w:spacing w:val="12"/>
          <w:lang w:eastAsia="zh-CN"/>
        </w:rPr>
        <w:t>90</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涨0.75</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B31E13">
        <w:rPr>
          <w:rFonts w:ascii="微软雅黑" w:eastAsia="微软雅黑" w:hAnsi="微软雅黑" w:cs="微软雅黑" w:hint="eastAsia"/>
          <w:spacing w:val="12"/>
          <w:lang w:eastAsia="zh-CN"/>
        </w:rPr>
        <w:t>7</w:t>
      </w:r>
      <w:r w:rsidR="00E15A36">
        <w:rPr>
          <w:rFonts w:ascii="微软雅黑" w:eastAsia="微软雅黑" w:hAnsi="微软雅黑" w:cs="微软雅黑" w:hint="eastAsia"/>
          <w:spacing w:val="12"/>
          <w:lang w:eastAsia="zh-CN"/>
        </w:rPr>
        <w:t>6.</w:t>
      </w:r>
      <w:r>
        <w:rPr>
          <w:rFonts w:ascii="微软雅黑" w:eastAsia="微软雅黑" w:hAnsi="微软雅黑" w:cs="微软雅黑" w:hint="eastAsia"/>
          <w:spacing w:val="12"/>
          <w:lang w:eastAsia="zh-CN"/>
        </w:rPr>
        <w:t>90</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DC0AE1F" w:rsidR="00557736" w:rsidRPr="0022448B" w:rsidRDefault="00E96B67"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64EEDFC5" wp14:editId="61B13592">
            <wp:extent cx="6093732" cy="4187135"/>
            <wp:effectExtent l="0" t="0" r="2540" b="4445"/>
            <wp:docPr id="6892990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8465" cy="4190387"/>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1F7437B9" w:rsidR="00B539F7" w:rsidRPr="00E96B67" w:rsidRDefault="00B539F7" w:rsidP="00B539F7">
      <w:pPr>
        <w:spacing w:before="102" w:line="257" w:lineRule="auto"/>
        <w:ind w:right="210" w:firstLine="436"/>
        <w:jc w:val="both"/>
        <w:rPr>
          <w:rFonts w:ascii="微软雅黑" w:eastAsia="微软雅黑" w:hAnsi="微软雅黑" w:cs="微软雅黑" w:hint="eastAsia"/>
          <w:color w:val="auto"/>
          <w:spacing w:val="4"/>
          <w:sz w:val="22"/>
          <w:szCs w:val="22"/>
          <w:lang w:eastAsia="zh-CN"/>
        </w:rPr>
      </w:pPr>
      <w:r w:rsidRPr="00E96B67">
        <w:rPr>
          <w:rFonts w:ascii="微软雅黑" w:eastAsia="微软雅黑" w:hAnsi="微软雅黑" w:cs="微软雅黑" w:hint="eastAsia"/>
          <w:color w:val="auto"/>
          <w:spacing w:val="4"/>
          <w:sz w:val="22"/>
          <w:szCs w:val="22"/>
          <w:lang w:eastAsia="zh-CN"/>
        </w:rPr>
        <w:t>【</w:t>
      </w:r>
      <w:r w:rsidR="00E96B67" w:rsidRPr="00E96B67">
        <w:rPr>
          <w:rFonts w:ascii="微软雅黑" w:eastAsia="微软雅黑" w:hAnsi="微软雅黑" w:cs="微软雅黑"/>
          <w:color w:val="auto"/>
          <w:spacing w:val="4"/>
          <w:sz w:val="22"/>
          <w:szCs w:val="22"/>
          <w:lang w:eastAsia="zh-CN"/>
        </w:rPr>
        <w:t>巴基斯坦外交官表示，美国与伊朗谈判“陷入僵局”，进展“非常缓慢”。美国仍然致力于维持对伊朗的海上封锁，伊朗认为美方封锁是伊朗参与谈判的障碍，与美国达成协议需要时间，在谈判问题上“不应操之过急”。以色列国防部长卡茨表示，以色列已做好重启与伊朗战争的准备，“只等美国的绿灯”。美国总统特朗普表示，在与伊朗谈判持续推进之际，不想仓促行事，不会对伊朗使用核武器。特朗普同时表示，以色列与黎巴嫩之间的停火协议将延长三周。</w:t>
      </w:r>
      <w:r w:rsidRPr="00E96B67">
        <w:rPr>
          <w:rFonts w:ascii="微软雅黑" w:eastAsia="微软雅黑" w:hAnsi="微软雅黑" w:cs="微软雅黑" w:hint="eastAsia"/>
          <w:color w:val="auto"/>
          <w:spacing w:val="4"/>
          <w:sz w:val="22"/>
          <w:szCs w:val="22"/>
          <w:lang w:eastAsia="zh-CN"/>
        </w:rPr>
        <w:t>】</w:t>
      </w:r>
    </w:p>
    <w:p w14:paraId="68EDC742" w14:textId="7486DB47" w:rsidR="00D16A8F" w:rsidRPr="00E96B67" w:rsidRDefault="00B539F7" w:rsidP="00EE78C7">
      <w:pPr>
        <w:spacing w:before="102" w:line="257" w:lineRule="auto"/>
        <w:ind w:right="210" w:firstLine="436"/>
        <w:jc w:val="both"/>
        <w:rPr>
          <w:rFonts w:ascii="微软雅黑" w:eastAsia="微软雅黑" w:hAnsi="微软雅黑" w:cs="微软雅黑" w:hint="eastAsia"/>
          <w:color w:val="auto"/>
          <w:spacing w:val="4"/>
          <w:sz w:val="22"/>
          <w:szCs w:val="22"/>
          <w:lang w:eastAsia="zh-CN"/>
        </w:rPr>
      </w:pPr>
      <w:r w:rsidRPr="00E96B67">
        <w:rPr>
          <w:rFonts w:ascii="微软雅黑" w:eastAsia="微软雅黑" w:hAnsi="微软雅黑" w:cs="微软雅黑" w:hint="eastAsia"/>
          <w:color w:val="auto"/>
          <w:spacing w:val="4"/>
          <w:sz w:val="22"/>
          <w:szCs w:val="22"/>
          <w:lang w:eastAsia="zh-CN"/>
        </w:rPr>
        <w:lastRenderedPageBreak/>
        <w:t>【</w:t>
      </w:r>
      <w:r w:rsidR="00E96B67" w:rsidRPr="00E96B67">
        <w:rPr>
          <w:rFonts w:ascii="微软雅黑" w:eastAsia="微软雅黑" w:hAnsi="微软雅黑" w:cs="微软雅黑"/>
          <w:color w:val="auto"/>
          <w:spacing w:val="4"/>
          <w:sz w:val="22"/>
          <w:szCs w:val="22"/>
          <w:lang w:eastAsia="zh-CN"/>
        </w:rPr>
        <w:t>针对议长卡利巴夫出任伊斯兰堡谈判伊方代表团团长一事，伊朗外交部发言人</w:t>
      </w:r>
      <w:proofErr w:type="gramStart"/>
      <w:r w:rsidR="00E96B67" w:rsidRPr="00E96B67">
        <w:rPr>
          <w:rFonts w:ascii="微软雅黑" w:eastAsia="微软雅黑" w:hAnsi="微软雅黑" w:cs="微软雅黑"/>
          <w:color w:val="auto"/>
          <w:spacing w:val="4"/>
          <w:sz w:val="22"/>
          <w:szCs w:val="22"/>
          <w:lang w:eastAsia="zh-CN"/>
        </w:rPr>
        <w:t>作出</w:t>
      </w:r>
      <w:proofErr w:type="gramEnd"/>
      <w:r w:rsidR="00E96B67" w:rsidRPr="00E96B67">
        <w:rPr>
          <w:rFonts w:ascii="微软雅黑" w:eastAsia="微软雅黑" w:hAnsi="微软雅黑" w:cs="微软雅黑"/>
          <w:color w:val="auto"/>
          <w:spacing w:val="4"/>
          <w:sz w:val="22"/>
          <w:szCs w:val="22"/>
          <w:lang w:eastAsia="zh-CN"/>
        </w:rPr>
        <w:t>正式回应。发言人强调，近期谈判性质已发生根本转变，核心议题不再是核问题，而是彻底终结战争。发言人明确指出，首要任务是保障国家核心利益。谈判桌上的关键诉求包括索要战争赔偿、解决霍尔木兹海峡争端、全面解除制裁。</w:t>
      </w:r>
      <w:r w:rsidRPr="00E96B67">
        <w:rPr>
          <w:rFonts w:ascii="微软雅黑" w:eastAsia="微软雅黑" w:hAnsi="微软雅黑" w:cs="微软雅黑" w:hint="eastAsia"/>
          <w:color w:val="auto"/>
          <w:spacing w:val="4"/>
          <w:sz w:val="22"/>
          <w:szCs w:val="22"/>
          <w:lang w:eastAsia="zh-CN"/>
        </w:rPr>
        <w:t>】</w:t>
      </w:r>
    </w:p>
    <w:p w14:paraId="1CF4C8CE" w14:textId="322150D4" w:rsidR="0079359D" w:rsidRPr="00E96B67" w:rsidRDefault="0079359D" w:rsidP="001F0225">
      <w:pPr>
        <w:spacing w:before="102"/>
        <w:ind w:right="210" w:firstLine="436"/>
        <w:jc w:val="both"/>
        <w:rPr>
          <w:rFonts w:ascii="微软雅黑" w:eastAsia="微软雅黑" w:hAnsi="微软雅黑" w:cs="微软雅黑" w:hint="eastAsia"/>
          <w:color w:val="auto"/>
          <w:spacing w:val="4"/>
          <w:sz w:val="22"/>
          <w:szCs w:val="22"/>
          <w:lang w:eastAsia="zh-CN"/>
        </w:rPr>
      </w:pPr>
      <w:r w:rsidRPr="00E96B67">
        <w:rPr>
          <w:rFonts w:ascii="微软雅黑" w:eastAsia="微软雅黑" w:hAnsi="微软雅黑" w:cs="微软雅黑" w:hint="eastAsia"/>
          <w:color w:val="auto"/>
          <w:spacing w:val="4"/>
          <w:sz w:val="22"/>
          <w:szCs w:val="22"/>
          <w:lang w:eastAsia="zh-CN"/>
        </w:rPr>
        <w:t>【</w:t>
      </w:r>
      <w:r w:rsidR="00E96B67" w:rsidRPr="00E96B67">
        <w:rPr>
          <w:rFonts w:ascii="微软雅黑" w:eastAsia="微软雅黑" w:hAnsi="微软雅黑" w:cs="微软雅黑"/>
          <w:color w:val="auto"/>
          <w:spacing w:val="4"/>
          <w:sz w:val="22"/>
          <w:szCs w:val="22"/>
          <w:lang w:eastAsia="zh-CN"/>
        </w:rPr>
        <w:t>美国总统特朗普表示，美国已完全掌控了霍尔木兹海峡。未经美国海军批准任何船只都无法进出该海峡，海峡已被“彻底封锁”，直至伊朗愿意达成协议为止。他已下令美国海军，对于任何在霍尔木兹海峡水域布设水雷的船只一律予以开火击沉。伊朗议会副议长称，首笔霍尔木兹海峡通行费收入已汇入中央银行账户。特朗普表示，在与伊朗谈判持续推进之际，他“不想仓促行事”，强调伊朗领导层目前处于“动荡之中”。目前正等待达成协议结果，“如果对方不愿达成协议，将通过军事方式完成行动”。</w:t>
      </w:r>
      <w:r w:rsidRPr="00E96B67">
        <w:rPr>
          <w:rFonts w:ascii="微软雅黑" w:eastAsia="微软雅黑" w:hAnsi="微软雅黑" w:cs="微软雅黑" w:hint="eastAsia"/>
          <w:color w:val="auto"/>
          <w:spacing w:val="4"/>
          <w:sz w:val="22"/>
          <w:szCs w:val="22"/>
          <w:lang w:eastAsia="zh-CN"/>
        </w:rPr>
        <w:t>】</w:t>
      </w:r>
    </w:p>
    <w:p w14:paraId="7762039C" w14:textId="3F73C53C" w:rsidR="008A04B9" w:rsidRPr="00E96B67" w:rsidRDefault="008A04B9" w:rsidP="008A04B9">
      <w:pPr>
        <w:spacing w:before="102" w:line="257" w:lineRule="auto"/>
        <w:ind w:right="210" w:firstLine="436"/>
        <w:jc w:val="both"/>
        <w:rPr>
          <w:rFonts w:ascii="微软雅黑" w:eastAsia="微软雅黑" w:hAnsi="微软雅黑" w:cs="微软雅黑" w:hint="eastAsia"/>
          <w:color w:val="auto"/>
          <w:spacing w:val="4"/>
          <w:sz w:val="22"/>
          <w:szCs w:val="22"/>
          <w:lang w:eastAsia="zh-CN"/>
        </w:rPr>
      </w:pPr>
      <w:r w:rsidRPr="00E96B67">
        <w:rPr>
          <w:rFonts w:ascii="微软雅黑" w:eastAsia="微软雅黑" w:hAnsi="微软雅黑" w:cs="微软雅黑" w:hint="eastAsia"/>
          <w:color w:val="auto"/>
          <w:spacing w:val="4"/>
          <w:sz w:val="22"/>
          <w:szCs w:val="22"/>
          <w:lang w:eastAsia="zh-CN"/>
        </w:rPr>
        <w:t>【</w:t>
      </w:r>
      <w:r w:rsidR="00E96B67" w:rsidRPr="00E96B67">
        <w:rPr>
          <w:rFonts w:ascii="微软雅黑" w:eastAsia="微软雅黑" w:hAnsi="微软雅黑" w:cs="微软雅黑"/>
          <w:color w:val="auto"/>
          <w:spacing w:val="4"/>
          <w:sz w:val="22"/>
          <w:szCs w:val="22"/>
          <w:lang w:eastAsia="zh-CN"/>
        </w:rPr>
        <w:t>伊朗方面已围绕“对等回应”和“进攻性威慑”原则，根据不同情形设定多种对美方及其盟友可能军事行动的目标清单，包括打击以色列及地区内其他美国盟友的发电厂或关键油气设施、打击相关国家的信息技术与人工智能中心、封锁曼德海峡并切断所有石油出口管道等。此外，伊朗或将对美国在地区外的利益实施突袭行动。</w:t>
      </w:r>
      <w:r w:rsidRPr="00E96B67">
        <w:rPr>
          <w:rFonts w:ascii="微软雅黑" w:eastAsia="微软雅黑" w:hAnsi="微软雅黑" w:cs="微软雅黑" w:hint="eastAsia"/>
          <w:color w:val="auto"/>
          <w:spacing w:val="4"/>
          <w:sz w:val="22"/>
          <w:szCs w:val="22"/>
          <w:lang w:eastAsia="zh-CN"/>
        </w:rPr>
        <w:t>】</w:t>
      </w:r>
    </w:p>
    <w:p w14:paraId="02B52CC8" w14:textId="0F429F2D" w:rsidR="005754B9" w:rsidRPr="00E96B67" w:rsidRDefault="005754B9" w:rsidP="008A04B9">
      <w:pPr>
        <w:spacing w:before="102" w:line="257" w:lineRule="auto"/>
        <w:ind w:right="210" w:firstLine="436"/>
        <w:jc w:val="both"/>
        <w:rPr>
          <w:rFonts w:ascii="微软雅黑" w:eastAsia="微软雅黑" w:hAnsi="微软雅黑" w:cs="微软雅黑" w:hint="eastAsia"/>
          <w:color w:val="auto"/>
          <w:spacing w:val="4"/>
          <w:sz w:val="22"/>
          <w:szCs w:val="22"/>
          <w:lang w:eastAsia="zh-CN"/>
        </w:rPr>
      </w:pPr>
      <w:r w:rsidRPr="00E96B67">
        <w:rPr>
          <w:rFonts w:ascii="微软雅黑" w:eastAsia="微软雅黑" w:hAnsi="微软雅黑" w:cs="微软雅黑" w:hint="eastAsia"/>
          <w:color w:val="auto"/>
          <w:spacing w:val="4"/>
          <w:sz w:val="22"/>
          <w:szCs w:val="22"/>
          <w:lang w:eastAsia="zh-CN"/>
        </w:rPr>
        <w:t>【</w:t>
      </w:r>
      <w:r w:rsidR="00E96B67" w:rsidRPr="00E96B67">
        <w:rPr>
          <w:rFonts w:ascii="微软雅黑" w:eastAsia="微软雅黑" w:hAnsi="微软雅黑" w:cs="微软雅黑"/>
          <w:color w:val="auto"/>
          <w:spacing w:val="4"/>
          <w:sz w:val="22"/>
          <w:szCs w:val="22"/>
          <w:lang w:eastAsia="zh-CN"/>
        </w:rPr>
        <w:t>霍尔木兹海峡的航道依然紧锁，全球能源与供应链的“大动脉”面临严峻的挑战。国际货币基金组织发出严厉警告称，如果冲突持续数月，2026年全球经济增长率可能萎缩至2%。</w:t>
      </w:r>
      <w:r w:rsidRPr="00E96B67">
        <w:rPr>
          <w:rFonts w:ascii="微软雅黑" w:eastAsia="微软雅黑" w:hAnsi="微软雅黑" w:cs="微软雅黑" w:hint="eastAsia"/>
          <w:color w:val="auto"/>
          <w:spacing w:val="4"/>
          <w:sz w:val="22"/>
          <w:szCs w:val="22"/>
          <w:lang w:eastAsia="zh-CN"/>
        </w:rPr>
        <w:t>】</w:t>
      </w:r>
    </w:p>
    <w:p w14:paraId="1AD1B44E" w14:textId="3AB9D8AF" w:rsidR="005754B9" w:rsidRPr="00E96B67" w:rsidRDefault="005754B9" w:rsidP="008A04B9">
      <w:pPr>
        <w:spacing w:before="102" w:line="257" w:lineRule="auto"/>
        <w:ind w:right="210" w:firstLine="436"/>
        <w:jc w:val="both"/>
        <w:rPr>
          <w:rFonts w:ascii="微软雅黑" w:eastAsia="微软雅黑" w:hAnsi="微软雅黑" w:cs="微软雅黑" w:hint="eastAsia"/>
          <w:color w:val="auto"/>
          <w:spacing w:val="4"/>
          <w:sz w:val="22"/>
          <w:szCs w:val="22"/>
          <w:lang w:eastAsia="zh-CN"/>
        </w:rPr>
      </w:pPr>
      <w:r w:rsidRPr="00E96B67">
        <w:rPr>
          <w:rFonts w:ascii="微软雅黑" w:eastAsia="微软雅黑" w:hAnsi="微软雅黑" w:cs="微软雅黑" w:hint="eastAsia"/>
          <w:color w:val="auto"/>
          <w:spacing w:val="4"/>
          <w:sz w:val="22"/>
          <w:szCs w:val="22"/>
          <w:lang w:eastAsia="zh-CN"/>
        </w:rPr>
        <w:t>【</w:t>
      </w:r>
      <w:r w:rsidR="00E96B67" w:rsidRPr="00E96B67">
        <w:rPr>
          <w:rFonts w:ascii="微软雅黑" w:eastAsia="微软雅黑" w:hAnsi="微软雅黑" w:cs="微软雅黑"/>
          <w:color w:val="auto"/>
          <w:spacing w:val="4"/>
          <w:sz w:val="22"/>
          <w:szCs w:val="22"/>
          <w:lang w:eastAsia="zh-CN"/>
        </w:rPr>
        <w:t>美国4月标普全球制造业PMI初值为54，高于预期的52.5，创2022年5月以来新高。服务业PMI升至51.3，重返扩张区间。综合PMI初值录得52，创三个月新高。商品与服务价格涨幅创2022年7月以来最大。</w:t>
      </w:r>
      <w:r w:rsidRPr="00E96B67">
        <w:rPr>
          <w:rFonts w:ascii="微软雅黑" w:eastAsia="微软雅黑" w:hAnsi="微软雅黑" w:cs="微软雅黑" w:hint="eastAsia"/>
          <w:color w:val="auto"/>
          <w:spacing w:val="4"/>
          <w:sz w:val="22"/>
          <w:szCs w:val="22"/>
          <w:lang w:eastAsia="zh-CN"/>
        </w:rPr>
        <w:t>】</w:t>
      </w:r>
    </w:p>
    <w:p w14:paraId="09155B6A" w14:textId="07529988" w:rsidR="005754B9" w:rsidRPr="00E96B67" w:rsidRDefault="005754B9" w:rsidP="008A04B9">
      <w:pPr>
        <w:spacing w:before="102" w:line="257" w:lineRule="auto"/>
        <w:ind w:right="210" w:firstLine="436"/>
        <w:jc w:val="both"/>
        <w:rPr>
          <w:rFonts w:ascii="微软雅黑" w:eastAsia="微软雅黑" w:hAnsi="微软雅黑" w:cs="微软雅黑"/>
          <w:color w:val="auto"/>
          <w:spacing w:val="4"/>
          <w:sz w:val="22"/>
          <w:szCs w:val="22"/>
          <w:lang w:eastAsia="zh-CN"/>
        </w:rPr>
      </w:pPr>
      <w:r w:rsidRPr="00E96B67">
        <w:rPr>
          <w:rFonts w:ascii="微软雅黑" w:eastAsia="微软雅黑" w:hAnsi="微软雅黑" w:cs="微软雅黑" w:hint="eastAsia"/>
          <w:color w:val="auto"/>
          <w:spacing w:val="4"/>
          <w:sz w:val="22"/>
          <w:szCs w:val="22"/>
          <w:lang w:eastAsia="zh-CN"/>
        </w:rPr>
        <w:t>【</w:t>
      </w:r>
      <w:r w:rsidR="00E96B67" w:rsidRPr="00E96B67">
        <w:rPr>
          <w:rFonts w:ascii="微软雅黑" w:eastAsia="微软雅黑" w:hAnsi="微软雅黑" w:cs="微软雅黑"/>
          <w:color w:val="auto"/>
          <w:spacing w:val="4"/>
          <w:sz w:val="22"/>
          <w:szCs w:val="22"/>
          <w:lang w:eastAsia="zh-CN"/>
        </w:rPr>
        <w:t>美国上周初请失业金人数增加6000人，至21.4万人，略超市场预期，但仍处于近年历史健康水平。</w:t>
      </w:r>
      <w:r w:rsidRPr="00E96B67">
        <w:rPr>
          <w:rFonts w:ascii="微软雅黑" w:eastAsia="微软雅黑" w:hAnsi="微软雅黑" w:cs="微软雅黑" w:hint="eastAsia"/>
          <w:color w:val="auto"/>
          <w:spacing w:val="4"/>
          <w:sz w:val="22"/>
          <w:szCs w:val="22"/>
          <w:lang w:eastAsia="zh-CN"/>
        </w:rPr>
        <w:t>】</w:t>
      </w:r>
    </w:p>
    <w:p w14:paraId="1CA34916" w14:textId="7B41F566" w:rsidR="00E96B67" w:rsidRPr="003141E7" w:rsidRDefault="00E96B67"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Pr="00E96B67">
        <w:rPr>
          <w:rFonts w:ascii="微软雅黑" w:eastAsia="微软雅黑" w:hAnsi="微软雅黑" w:cs="微软雅黑"/>
          <w:color w:val="auto"/>
          <w:spacing w:val="4"/>
          <w:sz w:val="22"/>
          <w:szCs w:val="22"/>
          <w:lang w:eastAsia="zh-CN"/>
        </w:rPr>
        <w:t>欧元区4月制造业PMI初值升至52.2，高于市场预期的50.9。但服务业PMI初值由上个月的50.2大幅下滑至47.4，拖累综合PMI骤降至48.6，自2024年底以来首次跌破荣枯线。德国、法国制造业维持扩张态势，但服务业超预期萎缩。</w:t>
      </w:r>
      <w:r>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E96B67" w:rsidRPr="006318FC" w14:paraId="11459514" w14:textId="77777777" w:rsidTr="00047BEB">
        <w:trPr>
          <w:trHeight w:val="620"/>
        </w:trPr>
        <w:tc>
          <w:tcPr>
            <w:tcW w:w="1701" w:type="dxa"/>
            <w:shd w:val="clear" w:color="auto" w:fill="FFFFFF" w:themeFill="background1"/>
          </w:tcPr>
          <w:bookmarkEnd w:id="0"/>
          <w:p w14:paraId="336E77A1" w14:textId="60483F34" w:rsidR="00E96B67" w:rsidRPr="006318FC" w:rsidRDefault="00E96B67" w:rsidP="00E96B67">
            <w:pPr>
              <w:spacing w:before="230" w:line="191" w:lineRule="auto"/>
              <w:ind w:right="210"/>
              <w:jc w:val="center"/>
              <w:rPr>
                <w:rFonts w:ascii="微软雅黑" w:eastAsia="微软雅黑" w:hAnsi="微软雅黑" w:cs="微软雅黑" w:hint="eastAsia"/>
                <w:b/>
                <w:bCs/>
                <w:spacing w:val="3"/>
                <w:sz w:val="19"/>
                <w:szCs w:val="19"/>
                <w:lang w:eastAsia="zh-CN"/>
              </w:rPr>
            </w:pPr>
            <w:r w:rsidRPr="00E96B67">
              <w:rPr>
                <w:rFonts w:ascii="微软雅黑" w:eastAsia="微软雅黑" w:hAnsi="微软雅黑" w:cs="微软雅黑"/>
                <w:b/>
                <w:bCs/>
                <w:spacing w:val="3"/>
                <w:sz w:val="19"/>
                <w:szCs w:val="19"/>
                <w:lang w:eastAsia="zh-CN"/>
              </w:rPr>
              <w:t>2026/4/24</w:t>
            </w:r>
          </w:p>
        </w:tc>
        <w:tc>
          <w:tcPr>
            <w:tcW w:w="1314" w:type="dxa"/>
            <w:shd w:val="clear" w:color="auto" w:fill="FFFFFF" w:themeFill="background1"/>
          </w:tcPr>
          <w:p w14:paraId="2FF031BB" w14:textId="17FC85F6" w:rsidR="00E96B67" w:rsidRPr="0025412C" w:rsidRDefault="00E96B67" w:rsidP="00E96B67">
            <w:pPr>
              <w:spacing w:before="230" w:line="191" w:lineRule="auto"/>
              <w:ind w:right="210"/>
              <w:jc w:val="center"/>
              <w:rPr>
                <w:rFonts w:ascii="微软雅黑" w:eastAsia="微软雅黑" w:hAnsi="微软雅黑" w:cs="微软雅黑" w:hint="eastAsia"/>
                <w:b/>
                <w:bCs/>
                <w:spacing w:val="3"/>
                <w:sz w:val="19"/>
                <w:szCs w:val="19"/>
                <w:lang w:eastAsia="zh-CN"/>
              </w:rPr>
            </w:pPr>
            <w:r w:rsidRPr="00E96B67">
              <w:rPr>
                <w:rFonts w:ascii="微软雅黑" w:eastAsia="微软雅黑" w:hAnsi="微软雅黑" w:cs="微软雅黑"/>
                <w:b/>
                <w:bCs/>
                <w:spacing w:val="3"/>
                <w:sz w:val="19"/>
                <w:szCs w:val="19"/>
                <w:lang w:eastAsia="zh-CN"/>
              </w:rPr>
              <w:t>07:30</w:t>
            </w:r>
          </w:p>
        </w:tc>
        <w:tc>
          <w:tcPr>
            <w:tcW w:w="6344" w:type="dxa"/>
            <w:shd w:val="clear" w:color="auto" w:fill="FFFFFF" w:themeFill="background1"/>
          </w:tcPr>
          <w:p w14:paraId="2CB0AF66" w14:textId="37C15B27" w:rsidR="00E96B67" w:rsidRPr="00653A5D" w:rsidRDefault="00E96B67" w:rsidP="00E96B67">
            <w:pPr>
              <w:spacing w:before="230" w:line="191" w:lineRule="auto"/>
              <w:ind w:right="210"/>
              <w:jc w:val="center"/>
              <w:rPr>
                <w:rFonts w:ascii="微软雅黑" w:eastAsia="微软雅黑" w:hAnsi="微软雅黑" w:cs="微软雅黑" w:hint="eastAsia"/>
                <w:b/>
                <w:bCs/>
                <w:spacing w:val="3"/>
                <w:sz w:val="19"/>
                <w:szCs w:val="19"/>
                <w:lang w:eastAsia="zh-CN"/>
              </w:rPr>
            </w:pPr>
            <w:r w:rsidRPr="00E96B67">
              <w:rPr>
                <w:rFonts w:ascii="微软雅黑" w:eastAsia="微软雅黑" w:hAnsi="微软雅黑" w:cs="微软雅黑"/>
                <w:b/>
                <w:bCs/>
                <w:spacing w:val="3"/>
                <w:sz w:val="19"/>
                <w:szCs w:val="19"/>
                <w:lang w:eastAsia="zh-CN"/>
              </w:rPr>
              <w:t>日本 3 月 CPI</w:t>
            </w:r>
          </w:p>
        </w:tc>
      </w:tr>
      <w:tr w:rsidR="00E96B67" w:rsidRPr="006318FC" w14:paraId="522F07B0" w14:textId="77777777" w:rsidTr="00047BEB">
        <w:trPr>
          <w:trHeight w:val="652"/>
        </w:trPr>
        <w:tc>
          <w:tcPr>
            <w:tcW w:w="1701" w:type="dxa"/>
            <w:shd w:val="clear" w:color="auto" w:fill="DAE3F4" w:themeFill="accent1" w:themeFillTint="33"/>
          </w:tcPr>
          <w:p w14:paraId="1E4C90FE" w14:textId="75DD58D5" w:rsidR="00E96B67" w:rsidRPr="006318FC" w:rsidRDefault="00E96B67" w:rsidP="00E96B67">
            <w:pPr>
              <w:spacing w:before="230" w:line="191" w:lineRule="auto"/>
              <w:ind w:right="210"/>
              <w:jc w:val="center"/>
              <w:rPr>
                <w:rFonts w:ascii="微软雅黑" w:eastAsia="微软雅黑" w:hAnsi="微软雅黑" w:cs="微软雅黑" w:hint="eastAsia"/>
                <w:b/>
                <w:bCs/>
                <w:spacing w:val="3"/>
                <w:sz w:val="19"/>
                <w:szCs w:val="19"/>
                <w:lang w:eastAsia="zh-CN"/>
              </w:rPr>
            </w:pPr>
            <w:r w:rsidRPr="00E96B67">
              <w:rPr>
                <w:rFonts w:ascii="微软雅黑" w:eastAsia="微软雅黑" w:hAnsi="微软雅黑" w:cs="微软雅黑"/>
                <w:b/>
                <w:bCs/>
                <w:spacing w:val="3"/>
                <w:sz w:val="19"/>
                <w:szCs w:val="19"/>
                <w:lang w:eastAsia="zh-CN"/>
              </w:rPr>
              <w:t>2026/4/24</w:t>
            </w:r>
          </w:p>
        </w:tc>
        <w:tc>
          <w:tcPr>
            <w:tcW w:w="1314" w:type="dxa"/>
            <w:shd w:val="clear" w:color="auto" w:fill="DAE3F4" w:themeFill="accent1" w:themeFillTint="33"/>
          </w:tcPr>
          <w:p w14:paraId="7A631CAA" w14:textId="7E3DD9E9" w:rsidR="00E96B67" w:rsidRPr="0025412C" w:rsidRDefault="00E96B67" w:rsidP="00E96B67">
            <w:pPr>
              <w:spacing w:before="230" w:line="191" w:lineRule="auto"/>
              <w:ind w:right="210"/>
              <w:jc w:val="center"/>
              <w:rPr>
                <w:rFonts w:ascii="微软雅黑" w:eastAsia="微软雅黑" w:hAnsi="微软雅黑" w:cs="微软雅黑" w:hint="eastAsia"/>
                <w:b/>
                <w:bCs/>
                <w:spacing w:val="3"/>
                <w:sz w:val="19"/>
                <w:szCs w:val="19"/>
                <w:lang w:eastAsia="zh-CN"/>
              </w:rPr>
            </w:pPr>
            <w:r w:rsidRPr="00E96B67">
              <w:rPr>
                <w:rFonts w:ascii="微软雅黑" w:eastAsia="微软雅黑" w:hAnsi="微软雅黑" w:cs="微软雅黑"/>
                <w:b/>
                <w:bCs/>
                <w:spacing w:val="3"/>
                <w:sz w:val="19"/>
                <w:szCs w:val="19"/>
                <w:lang w:eastAsia="zh-CN"/>
              </w:rPr>
              <w:t>14:00</w:t>
            </w:r>
          </w:p>
        </w:tc>
        <w:tc>
          <w:tcPr>
            <w:tcW w:w="6344" w:type="dxa"/>
            <w:shd w:val="clear" w:color="auto" w:fill="DAE3F4" w:themeFill="accent1" w:themeFillTint="33"/>
          </w:tcPr>
          <w:p w14:paraId="474F8F08" w14:textId="611486D8" w:rsidR="00E96B67" w:rsidRPr="00E15A36" w:rsidRDefault="00E96B67" w:rsidP="00E96B67">
            <w:pPr>
              <w:spacing w:before="230" w:line="191" w:lineRule="auto"/>
              <w:ind w:right="210"/>
              <w:jc w:val="center"/>
              <w:rPr>
                <w:rFonts w:ascii="微软雅黑" w:eastAsia="微软雅黑" w:hAnsi="微软雅黑" w:cs="微软雅黑" w:hint="eastAsia"/>
                <w:b/>
                <w:bCs/>
                <w:spacing w:val="3"/>
                <w:sz w:val="19"/>
                <w:szCs w:val="19"/>
                <w:lang w:eastAsia="zh-CN"/>
              </w:rPr>
            </w:pPr>
            <w:r w:rsidRPr="00E96B67">
              <w:rPr>
                <w:rFonts w:ascii="微软雅黑" w:eastAsia="微软雅黑" w:hAnsi="微软雅黑" w:cs="微软雅黑"/>
                <w:b/>
                <w:bCs/>
                <w:spacing w:val="3"/>
                <w:sz w:val="19"/>
                <w:szCs w:val="19"/>
                <w:lang w:eastAsia="zh-CN"/>
              </w:rPr>
              <w:t>英国 3 月季调后零售销售</w:t>
            </w:r>
          </w:p>
        </w:tc>
      </w:tr>
      <w:tr w:rsidR="00E96B67" w:rsidRPr="006318FC" w14:paraId="21593F18" w14:textId="77777777" w:rsidTr="00047BEB">
        <w:trPr>
          <w:trHeight w:val="652"/>
        </w:trPr>
        <w:tc>
          <w:tcPr>
            <w:tcW w:w="1701" w:type="dxa"/>
            <w:shd w:val="clear" w:color="auto" w:fill="FFFFFF" w:themeFill="background1"/>
          </w:tcPr>
          <w:p w14:paraId="202433A8" w14:textId="3E052BBF" w:rsidR="00E96B67" w:rsidRPr="006318FC" w:rsidRDefault="00E96B67" w:rsidP="00E96B67">
            <w:pPr>
              <w:spacing w:before="230" w:line="191" w:lineRule="auto"/>
              <w:ind w:right="210"/>
              <w:jc w:val="center"/>
              <w:rPr>
                <w:rFonts w:ascii="微软雅黑" w:eastAsia="微软雅黑" w:hAnsi="微软雅黑" w:cs="微软雅黑" w:hint="eastAsia"/>
                <w:b/>
                <w:bCs/>
                <w:spacing w:val="3"/>
                <w:sz w:val="19"/>
                <w:szCs w:val="19"/>
                <w:lang w:eastAsia="zh-CN"/>
              </w:rPr>
            </w:pPr>
            <w:r w:rsidRPr="00E96B67">
              <w:rPr>
                <w:rFonts w:ascii="微软雅黑" w:eastAsia="微软雅黑" w:hAnsi="微软雅黑" w:cs="微软雅黑"/>
                <w:b/>
                <w:bCs/>
                <w:spacing w:val="3"/>
                <w:sz w:val="19"/>
                <w:szCs w:val="19"/>
                <w:lang w:eastAsia="zh-CN"/>
              </w:rPr>
              <w:t>2026/4/24</w:t>
            </w:r>
          </w:p>
        </w:tc>
        <w:tc>
          <w:tcPr>
            <w:tcW w:w="1314" w:type="dxa"/>
            <w:shd w:val="clear" w:color="auto" w:fill="FFFFFF" w:themeFill="background1"/>
          </w:tcPr>
          <w:p w14:paraId="27DE772B" w14:textId="5B991137" w:rsidR="00E96B67" w:rsidRPr="006318FC" w:rsidRDefault="00E96B67" w:rsidP="00E96B67">
            <w:pPr>
              <w:spacing w:before="230" w:line="191" w:lineRule="auto"/>
              <w:ind w:right="210"/>
              <w:jc w:val="center"/>
              <w:rPr>
                <w:rFonts w:ascii="微软雅黑" w:eastAsia="微软雅黑" w:hAnsi="微软雅黑" w:cs="微软雅黑" w:hint="eastAsia"/>
                <w:b/>
                <w:bCs/>
                <w:spacing w:val="3"/>
                <w:sz w:val="19"/>
                <w:szCs w:val="19"/>
                <w:lang w:eastAsia="zh-CN"/>
              </w:rPr>
            </w:pPr>
            <w:r w:rsidRPr="00E96B67">
              <w:rPr>
                <w:rFonts w:ascii="微软雅黑" w:eastAsia="微软雅黑" w:hAnsi="微软雅黑" w:cs="微软雅黑"/>
                <w:b/>
                <w:bCs/>
                <w:spacing w:val="3"/>
                <w:sz w:val="19"/>
                <w:szCs w:val="19"/>
                <w:lang w:eastAsia="zh-CN"/>
              </w:rPr>
              <w:t>22:00</w:t>
            </w:r>
          </w:p>
        </w:tc>
        <w:tc>
          <w:tcPr>
            <w:tcW w:w="6344" w:type="dxa"/>
            <w:shd w:val="clear" w:color="auto" w:fill="FFFFFF" w:themeFill="background1"/>
          </w:tcPr>
          <w:p w14:paraId="1C8E7CDF" w14:textId="354832AD" w:rsidR="00E96B67" w:rsidRPr="00653A5D" w:rsidRDefault="00E96B67" w:rsidP="00E96B67">
            <w:pPr>
              <w:spacing w:before="230" w:line="191" w:lineRule="auto"/>
              <w:ind w:right="210"/>
              <w:jc w:val="center"/>
              <w:rPr>
                <w:rFonts w:ascii="微软雅黑" w:eastAsia="微软雅黑" w:hAnsi="微软雅黑" w:cs="微软雅黑" w:hint="eastAsia"/>
                <w:b/>
                <w:bCs/>
                <w:spacing w:val="3"/>
                <w:sz w:val="19"/>
                <w:szCs w:val="19"/>
                <w:lang w:eastAsia="zh-CN"/>
              </w:rPr>
            </w:pPr>
            <w:r w:rsidRPr="00E96B67">
              <w:rPr>
                <w:rFonts w:ascii="微软雅黑" w:eastAsia="微软雅黑" w:hAnsi="微软雅黑" w:cs="微软雅黑"/>
                <w:b/>
                <w:bCs/>
                <w:spacing w:val="3"/>
                <w:sz w:val="19"/>
                <w:szCs w:val="19"/>
                <w:lang w:eastAsia="zh-CN"/>
              </w:rPr>
              <w:t>美国4月密歇根大学消费者信心指数</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lastRenderedPageBreak/>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373366CB" w14:textId="77777777" w:rsidR="00506C79" w:rsidRPr="00506C79" w:rsidRDefault="00506C79" w:rsidP="00506C79">
      <w:pPr>
        <w:spacing w:before="103" w:line="256" w:lineRule="auto"/>
        <w:ind w:right="210" w:firstLineChars="200" w:firstLine="448"/>
        <w:rPr>
          <w:rFonts w:ascii="微软雅黑" w:eastAsia="微软雅黑" w:hAnsi="微软雅黑" w:cs="微软雅黑"/>
          <w:spacing w:val="7"/>
          <w:lang w:eastAsia="zh-CN"/>
        </w:rPr>
      </w:pPr>
      <w:r w:rsidRPr="00506C79">
        <w:rPr>
          <w:rFonts w:ascii="微软雅黑" w:eastAsia="微软雅黑" w:hAnsi="微软雅黑" w:cs="微软雅黑" w:hint="eastAsia"/>
          <w:spacing w:val="7"/>
          <w:lang w:eastAsia="zh-CN"/>
        </w:rPr>
        <w:t>隔夜，美元指数涨</w:t>
      </w:r>
      <w:r w:rsidRPr="00506C79">
        <w:rPr>
          <w:rFonts w:ascii="微软雅黑" w:eastAsia="微软雅黑" w:hAnsi="微软雅黑" w:cs="微软雅黑"/>
          <w:spacing w:val="7"/>
          <w:lang w:eastAsia="zh-CN"/>
        </w:rPr>
        <w:t>0.23%</w:t>
      </w:r>
      <w:r w:rsidRPr="00506C79">
        <w:rPr>
          <w:rFonts w:ascii="微软雅黑" w:eastAsia="微软雅黑" w:hAnsi="微软雅黑" w:cs="微软雅黑" w:hint="eastAsia"/>
          <w:spacing w:val="7"/>
          <w:lang w:eastAsia="zh-CN"/>
        </w:rPr>
        <w:t>报</w:t>
      </w:r>
      <w:r w:rsidRPr="00506C79">
        <w:rPr>
          <w:rFonts w:ascii="微软雅黑" w:eastAsia="微软雅黑" w:hAnsi="微软雅黑" w:cs="微软雅黑"/>
          <w:spacing w:val="7"/>
          <w:lang w:eastAsia="zh-CN"/>
        </w:rPr>
        <w:t>98.83</w:t>
      </w:r>
      <w:r w:rsidRPr="00506C79">
        <w:rPr>
          <w:rFonts w:ascii="微软雅黑" w:eastAsia="微软雅黑" w:hAnsi="微软雅黑" w:cs="微软雅黑" w:hint="eastAsia"/>
          <w:spacing w:val="7"/>
          <w:lang w:eastAsia="zh-CN"/>
        </w:rPr>
        <w:t>，非美货币涨跌互现，欧元兑美元跌</w:t>
      </w:r>
      <w:r w:rsidRPr="00506C79">
        <w:rPr>
          <w:rFonts w:ascii="微软雅黑" w:eastAsia="微软雅黑" w:hAnsi="微软雅黑" w:cs="微软雅黑"/>
          <w:spacing w:val="7"/>
          <w:lang w:eastAsia="zh-CN"/>
        </w:rPr>
        <w:t>0.21%</w:t>
      </w:r>
      <w:r w:rsidRPr="00506C79">
        <w:rPr>
          <w:rFonts w:ascii="微软雅黑" w:eastAsia="微软雅黑" w:hAnsi="微软雅黑" w:cs="微软雅黑" w:hint="eastAsia"/>
          <w:spacing w:val="7"/>
          <w:lang w:eastAsia="zh-CN"/>
        </w:rPr>
        <w:t>报</w:t>
      </w:r>
      <w:r w:rsidRPr="00506C79">
        <w:rPr>
          <w:rFonts w:ascii="微软雅黑" w:eastAsia="微软雅黑" w:hAnsi="微软雅黑" w:cs="微软雅黑"/>
          <w:spacing w:val="7"/>
          <w:lang w:eastAsia="zh-CN"/>
        </w:rPr>
        <w:t>1.1683</w:t>
      </w:r>
      <w:r w:rsidRPr="00506C79">
        <w:rPr>
          <w:rFonts w:ascii="微软雅黑" w:eastAsia="微软雅黑" w:hAnsi="微软雅黑" w:cs="微软雅黑" w:hint="eastAsia"/>
          <w:spacing w:val="7"/>
          <w:lang w:eastAsia="zh-CN"/>
        </w:rPr>
        <w:t>，英镑兑美元跌</w:t>
      </w:r>
      <w:r w:rsidRPr="00506C79">
        <w:rPr>
          <w:rFonts w:ascii="微软雅黑" w:eastAsia="微软雅黑" w:hAnsi="微软雅黑" w:cs="微软雅黑"/>
          <w:spacing w:val="7"/>
          <w:lang w:eastAsia="zh-CN"/>
        </w:rPr>
        <w:t>0.27%</w:t>
      </w:r>
      <w:r w:rsidRPr="00506C79">
        <w:rPr>
          <w:rFonts w:ascii="微软雅黑" w:eastAsia="微软雅黑" w:hAnsi="微软雅黑" w:cs="微软雅黑" w:hint="eastAsia"/>
          <w:spacing w:val="7"/>
          <w:lang w:eastAsia="zh-CN"/>
        </w:rPr>
        <w:t>报</w:t>
      </w:r>
      <w:r w:rsidRPr="00506C79">
        <w:rPr>
          <w:rFonts w:ascii="微软雅黑" w:eastAsia="微软雅黑" w:hAnsi="微软雅黑" w:cs="微软雅黑"/>
          <w:spacing w:val="7"/>
          <w:lang w:eastAsia="zh-CN"/>
        </w:rPr>
        <w:t>1.3467</w:t>
      </w:r>
      <w:r w:rsidRPr="00506C79">
        <w:rPr>
          <w:rFonts w:ascii="微软雅黑" w:eastAsia="微软雅黑" w:hAnsi="微软雅黑" w:cs="微软雅黑" w:hint="eastAsia"/>
          <w:spacing w:val="7"/>
          <w:lang w:eastAsia="zh-CN"/>
        </w:rPr>
        <w:t>，美元兑日元涨</w:t>
      </w:r>
      <w:r w:rsidRPr="00506C79">
        <w:rPr>
          <w:rFonts w:ascii="微软雅黑" w:eastAsia="微软雅黑" w:hAnsi="微软雅黑" w:cs="微软雅黑"/>
          <w:spacing w:val="7"/>
          <w:lang w:eastAsia="zh-CN"/>
        </w:rPr>
        <w:t>0.17%</w:t>
      </w:r>
      <w:r w:rsidRPr="00506C79">
        <w:rPr>
          <w:rFonts w:ascii="微软雅黑" w:eastAsia="微软雅黑" w:hAnsi="微软雅黑" w:cs="微软雅黑" w:hint="eastAsia"/>
          <w:spacing w:val="7"/>
          <w:lang w:eastAsia="zh-CN"/>
        </w:rPr>
        <w:t>报</w:t>
      </w:r>
      <w:r w:rsidRPr="00506C79">
        <w:rPr>
          <w:rFonts w:ascii="微软雅黑" w:eastAsia="微软雅黑" w:hAnsi="微软雅黑" w:cs="微软雅黑"/>
          <w:spacing w:val="7"/>
          <w:lang w:eastAsia="zh-CN"/>
        </w:rPr>
        <w:t>159.7465</w:t>
      </w:r>
      <w:r w:rsidRPr="00506C79">
        <w:rPr>
          <w:rFonts w:ascii="微软雅黑" w:eastAsia="微软雅黑" w:hAnsi="微软雅黑" w:cs="微软雅黑" w:hint="eastAsia"/>
          <w:spacing w:val="7"/>
          <w:lang w:eastAsia="zh-CN"/>
        </w:rPr>
        <w:t>。</w:t>
      </w:r>
    </w:p>
    <w:p w14:paraId="49FB58C1" w14:textId="77777777" w:rsidR="00506C79" w:rsidRPr="00506C79" w:rsidRDefault="00506C79" w:rsidP="00506C79">
      <w:pPr>
        <w:spacing w:before="103" w:line="256" w:lineRule="auto"/>
        <w:ind w:right="210" w:firstLineChars="200" w:firstLine="448"/>
        <w:rPr>
          <w:rFonts w:ascii="微软雅黑" w:eastAsia="微软雅黑" w:hAnsi="微软雅黑" w:cs="微软雅黑"/>
          <w:spacing w:val="7"/>
          <w:lang w:eastAsia="zh-CN"/>
        </w:rPr>
      </w:pPr>
      <w:r w:rsidRPr="00506C79">
        <w:rPr>
          <w:rFonts w:ascii="微软雅黑" w:eastAsia="微软雅黑" w:hAnsi="微软雅黑" w:cs="微软雅黑" w:hint="eastAsia"/>
          <w:spacing w:val="7"/>
          <w:lang w:eastAsia="zh-CN"/>
        </w:rPr>
        <w:t>宏观数据方面，美国</w:t>
      </w:r>
      <w:r w:rsidRPr="00506C79">
        <w:rPr>
          <w:rFonts w:ascii="微软雅黑" w:eastAsia="微软雅黑" w:hAnsi="微软雅黑" w:cs="微软雅黑"/>
          <w:spacing w:val="7"/>
          <w:lang w:eastAsia="zh-CN"/>
        </w:rPr>
        <w:t>4</w:t>
      </w:r>
      <w:r w:rsidRPr="00506C79">
        <w:rPr>
          <w:rFonts w:ascii="微软雅黑" w:eastAsia="微软雅黑" w:hAnsi="微软雅黑" w:cs="微软雅黑" w:hint="eastAsia"/>
          <w:spacing w:val="7"/>
          <w:lang w:eastAsia="zh-CN"/>
        </w:rPr>
        <w:t>月</w:t>
      </w:r>
      <w:proofErr w:type="gramStart"/>
      <w:r w:rsidRPr="00506C79">
        <w:rPr>
          <w:rFonts w:ascii="微软雅黑" w:eastAsia="微软雅黑" w:hAnsi="微软雅黑" w:cs="微软雅黑" w:hint="eastAsia"/>
          <w:spacing w:val="7"/>
          <w:lang w:eastAsia="zh-CN"/>
        </w:rPr>
        <w:t>标普全球</w:t>
      </w:r>
      <w:proofErr w:type="gramEnd"/>
      <w:r w:rsidRPr="00506C79">
        <w:rPr>
          <w:rFonts w:ascii="微软雅黑" w:eastAsia="微软雅黑" w:hAnsi="微软雅黑" w:cs="微软雅黑" w:hint="eastAsia"/>
          <w:spacing w:val="7"/>
          <w:lang w:eastAsia="zh-CN"/>
        </w:rPr>
        <w:t>制造业</w:t>
      </w:r>
      <w:r w:rsidRPr="00506C79">
        <w:rPr>
          <w:rFonts w:ascii="微软雅黑" w:eastAsia="微软雅黑" w:hAnsi="微软雅黑" w:cs="微软雅黑"/>
          <w:spacing w:val="7"/>
          <w:lang w:eastAsia="zh-CN"/>
        </w:rPr>
        <w:t>PMI</w:t>
      </w:r>
      <w:r w:rsidRPr="00506C79">
        <w:rPr>
          <w:rFonts w:ascii="微软雅黑" w:eastAsia="微软雅黑" w:hAnsi="微软雅黑" w:cs="微软雅黑" w:hint="eastAsia"/>
          <w:spacing w:val="7"/>
          <w:lang w:eastAsia="zh-CN"/>
        </w:rPr>
        <w:t>初值高于市场预期，服务业</w:t>
      </w:r>
      <w:r w:rsidRPr="00506C79">
        <w:rPr>
          <w:rFonts w:ascii="微软雅黑" w:eastAsia="微软雅黑" w:hAnsi="微软雅黑" w:cs="微软雅黑"/>
          <w:spacing w:val="7"/>
          <w:lang w:eastAsia="zh-CN"/>
        </w:rPr>
        <w:t>PMI</w:t>
      </w:r>
      <w:r w:rsidRPr="00506C79">
        <w:rPr>
          <w:rFonts w:ascii="微软雅黑" w:eastAsia="微软雅黑" w:hAnsi="微软雅黑" w:cs="微软雅黑" w:hint="eastAsia"/>
          <w:spacing w:val="7"/>
          <w:lang w:eastAsia="zh-CN"/>
        </w:rPr>
        <w:t>重返扩张区间，受原油价格大幅走高影响，商品与服务价格涨幅创</w:t>
      </w:r>
      <w:r w:rsidRPr="00506C79">
        <w:rPr>
          <w:rFonts w:ascii="微软雅黑" w:eastAsia="微软雅黑" w:hAnsi="微软雅黑" w:cs="微软雅黑"/>
          <w:spacing w:val="7"/>
          <w:lang w:eastAsia="zh-CN"/>
        </w:rPr>
        <w:t>2022</w:t>
      </w:r>
      <w:r w:rsidRPr="00506C79">
        <w:rPr>
          <w:rFonts w:ascii="微软雅黑" w:eastAsia="微软雅黑" w:hAnsi="微软雅黑" w:cs="微软雅黑" w:hint="eastAsia"/>
          <w:spacing w:val="7"/>
          <w:lang w:eastAsia="zh-CN"/>
        </w:rPr>
        <w:t>年</w:t>
      </w:r>
      <w:r w:rsidRPr="00506C79">
        <w:rPr>
          <w:rFonts w:ascii="微软雅黑" w:eastAsia="微软雅黑" w:hAnsi="微软雅黑" w:cs="微软雅黑"/>
          <w:spacing w:val="7"/>
          <w:lang w:eastAsia="zh-CN"/>
        </w:rPr>
        <w:t>7</w:t>
      </w:r>
      <w:r w:rsidRPr="00506C79">
        <w:rPr>
          <w:rFonts w:ascii="微软雅黑" w:eastAsia="微软雅黑" w:hAnsi="微软雅黑" w:cs="微软雅黑" w:hint="eastAsia"/>
          <w:spacing w:val="7"/>
          <w:lang w:eastAsia="zh-CN"/>
        </w:rPr>
        <w:t>月以来最高水平。地缘方面，美方将暂缓对伊朗军事打击并表示重启与伊方的停火谈判，但伊方对此予以拒绝立场。巴基斯坦外交官表示，美国与伊朗谈判“陷入僵局”，进展“非常缓慢”，后续双边谈判仍存在较多变数，避险资金短期料提供美元边际支撑。</w:t>
      </w:r>
      <w:proofErr w:type="gramStart"/>
      <w:r w:rsidRPr="00506C79">
        <w:rPr>
          <w:rFonts w:ascii="微软雅黑" w:eastAsia="微软雅黑" w:hAnsi="微软雅黑" w:cs="微软雅黑" w:hint="eastAsia"/>
          <w:spacing w:val="7"/>
          <w:lang w:eastAsia="zh-CN"/>
        </w:rPr>
        <w:t>此前公布</w:t>
      </w:r>
      <w:proofErr w:type="gramEnd"/>
      <w:r w:rsidRPr="00506C79">
        <w:rPr>
          <w:rFonts w:ascii="微软雅黑" w:eastAsia="微软雅黑" w:hAnsi="微软雅黑" w:cs="微软雅黑" w:hint="eastAsia"/>
          <w:spacing w:val="7"/>
          <w:lang w:eastAsia="zh-CN"/>
        </w:rPr>
        <w:t>的美国</w:t>
      </w:r>
      <w:r w:rsidRPr="00506C79">
        <w:rPr>
          <w:rFonts w:ascii="微软雅黑" w:eastAsia="微软雅黑" w:hAnsi="微软雅黑" w:cs="微软雅黑"/>
          <w:spacing w:val="7"/>
          <w:lang w:eastAsia="zh-CN"/>
        </w:rPr>
        <w:t>3</w:t>
      </w:r>
      <w:r w:rsidRPr="00506C79">
        <w:rPr>
          <w:rFonts w:ascii="微软雅黑" w:eastAsia="微软雅黑" w:hAnsi="微软雅黑" w:cs="微软雅黑" w:hint="eastAsia"/>
          <w:spacing w:val="7"/>
          <w:lang w:eastAsia="zh-CN"/>
        </w:rPr>
        <w:t>月零售销售环比</w:t>
      </w:r>
      <w:proofErr w:type="gramStart"/>
      <w:r w:rsidRPr="00506C79">
        <w:rPr>
          <w:rFonts w:ascii="微软雅黑" w:eastAsia="微软雅黑" w:hAnsi="微软雅黑" w:cs="微软雅黑" w:hint="eastAsia"/>
          <w:spacing w:val="7"/>
          <w:lang w:eastAsia="zh-CN"/>
        </w:rPr>
        <w:t>增长创逾一年</w:t>
      </w:r>
      <w:proofErr w:type="gramEnd"/>
      <w:r w:rsidRPr="00506C79">
        <w:rPr>
          <w:rFonts w:ascii="微软雅黑" w:eastAsia="微软雅黑" w:hAnsi="微软雅黑" w:cs="微软雅黑" w:hint="eastAsia"/>
          <w:spacing w:val="7"/>
          <w:lang w:eastAsia="zh-CN"/>
        </w:rPr>
        <w:t>最大涨幅，主因伊朗战争推升燃油价格至</w:t>
      </w:r>
      <w:r w:rsidRPr="00506C79">
        <w:rPr>
          <w:rFonts w:ascii="微软雅黑" w:eastAsia="微软雅黑" w:hAnsi="微软雅黑" w:cs="微软雅黑"/>
          <w:spacing w:val="7"/>
          <w:lang w:eastAsia="zh-CN"/>
        </w:rPr>
        <w:t>2022</w:t>
      </w:r>
      <w:r w:rsidRPr="00506C79">
        <w:rPr>
          <w:rFonts w:ascii="微软雅黑" w:eastAsia="微软雅黑" w:hAnsi="微软雅黑" w:cs="微软雅黑" w:hint="eastAsia"/>
          <w:spacing w:val="7"/>
          <w:lang w:eastAsia="zh-CN"/>
        </w:rPr>
        <w:t>年以来高点，带动加油站消费当月大幅抬升。整体来看，当前美元运行逻辑或仍处于“通胀与就业数据韧性”与“地缘局势趋缓及美元信用弱化叙事”的拉锯之中，短期或延续震荡走势。</w:t>
      </w:r>
    </w:p>
    <w:p w14:paraId="502379A4" w14:textId="4A88CA3D" w:rsidR="002760F0" w:rsidRPr="002760F0" w:rsidRDefault="00506C79" w:rsidP="00506C79">
      <w:pPr>
        <w:spacing w:before="103" w:line="256" w:lineRule="auto"/>
        <w:ind w:right="210" w:firstLineChars="200" w:firstLine="448"/>
        <w:rPr>
          <w:rFonts w:ascii="微软雅黑" w:eastAsia="微软雅黑" w:hAnsi="微软雅黑" w:cs="微软雅黑" w:hint="eastAsia"/>
          <w:spacing w:val="7"/>
          <w:lang w:eastAsia="zh-CN"/>
        </w:rPr>
      </w:pPr>
      <w:r w:rsidRPr="00506C79">
        <w:rPr>
          <w:rFonts w:ascii="微软雅黑" w:eastAsia="微软雅黑" w:hAnsi="微软雅黑" w:cs="微软雅黑" w:hint="eastAsia"/>
          <w:spacing w:val="7"/>
          <w:lang w:eastAsia="zh-CN"/>
        </w:rPr>
        <w:t>非美方面，欧元区</w:t>
      </w:r>
      <w:r w:rsidRPr="00506C79">
        <w:rPr>
          <w:rFonts w:ascii="微软雅黑" w:eastAsia="微软雅黑" w:hAnsi="微软雅黑" w:cs="微软雅黑"/>
          <w:spacing w:val="7"/>
          <w:lang w:eastAsia="zh-CN"/>
        </w:rPr>
        <w:t>4</w:t>
      </w:r>
      <w:r w:rsidRPr="00506C79">
        <w:rPr>
          <w:rFonts w:ascii="微软雅黑" w:eastAsia="微软雅黑" w:hAnsi="微软雅黑" w:cs="微软雅黑" w:hint="eastAsia"/>
          <w:spacing w:val="7"/>
          <w:lang w:eastAsia="zh-CN"/>
        </w:rPr>
        <w:t>月制造业</w:t>
      </w:r>
      <w:r w:rsidRPr="00506C79">
        <w:rPr>
          <w:rFonts w:ascii="微软雅黑" w:eastAsia="微软雅黑" w:hAnsi="微软雅黑" w:cs="微软雅黑"/>
          <w:spacing w:val="7"/>
          <w:lang w:eastAsia="zh-CN"/>
        </w:rPr>
        <w:t>PMI</w:t>
      </w:r>
      <w:r w:rsidRPr="00506C79">
        <w:rPr>
          <w:rFonts w:ascii="微软雅黑" w:eastAsia="微软雅黑" w:hAnsi="微软雅黑" w:cs="微软雅黑" w:hint="eastAsia"/>
          <w:spacing w:val="7"/>
          <w:lang w:eastAsia="zh-CN"/>
        </w:rPr>
        <w:t>延续较强韧性，但服务业分项大幅走弱，拖累综合</w:t>
      </w:r>
      <w:r w:rsidRPr="00506C79">
        <w:rPr>
          <w:rFonts w:ascii="微软雅黑" w:eastAsia="微软雅黑" w:hAnsi="微软雅黑" w:cs="微软雅黑"/>
          <w:spacing w:val="7"/>
          <w:lang w:eastAsia="zh-CN"/>
        </w:rPr>
        <w:t>PMI</w:t>
      </w:r>
      <w:r w:rsidRPr="00506C79">
        <w:rPr>
          <w:rFonts w:ascii="微软雅黑" w:eastAsia="微软雅黑" w:hAnsi="微软雅黑" w:cs="微软雅黑" w:hint="eastAsia"/>
          <w:spacing w:val="7"/>
          <w:lang w:eastAsia="zh-CN"/>
        </w:rPr>
        <w:t>至</w:t>
      </w:r>
      <w:r w:rsidRPr="00506C79">
        <w:rPr>
          <w:rFonts w:ascii="微软雅黑" w:eastAsia="微软雅黑" w:hAnsi="微软雅黑" w:cs="微软雅黑"/>
          <w:spacing w:val="7"/>
          <w:lang w:eastAsia="zh-CN"/>
        </w:rPr>
        <w:t>48.6</w:t>
      </w:r>
      <w:r w:rsidRPr="00506C79">
        <w:rPr>
          <w:rFonts w:ascii="微软雅黑" w:eastAsia="微软雅黑" w:hAnsi="微软雅黑" w:cs="微软雅黑" w:hint="eastAsia"/>
          <w:spacing w:val="7"/>
          <w:lang w:eastAsia="zh-CN"/>
        </w:rPr>
        <w:t>，为</w:t>
      </w:r>
      <w:r w:rsidRPr="00506C79">
        <w:rPr>
          <w:rFonts w:ascii="微软雅黑" w:eastAsia="微软雅黑" w:hAnsi="微软雅黑" w:cs="微软雅黑"/>
          <w:spacing w:val="7"/>
          <w:lang w:eastAsia="zh-CN"/>
        </w:rPr>
        <w:t>2024</w:t>
      </w:r>
      <w:r w:rsidRPr="00506C79">
        <w:rPr>
          <w:rFonts w:ascii="微软雅黑" w:eastAsia="微软雅黑" w:hAnsi="微软雅黑" w:cs="微软雅黑" w:hint="eastAsia"/>
          <w:spacing w:val="7"/>
          <w:lang w:eastAsia="zh-CN"/>
        </w:rPr>
        <w:t>年底以来首破荣枯线。德法制造业保持扩张，服务业则超预期萎缩。油价高位回落推动欧央行年内紧缩预期边际收敛，市场当前定价年内欧央行两次</w:t>
      </w:r>
      <w:r w:rsidRPr="00506C79">
        <w:rPr>
          <w:rFonts w:ascii="微软雅黑" w:eastAsia="微软雅黑" w:hAnsi="微软雅黑" w:cs="微软雅黑"/>
          <w:spacing w:val="7"/>
          <w:lang w:eastAsia="zh-CN"/>
        </w:rPr>
        <w:t>25bps</w:t>
      </w:r>
      <w:r w:rsidRPr="00506C79">
        <w:rPr>
          <w:rFonts w:ascii="微软雅黑" w:eastAsia="微软雅黑" w:hAnsi="微软雅黑" w:cs="微软雅黑" w:hint="eastAsia"/>
          <w:spacing w:val="7"/>
          <w:lang w:eastAsia="zh-CN"/>
        </w:rPr>
        <w:t>的降息预期，较前期有所缩减。日本通胀反弹担忧情绪持续，日央行官员亦多次传达加息意愿，年内加息或仍是政策主基调。短期来看，美元反弹压制非美主要货币表现，后续走势仍将取决于美伊战事的发展态势，以及各国央行利率政策基调所带动的利差预期变化</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EA768D3" w:rsidR="007A477E" w:rsidRDefault="00506C79" w:rsidP="002B2EDC">
      <w:pPr>
        <w:spacing w:before="120" w:line="190" w:lineRule="auto"/>
        <w:ind w:right="210" w:firstLineChars="200" w:firstLine="420"/>
        <w:jc w:val="center"/>
        <w:rPr>
          <w:rFonts w:ascii="微软雅黑" w:eastAsia="微软雅黑" w:hAnsi="微软雅黑" w:cs="微软雅黑" w:hint="eastAsia"/>
          <w:spacing w:val="7"/>
          <w:lang w:eastAsia="zh-CN"/>
        </w:rPr>
      </w:pPr>
      <w:r>
        <w:rPr>
          <w:noProof/>
          <w:snapToGrid/>
        </w:rPr>
        <w:drawing>
          <wp:inline distT="0" distB="0" distL="0" distR="0" wp14:anchorId="576D595E" wp14:editId="190A4883">
            <wp:extent cx="4533900" cy="2056765"/>
            <wp:effectExtent l="0" t="0" r="0" b="635"/>
            <wp:docPr id="1036224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24710" name="图片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205676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311F6364" w:rsidR="007B3E0B" w:rsidRDefault="00D416DC" w:rsidP="00B00DB4">
      <w:pPr>
        <w:spacing w:before="103" w:line="256" w:lineRule="auto"/>
        <w:ind w:right="210" w:firstLine="448"/>
        <w:rPr>
          <w:rFonts w:ascii="微软雅黑" w:eastAsia="微软雅黑" w:hAnsi="微软雅黑" w:cs="微软雅黑" w:hint="eastAsia"/>
          <w:spacing w:val="7"/>
          <w:lang w:eastAsia="zh-CN"/>
        </w:rPr>
      </w:pPr>
      <w:r w:rsidRPr="00D416DC">
        <w:rPr>
          <w:rFonts w:ascii="微软雅黑" w:eastAsia="微软雅黑" w:hAnsi="微软雅黑" w:cs="微软雅黑"/>
          <w:spacing w:val="7"/>
          <w:lang w:eastAsia="zh-CN"/>
        </w:rPr>
        <w:t>截至4月23日，</w:t>
      </w:r>
      <w:proofErr w:type="gramStart"/>
      <w:r w:rsidRPr="00D416DC">
        <w:rPr>
          <w:rFonts w:ascii="微软雅黑" w:eastAsia="微软雅黑" w:hAnsi="微软雅黑" w:cs="微软雅黑"/>
          <w:spacing w:val="7"/>
          <w:lang w:eastAsia="zh-CN"/>
        </w:rPr>
        <w:t>标普</w:t>
      </w:r>
      <w:proofErr w:type="gramEnd"/>
      <w:r w:rsidRPr="00D416DC">
        <w:rPr>
          <w:rFonts w:ascii="微软雅黑" w:eastAsia="微软雅黑" w:hAnsi="微软雅黑" w:cs="微软雅黑"/>
          <w:spacing w:val="7"/>
          <w:lang w:eastAsia="zh-CN"/>
        </w:rPr>
        <w:t>500指数下跌0.41%至7180.4点；</w:t>
      </w:r>
      <w:proofErr w:type="gramStart"/>
      <w:r w:rsidRPr="00D416DC">
        <w:rPr>
          <w:rFonts w:ascii="微软雅黑" w:eastAsia="微软雅黑" w:hAnsi="微软雅黑" w:cs="微软雅黑"/>
          <w:spacing w:val="7"/>
          <w:lang w:eastAsia="zh-CN"/>
        </w:rPr>
        <w:t>迷你标普</w:t>
      </w:r>
      <w:proofErr w:type="gramEnd"/>
      <w:r w:rsidRPr="00D416DC">
        <w:rPr>
          <w:rFonts w:ascii="微软雅黑" w:eastAsia="微软雅黑" w:hAnsi="微软雅黑" w:cs="微软雅黑"/>
          <w:spacing w:val="7"/>
          <w:lang w:eastAsia="zh-CN"/>
        </w:rPr>
        <w:t>500主力合约下跌0.45%至7132.5点。巴基斯坦外交官表示，美国与伊朗谈判“陷入僵局”，进展“非常缓慢”。美国仍然致力于维持对伊朗的海上封锁，伊朗认为美方封锁是伊朗参与谈判的障碍，与美国达成协议需要时间，在谈判问题上“不应操之过急”。以色列国防部长卡茨表示，以色列已做好重启与伊朗战争的准备，“只等美国的绿灯”。美国总统特朗普表示，在与伊朗谈判持续推进之际，不想仓促行事，不会对伊朗使用核武器。特朗普同时表示，以色列与黎巴嫩之间的停火协议将延长三周。此外，特朗普还表示，美国已完全</w:t>
      </w:r>
      <w:proofErr w:type="gramStart"/>
      <w:r w:rsidRPr="00D416DC">
        <w:rPr>
          <w:rFonts w:ascii="微软雅黑" w:eastAsia="微软雅黑" w:hAnsi="微软雅黑" w:cs="微软雅黑"/>
          <w:spacing w:val="7"/>
          <w:lang w:eastAsia="zh-CN"/>
        </w:rPr>
        <w:t>掌控了</w:t>
      </w:r>
      <w:r w:rsidRPr="00D416DC">
        <w:rPr>
          <w:rFonts w:ascii="微软雅黑" w:eastAsia="微软雅黑" w:hAnsi="微软雅黑" w:cs="微软雅黑"/>
          <w:spacing w:val="7"/>
          <w:lang w:eastAsia="zh-CN"/>
        </w:rPr>
        <w:lastRenderedPageBreak/>
        <w:t>霍</w:t>
      </w:r>
      <w:proofErr w:type="gramEnd"/>
      <w:r w:rsidRPr="00D416DC">
        <w:rPr>
          <w:rFonts w:ascii="微软雅黑" w:eastAsia="微软雅黑" w:hAnsi="微软雅黑" w:cs="微软雅黑"/>
          <w:spacing w:val="7"/>
          <w:lang w:eastAsia="zh-CN"/>
        </w:rPr>
        <w:t>尔木兹海峡。未经美国海军批准任何船只都无法进出该海峡，海峡已被“彻底封锁”，直至伊朗愿意达成协议为止。他已下令美国海军，对于任何在霍尔木兹海峡水域布设水雷的船只一律予以开火击沉。海峡仍处于封锁状态，油价仍居高不下，</w:t>
      </w:r>
      <w:proofErr w:type="gramStart"/>
      <w:r w:rsidRPr="00D416DC">
        <w:rPr>
          <w:rFonts w:ascii="微软雅黑" w:eastAsia="微软雅黑" w:hAnsi="微软雅黑" w:cs="微软雅黑"/>
          <w:spacing w:val="7"/>
          <w:lang w:eastAsia="zh-CN"/>
        </w:rPr>
        <w:t>滞胀担忧</w:t>
      </w:r>
      <w:proofErr w:type="gramEnd"/>
      <w:r w:rsidRPr="00D416DC">
        <w:rPr>
          <w:rFonts w:ascii="微软雅黑" w:eastAsia="微软雅黑" w:hAnsi="微软雅黑" w:cs="微软雅黑"/>
          <w:spacing w:val="7"/>
          <w:lang w:eastAsia="zh-CN"/>
        </w:rPr>
        <w:t>依旧存在，对美股上方形成压力</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F2804B1" w:rsidR="007A477E" w:rsidRPr="00EE7376" w:rsidRDefault="00D416DC" w:rsidP="006B6996">
      <w:pPr>
        <w:spacing w:before="103" w:line="256" w:lineRule="auto"/>
        <w:ind w:right="210" w:firstLine="420"/>
        <w:jc w:val="center"/>
        <w:rPr>
          <w:rFonts w:ascii="微软雅黑" w:eastAsia="微软雅黑" w:hAnsi="微软雅黑" w:cs="微软雅黑" w:hint="eastAsia"/>
          <w:spacing w:val="7"/>
          <w:lang w:eastAsia="zh-CN"/>
        </w:rPr>
      </w:pPr>
      <w:r>
        <w:rPr>
          <w:noProof/>
          <w:snapToGrid/>
        </w:rPr>
        <w:drawing>
          <wp:inline distT="0" distB="0" distL="0" distR="0" wp14:anchorId="1D48DF3B" wp14:editId="1E19ADE7">
            <wp:extent cx="5274310" cy="1668145"/>
            <wp:effectExtent l="0" t="0" r="2540" b="8255"/>
            <wp:docPr id="3" name="图片 1" descr="C:\Users\Administrator\xwechat_files\wxid_vkxlzo0vqu7s22_6f5b\temp\InputTemp\583c8c68-8e0f-47b6-90b6-b321393dc8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xwechat_files\wxid_vkxlzo0vqu7s22_6f5b\temp\InputTemp\583c8c68-8e0f-47b6-90b6-b321393dc8dd.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8145"/>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0ECC3C55" w:rsidR="00A42B48" w:rsidRDefault="00D416DC" w:rsidP="000511AA">
      <w:pPr>
        <w:spacing w:before="103" w:line="256" w:lineRule="auto"/>
        <w:ind w:right="210" w:firstLine="448"/>
        <w:jc w:val="both"/>
        <w:rPr>
          <w:rFonts w:ascii="微软雅黑" w:eastAsia="微软雅黑" w:hAnsi="微软雅黑" w:cs="微软雅黑" w:hint="eastAsia"/>
          <w:spacing w:val="7"/>
          <w:lang w:eastAsia="zh-CN"/>
        </w:rPr>
      </w:pPr>
      <w:r w:rsidRPr="00D416DC">
        <w:rPr>
          <w:rFonts w:ascii="微软雅黑" w:eastAsia="微软雅黑" w:hAnsi="微软雅黑" w:cs="微软雅黑"/>
          <w:spacing w:val="7"/>
          <w:lang w:eastAsia="zh-CN"/>
        </w:rPr>
        <w:t>截至4月23日，富时中国A50指数下跌0.02%至15641.17；新交所富时A50期指主力合约上涨0.17%至15642。海外方面，美国总统特朗普表示，在与伊朗谈判持续推进之际，不想仓促行事，不会对伊朗使用核武器。此外，特朗普还表示，已下令美国海军，对于任何在霍尔木兹海峡水域布设水雷的船只一律予以开火击沉。海峡仍处于封锁状态，</w:t>
      </w:r>
      <w:proofErr w:type="gramStart"/>
      <w:r w:rsidRPr="00D416DC">
        <w:rPr>
          <w:rFonts w:ascii="微软雅黑" w:eastAsia="微软雅黑" w:hAnsi="微软雅黑" w:cs="微软雅黑"/>
          <w:spacing w:val="7"/>
          <w:lang w:eastAsia="zh-CN"/>
        </w:rPr>
        <w:t>滞胀担忧</w:t>
      </w:r>
      <w:proofErr w:type="gramEnd"/>
      <w:r w:rsidRPr="00D416DC">
        <w:rPr>
          <w:rFonts w:ascii="微软雅黑" w:eastAsia="微软雅黑" w:hAnsi="微软雅黑" w:cs="微软雅黑"/>
          <w:spacing w:val="7"/>
          <w:lang w:eastAsia="zh-CN"/>
        </w:rPr>
        <w:t>依旧存在。国内方面，经济基本面，2026年一季度，我国经济录得良好开局，从</w:t>
      </w:r>
      <w:proofErr w:type="gramStart"/>
      <w:r w:rsidRPr="00D416DC">
        <w:rPr>
          <w:rFonts w:ascii="微软雅黑" w:eastAsia="微软雅黑" w:hAnsi="微软雅黑" w:cs="微软雅黑"/>
          <w:spacing w:val="7"/>
          <w:lang w:eastAsia="zh-CN"/>
        </w:rPr>
        <w:t>规</w:t>
      </w:r>
      <w:proofErr w:type="gramEnd"/>
      <w:r w:rsidRPr="00D416DC">
        <w:rPr>
          <w:rFonts w:ascii="微软雅黑" w:eastAsia="微软雅黑" w:hAnsi="微软雅黑" w:cs="微软雅黑"/>
          <w:spacing w:val="7"/>
          <w:lang w:eastAsia="zh-CN"/>
        </w:rPr>
        <w:t>上工业增加值和制造业固定资产投资细分项看，新质生产力对工业生产和投资起到明显支撑。但</w:t>
      </w:r>
      <w:proofErr w:type="gramStart"/>
      <w:r w:rsidRPr="00D416DC">
        <w:rPr>
          <w:rFonts w:ascii="微软雅黑" w:eastAsia="微软雅黑" w:hAnsi="微软雅黑" w:cs="微软雅黑"/>
          <w:spacing w:val="7"/>
          <w:lang w:eastAsia="zh-CN"/>
        </w:rPr>
        <w:t>3月份社零增速</w:t>
      </w:r>
      <w:proofErr w:type="gramEnd"/>
      <w:r w:rsidRPr="00D416DC">
        <w:rPr>
          <w:rFonts w:ascii="微软雅黑" w:eastAsia="微软雅黑" w:hAnsi="微软雅黑" w:cs="微软雅黑"/>
          <w:spacing w:val="7"/>
          <w:lang w:eastAsia="zh-CN"/>
        </w:rPr>
        <w:t>明显回落，内需仍有待提升。金融数据上，在权益市场回调的背景下，3月份居民存款与M2剪刀差仍小幅下行，居民存款仍在不断流入股市。上市公司基本面，从已披露2025年年报的上市公司看，全体A</w:t>
      </w:r>
      <w:proofErr w:type="gramStart"/>
      <w:r w:rsidRPr="00D416DC">
        <w:rPr>
          <w:rFonts w:ascii="微软雅黑" w:eastAsia="微软雅黑" w:hAnsi="微软雅黑" w:cs="微软雅黑"/>
          <w:spacing w:val="7"/>
          <w:lang w:eastAsia="zh-CN"/>
        </w:rPr>
        <w:t>股营收</w:t>
      </w:r>
      <w:proofErr w:type="gramEnd"/>
      <w:r w:rsidRPr="00D416DC">
        <w:rPr>
          <w:rFonts w:ascii="微软雅黑" w:eastAsia="微软雅黑" w:hAnsi="微软雅黑" w:cs="微软雅黑"/>
          <w:spacing w:val="7"/>
          <w:lang w:eastAsia="zh-CN"/>
        </w:rPr>
        <w:t>增速加快，净利增速回落。整体来看，新质生产力对经济的支撑愈发明显，相关行业股价预计有较好表现，同时，居民存款入市仍在进行中，为股市带来增量资金。此外，目前</w:t>
      </w:r>
      <w:proofErr w:type="gramStart"/>
      <w:r w:rsidRPr="00D416DC">
        <w:rPr>
          <w:rFonts w:ascii="微软雅黑" w:eastAsia="微软雅黑" w:hAnsi="微软雅黑" w:cs="微软雅黑"/>
          <w:spacing w:val="7"/>
          <w:lang w:eastAsia="zh-CN"/>
        </w:rPr>
        <w:t>披露财报的</w:t>
      </w:r>
      <w:proofErr w:type="gramEnd"/>
      <w:r w:rsidRPr="00D416DC">
        <w:rPr>
          <w:rFonts w:ascii="微软雅黑" w:eastAsia="微软雅黑" w:hAnsi="微软雅黑" w:cs="微软雅黑"/>
          <w:spacing w:val="7"/>
          <w:lang w:eastAsia="zh-CN"/>
        </w:rPr>
        <w:t>上市公司表现仍较为良好。最后，地缘局势仍然对市场产生冲击，但在经过多次预期落空后投资者对于双方言论的反应已有所钝化</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1BB6A154" w:rsidR="00A10388" w:rsidRDefault="00D416DC" w:rsidP="00A10388">
      <w:pPr>
        <w:spacing w:before="120" w:line="190" w:lineRule="auto"/>
        <w:ind w:right="210" w:firstLine="420"/>
        <w:jc w:val="center"/>
        <w:rPr>
          <w:rFonts w:ascii="新宋体" w:eastAsia="新宋体" w:hAnsi="新宋体" w:hint="eastAsia"/>
          <w:lang w:eastAsia="zh-CN"/>
        </w:rPr>
      </w:pPr>
      <w:r>
        <w:rPr>
          <w:noProof/>
          <w:snapToGrid/>
        </w:rPr>
        <w:drawing>
          <wp:inline distT="0" distB="0" distL="0" distR="0" wp14:anchorId="4857DCA5" wp14:editId="3C121E1A">
            <wp:extent cx="5274310" cy="1663700"/>
            <wp:effectExtent l="0" t="0" r="2540" b="0"/>
            <wp:docPr id="1008093173" name="图片 1" descr="C:\Users\Administrator\xwechat_files\wxid_vkxlzo0vqu7s22_6f5b\temp\InputTemp\2b23f15a-6331-490c-84d3-adbba40baa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xwechat_files\wxid_vkxlzo0vqu7s22_6f5b\temp\InputTemp\2b23f15a-6331-490c-84d3-adbba40baafc.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3700"/>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60A43165" w:rsidR="00AC6ADE" w:rsidRDefault="00506C79" w:rsidP="00F51117">
      <w:pPr>
        <w:spacing w:before="103" w:line="256" w:lineRule="auto"/>
        <w:ind w:right="210" w:firstLine="468"/>
        <w:jc w:val="both"/>
        <w:rPr>
          <w:rFonts w:ascii="微软雅黑" w:eastAsia="微软雅黑" w:hAnsi="微软雅黑" w:cs="微软雅黑" w:hint="eastAsia"/>
          <w:spacing w:val="12"/>
          <w:lang w:eastAsia="zh-CN"/>
        </w:rPr>
      </w:pPr>
      <w:r w:rsidRPr="00506C79">
        <w:rPr>
          <w:rFonts w:ascii="微软雅黑" w:eastAsia="微软雅黑" w:hAnsi="微软雅黑" w:cs="微软雅黑"/>
          <w:spacing w:val="12"/>
          <w:lang w:eastAsia="zh-CN"/>
        </w:rPr>
        <w:lastRenderedPageBreak/>
        <w:t>隔夜COMEX铜震荡回落，报收6.025元/磅，涨跌幅-1.69%。国际方面，美国4月</w:t>
      </w:r>
      <w:proofErr w:type="gramStart"/>
      <w:r w:rsidRPr="00506C79">
        <w:rPr>
          <w:rFonts w:ascii="微软雅黑" w:eastAsia="微软雅黑" w:hAnsi="微软雅黑" w:cs="微软雅黑"/>
          <w:spacing w:val="12"/>
          <w:lang w:eastAsia="zh-CN"/>
        </w:rPr>
        <w:t>标普全球</w:t>
      </w:r>
      <w:proofErr w:type="gramEnd"/>
      <w:r w:rsidRPr="00506C79">
        <w:rPr>
          <w:rFonts w:ascii="微软雅黑" w:eastAsia="微软雅黑" w:hAnsi="微软雅黑" w:cs="微软雅黑"/>
          <w:spacing w:val="12"/>
          <w:lang w:eastAsia="zh-CN"/>
        </w:rPr>
        <w:t>制造业PMI初值为54，高于预期的52.5，创2022年5月以来新高。服务业PMI升至51.3，重返扩张区间。综合PMI初值录得52，创三个月新高。商品与服务价格涨幅创2022年7月以来最大。国内方面，中共中央办公厅、国务院办公厅印发《碳达峰碳中和综合评价考核办法》，将“双碳”评价考核结果挂钩领导干部考核任用。《办法》设置碳排放总量、碳排放强度降低、煤炭消费总量、石油消费总量、非化石能源消费占比等5项控制指标。库存方面，截至2026年4月23日，COMEX铜库存为603745短吨，环比+3110短吨；LME铜库存为396000吨，环比+425吨；SHFE每日仓单118497吨，环比-4031吨。美元美债方面，因伊朗与美国之间的对峙加剧了中东地区的紧张局势，美元指数在美盘时段走强，并一度逼近99关口，最终收涨0.21%，报98.81；基准的</w:t>
      </w:r>
      <w:proofErr w:type="gramStart"/>
      <w:r w:rsidRPr="00506C79">
        <w:rPr>
          <w:rFonts w:ascii="微软雅黑" w:eastAsia="微软雅黑" w:hAnsi="微软雅黑" w:cs="微软雅黑"/>
          <w:spacing w:val="12"/>
          <w:lang w:eastAsia="zh-CN"/>
        </w:rPr>
        <w:t>10年期美债</w:t>
      </w:r>
      <w:proofErr w:type="gramEnd"/>
      <w:r w:rsidRPr="00506C79">
        <w:rPr>
          <w:rFonts w:ascii="微软雅黑" w:eastAsia="微软雅黑" w:hAnsi="微软雅黑" w:cs="微软雅黑"/>
          <w:spacing w:val="12"/>
          <w:lang w:eastAsia="zh-CN"/>
        </w:rPr>
        <w:t>收益率收报4.329%，对美联储政策利率敏感的</w:t>
      </w:r>
      <w:proofErr w:type="gramStart"/>
      <w:r w:rsidRPr="00506C79">
        <w:rPr>
          <w:rFonts w:ascii="微软雅黑" w:eastAsia="微软雅黑" w:hAnsi="微软雅黑" w:cs="微软雅黑"/>
          <w:spacing w:val="12"/>
          <w:lang w:eastAsia="zh-CN"/>
        </w:rPr>
        <w:t>2年期美债</w:t>
      </w:r>
      <w:proofErr w:type="gramEnd"/>
      <w:r w:rsidRPr="00506C79">
        <w:rPr>
          <w:rFonts w:ascii="微软雅黑" w:eastAsia="微软雅黑" w:hAnsi="微软雅黑" w:cs="微软雅黑"/>
          <w:spacing w:val="12"/>
          <w:lang w:eastAsia="zh-CN"/>
        </w:rPr>
        <w:t>收益率则收报3.846%。操作建议，</w:t>
      </w:r>
      <w:proofErr w:type="gramStart"/>
      <w:r w:rsidRPr="00506C79">
        <w:rPr>
          <w:rFonts w:ascii="微软雅黑" w:eastAsia="微软雅黑" w:hAnsi="微软雅黑" w:cs="微软雅黑"/>
          <w:spacing w:val="12"/>
          <w:lang w:eastAsia="zh-CN"/>
        </w:rPr>
        <w:t>纽</w:t>
      </w:r>
      <w:proofErr w:type="gramEnd"/>
      <w:r w:rsidRPr="00506C79">
        <w:rPr>
          <w:rFonts w:ascii="微软雅黑" w:eastAsia="微软雅黑" w:hAnsi="微软雅黑" w:cs="微软雅黑"/>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6A2716FA" w:rsidR="00A02266" w:rsidRDefault="00506C79" w:rsidP="006B6996">
      <w:pPr>
        <w:spacing w:before="103" w:line="256" w:lineRule="auto"/>
        <w:ind w:right="210" w:firstLine="420"/>
        <w:jc w:val="center"/>
      </w:pPr>
      <w:r>
        <w:rPr>
          <w:noProof/>
          <w:snapToGrid/>
        </w:rPr>
        <w:drawing>
          <wp:inline distT="0" distB="0" distL="0" distR="0" wp14:anchorId="78A9764B" wp14:editId="182C16A8">
            <wp:extent cx="5274310" cy="2879090"/>
            <wp:effectExtent l="0" t="0" r="2540" b="0"/>
            <wp:docPr id="340766403" name="图片 34076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01B15B5C" w:rsidR="00394BD0" w:rsidRDefault="00506C79" w:rsidP="00B00DB4">
      <w:pPr>
        <w:spacing w:before="103" w:line="256" w:lineRule="auto"/>
        <w:ind w:right="210" w:firstLine="448"/>
        <w:jc w:val="both"/>
        <w:rPr>
          <w:rFonts w:ascii="微软雅黑" w:eastAsia="微软雅黑" w:hAnsi="微软雅黑" w:cs="微软雅黑" w:hint="eastAsia"/>
          <w:noProof/>
          <w:spacing w:val="7"/>
          <w:lang w:eastAsia="zh-CN"/>
        </w:rPr>
      </w:pPr>
      <w:r w:rsidRPr="00506C79">
        <w:rPr>
          <w:rFonts w:ascii="微软雅黑" w:eastAsia="微软雅黑" w:hAnsi="微软雅黑" w:cs="微软雅黑"/>
          <w:noProof/>
          <w:spacing w:val="7"/>
          <w:lang w:eastAsia="zh-CN"/>
        </w:rPr>
        <w:t>隔夜，受美伊地缘局势趋紧以及美元反弹影响，海外贵金属市场延续偏弱走势，COMEX黄金期货跌0.93%报4708.60美元/盎司，COMEX白银期货跌3.21%报75.46美元/盎司。近期贵金属市场在美伊停火预期反复与美元走强双重因素交织下震荡回落，由于美伊第二轮和谈计划破裂，伊方继续掌控该关键水道并严格限制国际航运，美方则维持对伊朗港口的施压性封锁，地缘局势的高度不确定性令能源价格再度走高，通胀风险并未真正消退，前期押注乐观停火预期的多头资金纷纷获利了结，推动贵金属市场阶段性回调。往前看，美伊停火谈判分歧依然高企，市场高波动态势或延续，但市场对于战争全面升级的尾部风险定价有所回落，本轮贵金属市场企稳反弹结构仍较为完整，下方逢低买盘需求或继续提供支撑。美国就业及零售数据仍具粘性，美联储内部整体维持审慎偏鹰立场，降息预期持续受压，实际利率中枢短期难以明显下移，对金价上方空间形成一定约束。另一方面，美国财政扩张背景下的美元信用弱化叙事仍未消退，央行逢低购金需求增速虽有所放缓但有望维持韧性。整体来看，金银短期大概率延续高位</w:t>
      </w:r>
      <w:r w:rsidRPr="00506C79">
        <w:rPr>
          <w:rFonts w:ascii="微软雅黑" w:eastAsia="微软雅黑" w:hAnsi="微软雅黑" w:cs="微软雅黑"/>
          <w:noProof/>
          <w:spacing w:val="7"/>
          <w:lang w:eastAsia="zh-CN"/>
        </w:rPr>
        <w:lastRenderedPageBreak/>
        <w:t>震荡格局，操作上仍建议以逢低布局为主，警惕地缘预期反复带来的短线波动，注意严格风险控制。技术面，伦敦金短线或围绕20日均线拉锯（4700美元/盎司），RSI显示短期动能偏弱且市场情绪偏空，关注上方阻力位4800、4900美元；伦敦银跟随金价波动，当前运行中枢回落至75.5-76美元附近，关注下方支撑位75、70美元，上方阻力位80、83美元</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23169862" w:rsidR="007A477E" w:rsidRDefault="00506C79"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Pr>
          <w:noProof/>
          <w:snapToGrid/>
        </w:rPr>
        <w:drawing>
          <wp:inline distT="0" distB="0" distL="0" distR="0" wp14:anchorId="34E0A352" wp14:editId="28E651B7">
            <wp:extent cx="4714875" cy="2132330"/>
            <wp:effectExtent l="0" t="0" r="9525" b="1270"/>
            <wp:docPr id="11399646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64670" name="图片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213233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11FBF126" w14:textId="77777777" w:rsidR="00506C79" w:rsidRPr="00506C79" w:rsidRDefault="00506C79" w:rsidP="00506C79">
      <w:pPr>
        <w:spacing w:before="103" w:line="256" w:lineRule="auto"/>
        <w:ind w:right="210" w:firstLine="448"/>
        <w:jc w:val="both"/>
        <w:rPr>
          <w:rFonts w:ascii="微软雅黑" w:eastAsia="微软雅黑" w:hAnsi="微软雅黑" w:cs="微软雅黑"/>
          <w:noProof/>
          <w:spacing w:val="7"/>
          <w:lang w:eastAsia="zh-CN"/>
        </w:rPr>
      </w:pPr>
      <w:r w:rsidRPr="00506C79">
        <w:rPr>
          <w:rFonts w:ascii="微软雅黑" w:eastAsia="微软雅黑" w:hAnsi="微软雅黑" w:cs="微软雅黑" w:hint="eastAsia"/>
          <w:noProof/>
          <w:spacing w:val="7"/>
          <w:lang w:eastAsia="zh-CN"/>
        </w:rPr>
        <w:t>洲际交易所</w:t>
      </w:r>
      <w:r w:rsidRPr="00506C79">
        <w:rPr>
          <w:rFonts w:ascii="微软雅黑" w:eastAsia="微软雅黑" w:hAnsi="微软雅黑" w:cs="微软雅黑"/>
          <w:noProof/>
          <w:spacing w:val="7"/>
          <w:lang w:eastAsia="zh-CN"/>
        </w:rPr>
        <w:t>(ICE)</w:t>
      </w:r>
      <w:r w:rsidRPr="00506C79">
        <w:rPr>
          <w:rFonts w:ascii="微软雅黑" w:eastAsia="微软雅黑" w:hAnsi="微软雅黑" w:cs="微软雅黑" w:hint="eastAsia"/>
          <w:noProof/>
          <w:spacing w:val="7"/>
          <w:lang w:eastAsia="zh-CN"/>
        </w:rPr>
        <w:t>原糖期货周四小幅走高，市场浮现空头回补操作，因原油价格有助于支撑乙醇价格，进而可能促使主要产糖国的糖厂将更多甘蔗用于生产乙醇，从而造成糖产量下降。</w:t>
      </w:r>
      <w:r w:rsidRPr="00506C79">
        <w:rPr>
          <w:rFonts w:ascii="微软雅黑" w:eastAsia="微软雅黑" w:hAnsi="微软雅黑" w:cs="微软雅黑"/>
          <w:noProof/>
          <w:spacing w:val="7"/>
          <w:lang w:eastAsia="zh-CN"/>
        </w:rPr>
        <w:t>ICE</w:t>
      </w:r>
      <w:r w:rsidRPr="00506C79">
        <w:rPr>
          <w:rFonts w:ascii="微软雅黑" w:eastAsia="微软雅黑" w:hAnsi="微软雅黑" w:cs="微软雅黑" w:hint="eastAsia"/>
          <w:noProof/>
          <w:spacing w:val="7"/>
          <w:lang w:eastAsia="zh-CN"/>
        </w:rPr>
        <w:t>交投最活跃的</w:t>
      </w:r>
      <w:r w:rsidRPr="00506C79">
        <w:rPr>
          <w:rFonts w:ascii="微软雅黑" w:eastAsia="微软雅黑" w:hAnsi="微软雅黑" w:cs="微软雅黑"/>
          <w:noProof/>
          <w:spacing w:val="7"/>
          <w:lang w:eastAsia="zh-CN"/>
        </w:rPr>
        <w:t>7</w:t>
      </w:r>
      <w:r w:rsidRPr="00506C79">
        <w:rPr>
          <w:rFonts w:ascii="微软雅黑" w:eastAsia="微软雅黑" w:hAnsi="微软雅黑" w:cs="微软雅黑" w:hint="eastAsia"/>
          <w:noProof/>
          <w:spacing w:val="7"/>
          <w:lang w:eastAsia="zh-CN"/>
        </w:rPr>
        <w:t>月原糖期货收涨</w:t>
      </w:r>
      <w:r w:rsidRPr="00506C79">
        <w:rPr>
          <w:rFonts w:ascii="微软雅黑" w:eastAsia="微软雅黑" w:hAnsi="微软雅黑" w:cs="微软雅黑"/>
          <w:noProof/>
          <w:spacing w:val="7"/>
          <w:lang w:eastAsia="zh-CN"/>
        </w:rPr>
        <w:t>0.08</w:t>
      </w:r>
      <w:r w:rsidRPr="00506C79">
        <w:rPr>
          <w:rFonts w:ascii="微软雅黑" w:eastAsia="微软雅黑" w:hAnsi="微软雅黑" w:cs="微软雅黑" w:hint="eastAsia"/>
          <w:noProof/>
          <w:spacing w:val="7"/>
          <w:lang w:eastAsia="zh-CN"/>
        </w:rPr>
        <w:t>美分或</w:t>
      </w:r>
      <w:r w:rsidRPr="00506C79">
        <w:rPr>
          <w:rFonts w:ascii="微软雅黑" w:eastAsia="微软雅黑" w:hAnsi="微软雅黑" w:cs="微软雅黑"/>
          <w:noProof/>
          <w:spacing w:val="7"/>
          <w:lang w:eastAsia="zh-CN"/>
        </w:rPr>
        <w:t>0.60%</w:t>
      </w:r>
      <w:r w:rsidRPr="00506C79">
        <w:rPr>
          <w:rFonts w:ascii="微软雅黑" w:eastAsia="微软雅黑" w:hAnsi="微软雅黑" w:cs="微软雅黑" w:hint="eastAsia"/>
          <w:noProof/>
          <w:spacing w:val="7"/>
          <w:lang w:eastAsia="zh-CN"/>
        </w:rPr>
        <w:t>，结算价报每磅</w:t>
      </w:r>
      <w:r w:rsidRPr="00506C79">
        <w:rPr>
          <w:rFonts w:ascii="微软雅黑" w:eastAsia="微软雅黑" w:hAnsi="微软雅黑" w:cs="微软雅黑"/>
          <w:noProof/>
          <w:spacing w:val="7"/>
          <w:lang w:eastAsia="zh-CN"/>
        </w:rPr>
        <w:t>13.89</w:t>
      </w:r>
      <w:r w:rsidRPr="00506C79">
        <w:rPr>
          <w:rFonts w:ascii="微软雅黑" w:eastAsia="微软雅黑" w:hAnsi="微软雅黑" w:cs="微软雅黑" w:hint="eastAsia"/>
          <w:noProof/>
          <w:spacing w:val="7"/>
          <w:lang w:eastAsia="zh-CN"/>
        </w:rPr>
        <w:t>美分。</w:t>
      </w:r>
    </w:p>
    <w:p w14:paraId="095EE8D8" w14:textId="77777777" w:rsidR="00506C79" w:rsidRPr="00506C79" w:rsidRDefault="00506C79" w:rsidP="00506C79">
      <w:pPr>
        <w:spacing w:before="103" w:line="256" w:lineRule="auto"/>
        <w:ind w:right="210" w:firstLine="448"/>
        <w:jc w:val="both"/>
        <w:rPr>
          <w:rFonts w:ascii="微软雅黑" w:eastAsia="微软雅黑" w:hAnsi="微软雅黑" w:cs="微软雅黑"/>
          <w:noProof/>
          <w:spacing w:val="7"/>
          <w:lang w:eastAsia="zh-CN"/>
        </w:rPr>
      </w:pPr>
      <w:r w:rsidRPr="00506C79">
        <w:rPr>
          <w:rFonts w:ascii="微软雅黑" w:eastAsia="微软雅黑" w:hAnsi="微软雅黑" w:cs="微软雅黑" w:hint="eastAsia"/>
          <w:noProof/>
          <w:spacing w:val="7"/>
          <w:lang w:eastAsia="zh-CN"/>
        </w:rPr>
        <w:t>国际方面，印度糖及生物能源制造商协会</w:t>
      </w:r>
      <w:r w:rsidRPr="00506C79">
        <w:rPr>
          <w:rFonts w:ascii="微软雅黑" w:eastAsia="微软雅黑" w:hAnsi="微软雅黑" w:cs="微软雅黑"/>
          <w:noProof/>
          <w:spacing w:val="7"/>
          <w:lang w:eastAsia="zh-CN"/>
        </w:rPr>
        <w:t>ISMA</w:t>
      </w:r>
      <w:r w:rsidRPr="00506C79">
        <w:rPr>
          <w:rFonts w:ascii="微软雅黑" w:eastAsia="微软雅黑" w:hAnsi="微软雅黑" w:cs="微软雅黑" w:hint="eastAsia"/>
          <w:noProof/>
          <w:spacing w:val="7"/>
          <w:lang w:eastAsia="zh-CN"/>
        </w:rPr>
        <w:t>数据表示，截至</w:t>
      </w:r>
      <w:r w:rsidRPr="00506C79">
        <w:rPr>
          <w:rFonts w:ascii="微软雅黑" w:eastAsia="微软雅黑" w:hAnsi="微软雅黑" w:cs="微软雅黑"/>
          <w:noProof/>
          <w:spacing w:val="7"/>
          <w:lang w:eastAsia="zh-CN"/>
        </w:rPr>
        <w:t>4</w:t>
      </w:r>
      <w:r w:rsidRPr="00506C79">
        <w:rPr>
          <w:rFonts w:ascii="微软雅黑" w:eastAsia="微软雅黑" w:hAnsi="微软雅黑" w:cs="微软雅黑" w:hint="eastAsia"/>
          <w:noProof/>
          <w:spacing w:val="7"/>
          <w:lang w:eastAsia="zh-CN"/>
        </w:rPr>
        <w:t>月</w:t>
      </w:r>
      <w:r w:rsidRPr="00506C79">
        <w:rPr>
          <w:rFonts w:ascii="微软雅黑" w:eastAsia="微软雅黑" w:hAnsi="微软雅黑" w:cs="微软雅黑"/>
          <w:noProof/>
          <w:spacing w:val="7"/>
          <w:lang w:eastAsia="zh-CN"/>
        </w:rPr>
        <w:t>15</w:t>
      </w:r>
      <w:r w:rsidRPr="00506C79">
        <w:rPr>
          <w:rFonts w:ascii="微软雅黑" w:eastAsia="微软雅黑" w:hAnsi="微软雅黑" w:cs="微软雅黑" w:hint="eastAsia"/>
          <w:noProof/>
          <w:spacing w:val="7"/>
          <w:lang w:eastAsia="zh-CN"/>
        </w:rPr>
        <w:t>日，</w:t>
      </w:r>
      <w:r w:rsidRPr="00506C79">
        <w:rPr>
          <w:rFonts w:ascii="微软雅黑" w:eastAsia="微软雅黑" w:hAnsi="微软雅黑" w:cs="微软雅黑"/>
          <w:noProof/>
          <w:spacing w:val="7"/>
          <w:lang w:eastAsia="zh-CN"/>
        </w:rPr>
        <w:t>2025/26</w:t>
      </w:r>
      <w:r w:rsidRPr="00506C79">
        <w:rPr>
          <w:rFonts w:ascii="微软雅黑" w:eastAsia="微软雅黑" w:hAnsi="微软雅黑" w:cs="微软雅黑" w:hint="eastAsia"/>
          <w:noProof/>
          <w:spacing w:val="7"/>
          <w:lang w:eastAsia="zh-CN"/>
        </w:rPr>
        <w:t>年度印度糖产量达</w:t>
      </w:r>
      <w:r w:rsidRPr="00506C79">
        <w:rPr>
          <w:rFonts w:ascii="微软雅黑" w:eastAsia="微软雅黑" w:hAnsi="微软雅黑" w:cs="微软雅黑"/>
          <w:noProof/>
          <w:spacing w:val="7"/>
          <w:lang w:eastAsia="zh-CN"/>
        </w:rPr>
        <w:t>2748</w:t>
      </w:r>
      <w:r w:rsidRPr="00506C79">
        <w:rPr>
          <w:rFonts w:ascii="微软雅黑" w:eastAsia="微软雅黑" w:hAnsi="微软雅黑" w:cs="微软雅黑" w:hint="eastAsia"/>
          <w:noProof/>
          <w:spacing w:val="7"/>
          <w:lang w:eastAsia="zh-CN"/>
        </w:rPr>
        <w:t>万吨，较上年同期的</w:t>
      </w:r>
      <w:r w:rsidRPr="00506C79">
        <w:rPr>
          <w:rFonts w:ascii="微软雅黑" w:eastAsia="微软雅黑" w:hAnsi="微软雅黑" w:cs="微软雅黑"/>
          <w:noProof/>
          <w:spacing w:val="7"/>
          <w:lang w:eastAsia="zh-CN"/>
        </w:rPr>
        <w:t>2549.6</w:t>
      </w:r>
      <w:r w:rsidRPr="00506C79">
        <w:rPr>
          <w:rFonts w:ascii="微软雅黑" w:eastAsia="微软雅黑" w:hAnsi="微软雅黑" w:cs="微软雅黑" w:hint="eastAsia"/>
          <w:noProof/>
          <w:spacing w:val="7"/>
          <w:lang w:eastAsia="zh-CN"/>
        </w:rPr>
        <w:t>万吨增长约</w:t>
      </w:r>
      <w:r w:rsidRPr="00506C79">
        <w:rPr>
          <w:rFonts w:ascii="微软雅黑" w:eastAsia="微软雅黑" w:hAnsi="微软雅黑" w:cs="微软雅黑"/>
          <w:noProof/>
          <w:spacing w:val="7"/>
          <w:lang w:eastAsia="zh-CN"/>
        </w:rPr>
        <w:t>8%</w:t>
      </w:r>
      <w:r w:rsidRPr="00506C79">
        <w:rPr>
          <w:rFonts w:ascii="微软雅黑" w:eastAsia="微软雅黑" w:hAnsi="微软雅黑" w:cs="微软雅黑" w:hint="eastAsia"/>
          <w:noProof/>
          <w:spacing w:val="7"/>
          <w:lang w:eastAsia="zh-CN"/>
        </w:rPr>
        <w:t>，目前共有</w:t>
      </w:r>
      <w:r w:rsidRPr="00506C79">
        <w:rPr>
          <w:rFonts w:ascii="微软雅黑" w:eastAsia="微软雅黑" w:hAnsi="微软雅黑" w:cs="微软雅黑"/>
          <w:noProof/>
          <w:spacing w:val="7"/>
          <w:lang w:eastAsia="zh-CN"/>
        </w:rPr>
        <w:t>19</w:t>
      </w:r>
      <w:r w:rsidRPr="00506C79">
        <w:rPr>
          <w:rFonts w:ascii="微软雅黑" w:eastAsia="微软雅黑" w:hAnsi="微软雅黑" w:cs="微软雅黑" w:hint="eastAsia"/>
          <w:noProof/>
          <w:spacing w:val="7"/>
          <w:lang w:eastAsia="zh-CN"/>
        </w:rPr>
        <w:t>糖厂压榨，去年同期为</w:t>
      </w:r>
      <w:r w:rsidRPr="00506C79">
        <w:rPr>
          <w:rFonts w:ascii="微软雅黑" w:eastAsia="微软雅黑" w:hAnsi="微软雅黑" w:cs="微软雅黑"/>
          <w:noProof/>
          <w:spacing w:val="7"/>
          <w:lang w:eastAsia="zh-CN"/>
        </w:rPr>
        <w:t>38</w:t>
      </w:r>
      <w:r w:rsidRPr="00506C79">
        <w:rPr>
          <w:rFonts w:ascii="微软雅黑" w:eastAsia="微软雅黑" w:hAnsi="微软雅黑" w:cs="微软雅黑" w:hint="eastAsia"/>
          <w:noProof/>
          <w:spacing w:val="7"/>
          <w:lang w:eastAsia="zh-CN"/>
        </w:rPr>
        <w:t>家。尽管产量同比上升，但运营糖厂数量减少。</w:t>
      </w:r>
    </w:p>
    <w:p w14:paraId="3F44DEBC" w14:textId="19175620" w:rsidR="00C27A84" w:rsidRDefault="00506C79" w:rsidP="00506C79">
      <w:pPr>
        <w:spacing w:before="103" w:line="256" w:lineRule="auto"/>
        <w:ind w:right="210" w:firstLine="448"/>
        <w:jc w:val="both"/>
        <w:rPr>
          <w:rFonts w:ascii="微软雅黑" w:eastAsia="微软雅黑" w:hAnsi="微软雅黑" w:cs="微软雅黑" w:hint="eastAsia"/>
          <w:noProof/>
          <w:spacing w:val="7"/>
          <w:lang w:eastAsia="zh-CN"/>
        </w:rPr>
      </w:pPr>
      <w:r w:rsidRPr="00506C79">
        <w:rPr>
          <w:rFonts w:ascii="微软雅黑" w:eastAsia="微软雅黑" w:hAnsi="微软雅黑" w:cs="微软雅黑" w:hint="eastAsia"/>
          <w:noProof/>
          <w:spacing w:val="7"/>
          <w:lang w:eastAsia="zh-CN"/>
        </w:rPr>
        <w:t>美糖主力价格关注上方压力</w:t>
      </w:r>
      <w:r w:rsidRPr="00506C79">
        <w:rPr>
          <w:rFonts w:ascii="微软雅黑" w:eastAsia="微软雅黑" w:hAnsi="微软雅黑" w:cs="微软雅黑"/>
          <w:noProof/>
          <w:spacing w:val="7"/>
          <w:lang w:eastAsia="zh-CN"/>
        </w:rPr>
        <w:t>14.5</w:t>
      </w:r>
      <w:r w:rsidRPr="00506C79">
        <w:rPr>
          <w:rFonts w:ascii="微软雅黑" w:eastAsia="微软雅黑" w:hAnsi="微软雅黑" w:cs="微软雅黑" w:hint="eastAsia"/>
          <w:noProof/>
          <w:spacing w:val="7"/>
          <w:lang w:eastAsia="zh-CN"/>
        </w:rPr>
        <w:t>美分</w:t>
      </w:r>
      <w:r w:rsidRPr="00506C79">
        <w:rPr>
          <w:rFonts w:ascii="微软雅黑" w:eastAsia="微软雅黑" w:hAnsi="微软雅黑" w:cs="微软雅黑"/>
          <w:noProof/>
          <w:spacing w:val="7"/>
          <w:lang w:eastAsia="zh-CN"/>
        </w:rPr>
        <w:t>/</w:t>
      </w:r>
      <w:r w:rsidRPr="00506C79">
        <w:rPr>
          <w:rFonts w:ascii="微软雅黑" w:eastAsia="微软雅黑" w:hAnsi="微软雅黑" w:cs="微软雅黑" w:hint="eastAsia"/>
          <w:noProof/>
          <w:spacing w:val="7"/>
          <w:lang w:eastAsia="zh-CN"/>
        </w:rPr>
        <w:t>磅，下方支撑</w:t>
      </w:r>
      <w:r w:rsidRPr="00506C79">
        <w:rPr>
          <w:rFonts w:ascii="微软雅黑" w:eastAsia="微软雅黑" w:hAnsi="微软雅黑" w:cs="微软雅黑"/>
          <w:noProof/>
          <w:spacing w:val="7"/>
          <w:lang w:eastAsia="zh-CN"/>
        </w:rPr>
        <w:t>13.0</w:t>
      </w:r>
      <w:r w:rsidRPr="00506C79">
        <w:rPr>
          <w:rFonts w:ascii="微软雅黑" w:eastAsia="微软雅黑" w:hAnsi="微软雅黑" w:cs="微软雅黑" w:hint="eastAsia"/>
          <w:noProof/>
          <w:spacing w:val="7"/>
          <w:lang w:eastAsia="zh-CN"/>
        </w:rPr>
        <w:t>美分</w:t>
      </w:r>
      <w:r w:rsidRPr="00506C79">
        <w:rPr>
          <w:rFonts w:ascii="微软雅黑" w:eastAsia="微软雅黑" w:hAnsi="微软雅黑" w:cs="微软雅黑"/>
          <w:noProof/>
          <w:spacing w:val="7"/>
          <w:lang w:eastAsia="zh-CN"/>
        </w:rPr>
        <w:t>/</w:t>
      </w:r>
      <w:r w:rsidRPr="00506C79">
        <w:rPr>
          <w:rFonts w:ascii="微软雅黑" w:eastAsia="微软雅黑" w:hAnsi="微软雅黑" w:cs="微软雅黑" w:hint="eastAsia"/>
          <w:noProof/>
          <w:spacing w:val="7"/>
          <w:lang w:eastAsia="zh-CN"/>
        </w:rPr>
        <w:t>磅。建议</w:t>
      </w:r>
      <w:r w:rsidRPr="00506C79">
        <w:rPr>
          <w:rFonts w:ascii="微软雅黑" w:eastAsia="微软雅黑" w:hAnsi="微软雅黑" w:cs="微软雅黑"/>
          <w:noProof/>
          <w:spacing w:val="7"/>
          <w:lang w:eastAsia="zh-CN"/>
        </w:rPr>
        <w:t>7</w:t>
      </w:r>
      <w:r w:rsidRPr="00506C79">
        <w:rPr>
          <w:rFonts w:ascii="微软雅黑" w:eastAsia="微软雅黑" w:hAnsi="微软雅黑" w:cs="微软雅黑" w:hint="eastAsia"/>
          <w:noProof/>
          <w:spacing w:val="7"/>
          <w:lang w:eastAsia="zh-CN"/>
        </w:rPr>
        <w:t>月</w:t>
      </w:r>
      <w:r w:rsidRPr="00506C79">
        <w:rPr>
          <w:rFonts w:ascii="微软雅黑" w:eastAsia="微软雅黑" w:hAnsi="微软雅黑" w:cs="微软雅黑"/>
          <w:noProof/>
          <w:spacing w:val="7"/>
          <w:lang w:eastAsia="zh-CN"/>
        </w:rPr>
        <w:t xml:space="preserve"> ICE </w:t>
      </w:r>
      <w:r w:rsidRPr="00506C79">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5D6A0957" w:rsidR="007A477E" w:rsidRPr="00786136" w:rsidRDefault="00506C79" w:rsidP="007A477E">
      <w:pPr>
        <w:spacing w:before="103" w:line="256" w:lineRule="auto"/>
        <w:ind w:right="210" w:firstLine="420"/>
        <w:jc w:val="center"/>
        <w:rPr>
          <w:rFonts w:ascii="微软雅黑" w:eastAsia="微软雅黑" w:hAnsi="微软雅黑" w:cs="微软雅黑" w:hint="eastAsia"/>
          <w:spacing w:val="7"/>
          <w:lang w:eastAsia="zh-CN"/>
        </w:rPr>
      </w:pPr>
      <w:r>
        <w:rPr>
          <w:noProof/>
        </w:rPr>
        <w:drawing>
          <wp:inline distT="0" distB="0" distL="0" distR="0" wp14:anchorId="1F49A0DF" wp14:editId="54065FCD">
            <wp:extent cx="5263515" cy="2162810"/>
            <wp:effectExtent l="0" t="0" r="0" b="8890"/>
            <wp:docPr id="1884130692" name="图片 5" descr="QQ截图2026042408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QQ截图202604240800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216281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4B2D274" w14:textId="77777777" w:rsidR="00506C79" w:rsidRPr="00506C79" w:rsidRDefault="00506C79" w:rsidP="00506C79">
      <w:pPr>
        <w:spacing w:before="103" w:line="256" w:lineRule="auto"/>
        <w:ind w:right="210" w:firstLine="448"/>
        <w:jc w:val="both"/>
        <w:rPr>
          <w:rFonts w:ascii="微软雅黑" w:eastAsia="微软雅黑" w:hAnsi="微软雅黑" w:cs="微软雅黑"/>
          <w:noProof/>
          <w:spacing w:val="7"/>
          <w:lang w:eastAsia="zh-CN"/>
        </w:rPr>
      </w:pPr>
      <w:r w:rsidRPr="00506C79">
        <w:rPr>
          <w:rFonts w:ascii="微软雅黑" w:eastAsia="微软雅黑" w:hAnsi="微软雅黑" w:cs="微软雅黑" w:hint="eastAsia"/>
          <w:noProof/>
          <w:spacing w:val="7"/>
          <w:lang w:eastAsia="zh-CN"/>
        </w:rPr>
        <w:t>洲际交易所</w:t>
      </w:r>
      <w:r w:rsidRPr="00506C79">
        <w:rPr>
          <w:rFonts w:ascii="微软雅黑" w:eastAsia="微软雅黑" w:hAnsi="微软雅黑" w:cs="微软雅黑"/>
          <w:noProof/>
          <w:spacing w:val="7"/>
          <w:lang w:eastAsia="zh-CN"/>
        </w:rPr>
        <w:t>(ICE)</w:t>
      </w:r>
      <w:r w:rsidRPr="00506C79">
        <w:rPr>
          <w:rFonts w:ascii="微软雅黑" w:eastAsia="微软雅黑" w:hAnsi="微软雅黑" w:cs="微软雅黑" w:hint="eastAsia"/>
          <w:noProof/>
          <w:spacing w:val="7"/>
          <w:lang w:eastAsia="zh-CN"/>
        </w:rPr>
        <w:t>棉花期货周四收高，受到其他商品上涨联动。</w:t>
      </w:r>
      <w:r w:rsidRPr="00506C79">
        <w:rPr>
          <w:rFonts w:ascii="微软雅黑" w:eastAsia="微软雅黑" w:hAnsi="微软雅黑" w:cs="微软雅黑"/>
          <w:noProof/>
          <w:spacing w:val="7"/>
          <w:lang w:eastAsia="zh-CN"/>
        </w:rPr>
        <w:t>ICE 7</w:t>
      </w:r>
      <w:r w:rsidRPr="00506C79">
        <w:rPr>
          <w:rFonts w:ascii="微软雅黑" w:eastAsia="微软雅黑" w:hAnsi="微软雅黑" w:cs="微软雅黑" w:hint="eastAsia"/>
          <w:noProof/>
          <w:spacing w:val="7"/>
          <w:lang w:eastAsia="zh-CN"/>
        </w:rPr>
        <w:t>月棉花期货合约收涨</w:t>
      </w:r>
      <w:r w:rsidRPr="00506C79">
        <w:rPr>
          <w:rFonts w:ascii="微软雅黑" w:eastAsia="微软雅黑" w:hAnsi="微软雅黑" w:cs="微软雅黑"/>
          <w:noProof/>
          <w:spacing w:val="7"/>
          <w:lang w:eastAsia="zh-CN"/>
        </w:rPr>
        <w:t>0.81</w:t>
      </w:r>
      <w:r w:rsidRPr="00506C79">
        <w:rPr>
          <w:rFonts w:ascii="微软雅黑" w:eastAsia="微软雅黑" w:hAnsi="微软雅黑" w:cs="微软雅黑" w:hint="eastAsia"/>
          <w:noProof/>
          <w:spacing w:val="7"/>
          <w:lang w:eastAsia="zh-CN"/>
        </w:rPr>
        <w:t>美分，或</w:t>
      </w:r>
      <w:r w:rsidRPr="00506C79">
        <w:rPr>
          <w:rFonts w:ascii="微软雅黑" w:eastAsia="微软雅黑" w:hAnsi="微软雅黑" w:cs="微软雅黑"/>
          <w:noProof/>
          <w:spacing w:val="7"/>
          <w:lang w:eastAsia="zh-CN"/>
        </w:rPr>
        <w:t>1.0%</w:t>
      </w:r>
      <w:r w:rsidRPr="00506C79">
        <w:rPr>
          <w:rFonts w:ascii="微软雅黑" w:eastAsia="微软雅黑" w:hAnsi="微软雅黑" w:cs="微软雅黑" w:hint="eastAsia"/>
          <w:noProof/>
          <w:spacing w:val="7"/>
          <w:lang w:eastAsia="zh-CN"/>
        </w:rPr>
        <w:t>，结算价报每磅</w:t>
      </w:r>
      <w:r w:rsidRPr="00506C79">
        <w:rPr>
          <w:rFonts w:ascii="微软雅黑" w:eastAsia="微软雅黑" w:hAnsi="微软雅黑" w:cs="微软雅黑"/>
          <w:noProof/>
          <w:spacing w:val="7"/>
          <w:lang w:eastAsia="zh-CN"/>
        </w:rPr>
        <w:t>79.45</w:t>
      </w:r>
      <w:r w:rsidRPr="00506C79">
        <w:rPr>
          <w:rFonts w:ascii="微软雅黑" w:eastAsia="微软雅黑" w:hAnsi="微软雅黑" w:cs="微软雅黑" w:hint="eastAsia"/>
          <w:noProof/>
          <w:spacing w:val="7"/>
          <w:lang w:eastAsia="zh-CN"/>
        </w:rPr>
        <w:t>分。</w:t>
      </w:r>
    </w:p>
    <w:p w14:paraId="1B4090FF" w14:textId="77777777" w:rsidR="00506C79" w:rsidRPr="00506C79" w:rsidRDefault="00506C79" w:rsidP="00506C79">
      <w:pPr>
        <w:spacing w:before="103" w:line="256" w:lineRule="auto"/>
        <w:ind w:right="210" w:firstLine="448"/>
        <w:jc w:val="both"/>
        <w:rPr>
          <w:rFonts w:ascii="微软雅黑" w:eastAsia="微软雅黑" w:hAnsi="微软雅黑" w:cs="微软雅黑"/>
          <w:noProof/>
          <w:spacing w:val="7"/>
          <w:lang w:eastAsia="zh-CN"/>
        </w:rPr>
      </w:pPr>
      <w:r w:rsidRPr="00506C79">
        <w:rPr>
          <w:rFonts w:ascii="微软雅黑" w:eastAsia="微软雅黑" w:hAnsi="微软雅黑" w:cs="微软雅黑" w:hint="eastAsia"/>
          <w:noProof/>
          <w:spacing w:val="7"/>
          <w:lang w:eastAsia="zh-CN"/>
        </w:rPr>
        <w:t>国际方面，据美国农业部</w:t>
      </w:r>
      <w:r w:rsidRPr="00506C79">
        <w:rPr>
          <w:rFonts w:ascii="微软雅黑" w:eastAsia="微软雅黑" w:hAnsi="微软雅黑" w:cs="微软雅黑"/>
          <w:noProof/>
          <w:spacing w:val="7"/>
          <w:lang w:eastAsia="zh-CN"/>
        </w:rPr>
        <w:t>(USDA)</w:t>
      </w:r>
      <w:r w:rsidRPr="00506C79">
        <w:rPr>
          <w:rFonts w:ascii="微软雅黑" w:eastAsia="微软雅黑" w:hAnsi="微软雅黑" w:cs="微软雅黑" w:hint="eastAsia"/>
          <w:noProof/>
          <w:spacing w:val="7"/>
          <w:lang w:eastAsia="zh-CN"/>
        </w:rPr>
        <w:t>报告显示，</w:t>
      </w:r>
      <w:r w:rsidRPr="00506C79">
        <w:rPr>
          <w:rFonts w:ascii="微软雅黑" w:eastAsia="微软雅黑" w:hAnsi="微软雅黑" w:cs="微软雅黑"/>
          <w:noProof/>
          <w:spacing w:val="7"/>
          <w:lang w:eastAsia="zh-CN"/>
        </w:rPr>
        <w:t>4</w:t>
      </w:r>
      <w:r w:rsidRPr="00506C79">
        <w:rPr>
          <w:rFonts w:ascii="微软雅黑" w:eastAsia="微软雅黑" w:hAnsi="微软雅黑" w:cs="微软雅黑" w:hint="eastAsia"/>
          <w:noProof/>
          <w:spacing w:val="7"/>
          <w:lang w:eastAsia="zh-CN"/>
        </w:rPr>
        <w:t>月</w:t>
      </w:r>
      <w:r w:rsidRPr="00506C79">
        <w:rPr>
          <w:rFonts w:ascii="微软雅黑" w:eastAsia="微软雅黑" w:hAnsi="微软雅黑" w:cs="微软雅黑"/>
          <w:noProof/>
          <w:spacing w:val="7"/>
          <w:lang w:eastAsia="zh-CN"/>
        </w:rPr>
        <w:t>9</w:t>
      </w:r>
      <w:r w:rsidRPr="00506C79">
        <w:rPr>
          <w:rFonts w:ascii="微软雅黑" w:eastAsia="微软雅黑" w:hAnsi="微软雅黑" w:cs="微软雅黑" w:hint="eastAsia"/>
          <w:noProof/>
          <w:spacing w:val="7"/>
          <w:lang w:eastAsia="zh-CN"/>
        </w:rPr>
        <w:t>日止当周，</w:t>
      </w:r>
      <w:r w:rsidRPr="00506C79">
        <w:rPr>
          <w:rFonts w:ascii="微软雅黑" w:eastAsia="微软雅黑" w:hAnsi="微软雅黑" w:cs="微软雅黑"/>
          <w:noProof/>
          <w:spacing w:val="7"/>
          <w:lang w:eastAsia="zh-CN"/>
        </w:rPr>
        <w:t>2025/26</w:t>
      </w:r>
      <w:r w:rsidRPr="00506C79">
        <w:rPr>
          <w:rFonts w:ascii="微软雅黑" w:eastAsia="微软雅黑" w:hAnsi="微软雅黑" w:cs="微软雅黑" w:hint="eastAsia"/>
          <w:noProof/>
          <w:spacing w:val="7"/>
          <w:lang w:eastAsia="zh-CN"/>
        </w:rPr>
        <w:t>年度美国陆地棉出口销售净增</w:t>
      </w:r>
      <w:r w:rsidRPr="00506C79">
        <w:rPr>
          <w:rFonts w:ascii="微软雅黑" w:eastAsia="微软雅黑" w:hAnsi="微软雅黑" w:cs="微软雅黑"/>
          <w:noProof/>
          <w:spacing w:val="7"/>
          <w:lang w:eastAsia="zh-CN"/>
        </w:rPr>
        <w:t>16.11</w:t>
      </w:r>
      <w:r w:rsidRPr="00506C79">
        <w:rPr>
          <w:rFonts w:ascii="微软雅黑" w:eastAsia="微软雅黑" w:hAnsi="微软雅黑" w:cs="微软雅黑" w:hint="eastAsia"/>
          <w:noProof/>
          <w:spacing w:val="7"/>
          <w:lang w:eastAsia="zh-CN"/>
        </w:rPr>
        <w:t>万包，较前周减少</w:t>
      </w:r>
      <w:r w:rsidRPr="00506C79">
        <w:rPr>
          <w:rFonts w:ascii="微软雅黑" w:eastAsia="微软雅黑" w:hAnsi="微软雅黑" w:cs="微软雅黑"/>
          <w:noProof/>
          <w:spacing w:val="7"/>
          <w:lang w:eastAsia="zh-CN"/>
        </w:rPr>
        <w:t>50%</w:t>
      </w:r>
      <w:r w:rsidRPr="00506C79">
        <w:rPr>
          <w:rFonts w:ascii="微软雅黑" w:eastAsia="微软雅黑" w:hAnsi="微软雅黑" w:cs="微软雅黑" w:hint="eastAsia"/>
          <w:noProof/>
          <w:spacing w:val="7"/>
          <w:lang w:eastAsia="zh-CN"/>
        </w:rPr>
        <w:t>，较前四周均值减少</w:t>
      </w:r>
      <w:r w:rsidRPr="00506C79">
        <w:rPr>
          <w:rFonts w:ascii="微软雅黑" w:eastAsia="微软雅黑" w:hAnsi="微软雅黑" w:cs="微软雅黑"/>
          <w:noProof/>
          <w:spacing w:val="7"/>
          <w:lang w:eastAsia="zh-CN"/>
        </w:rPr>
        <w:t>41%</w:t>
      </w:r>
      <w:r w:rsidRPr="00506C79">
        <w:rPr>
          <w:rFonts w:ascii="微软雅黑" w:eastAsia="微软雅黑" w:hAnsi="微软雅黑" w:cs="微软雅黑" w:hint="eastAsia"/>
          <w:noProof/>
          <w:spacing w:val="7"/>
          <w:lang w:eastAsia="zh-CN"/>
        </w:rPr>
        <w:t>。</w:t>
      </w:r>
      <w:r w:rsidRPr="00506C79">
        <w:rPr>
          <w:rFonts w:ascii="微软雅黑" w:eastAsia="微软雅黑" w:hAnsi="微软雅黑" w:cs="微软雅黑"/>
          <w:noProof/>
          <w:spacing w:val="7"/>
          <w:lang w:eastAsia="zh-CN"/>
        </w:rPr>
        <w:t>2025/26</w:t>
      </w:r>
      <w:r w:rsidRPr="00506C79">
        <w:rPr>
          <w:rFonts w:ascii="微软雅黑" w:eastAsia="微软雅黑" w:hAnsi="微软雅黑" w:cs="微软雅黑" w:hint="eastAsia"/>
          <w:noProof/>
          <w:spacing w:val="7"/>
          <w:lang w:eastAsia="zh-CN"/>
        </w:rPr>
        <w:t>年度美国陆地棉出口装运量</w:t>
      </w:r>
      <w:r w:rsidRPr="00506C79">
        <w:rPr>
          <w:rFonts w:ascii="微软雅黑" w:eastAsia="微软雅黑" w:hAnsi="微软雅黑" w:cs="微软雅黑"/>
          <w:noProof/>
          <w:spacing w:val="7"/>
          <w:lang w:eastAsia="zh-CN"/>
        </w:rPr>
        <w:t>30.5</w:t>
      </w:r>
      <w:r w:rsidRPr="00506C79">
        <w:rPr>
          <w:rFonts w:ascii="微软雅黑" w:eastAsia="微软雅黑" w:hAnsi="微软雅黑" w:cs="微软雅黑" w:hint="eastAsia"/>
          <w:noProof/>
          <w:spacing w:val="7"/>
          <w:lang w:eastAsia="zh-CN"/>
        </w:rPr>
        <w:t>万包，较前周减少</w:t>
      </w:r>
      <w:r w:rsidRPr="00506C79">
        <w:rPr>
          <w:rFonts w:ascii="微软雅黑" w:eastAsia="微软雅黑" w:hAnsi="微软雅黑" w:cs="微软雅黑"/>
          <w:noProof/>
          <w:spacing w:val="7"/>
          <w:lang w:eastAsia="zh-CN"/>
        </w:rPr>
        <w:t>11%</w:t>
      </w:r>
      <w:r w:rsidRPr="00506C79">
        <w:rPr>
          <w:rFonts w:ascii="微软雅黑" w:eastAsia="微软雅黑" w:hAnsi="微软雅黑" w:cs="微软雅黑" w:hint="eastAsia"/>
          <w:noProof/>
          <w:spacing w:val="7"/>
          <w:lang w:eastAsia="zh-CN"/>
        </w:rPr>
        <w:t>，较前四周平均水平减少</w:t>
      </w:r>
      <w:r w:rsidRPr="00506C79">
        <w:rPr>
          <w:rFonts w:ascii="微软雅黑" w:eastAsia="微软雅黑" w:hAnsi="微软雅黑" w:cs="微软雅黑"/>
          <w:noProof/>
          <w:spacing w:val="7"/>
          <w:lang w:eastAsia="zh-CN"/>
        </w:rPr>
        <w:t>11%</w:t>
      </w:r>
      <w:r w:rsidRPr="00506C79">
        <w:rPr>
          <w:rFonts w:ascii="微软雅黑" w:eastAsia="微软雅黑" w:hAnsi="微软雅黑" w:cs="微软雅黑" w:hint="eastAsia"/>
          <w:noProof/>
          <w:spacing w:val="7"/>
          <w:lang w:eastAsia="zh-CN"/>
        </w:rPr>
        <w:t>。当周美国棉花出口签约量、装船量减少。</w:t>
      </w:r>
    </w:p>
    <w:p w14:paraId="722F5E7C" w14:textId="17074CD9" w:rsidR="00944987" w:rsidRPr="00944987" w:rsidRDefault="00506C79" w:rsidP="00506C79">
      <w:pPr>
        <w:spacing w:before="103" w:line="256" w:lineRule="auto"/>
        <w:ind w:right="210" w:firstLine="448"/>
        <w:jc w:val="both"/>
        <w:rPr>
          <w:rFonts w:ascii="微软雅黑" w:eastAsia="微软雅黑" w:hAnsi="微软雅黑" w:cs="微软雅黑" w:hint="eastAsia"/>
          <w:noProof/>
          <w:spacing w:val="7"/>
          <w:lang w:eastAsia="zh-CN"/>
        </w:rPr>
      </w:pPr>
      <w:r w:rsidRPr="00506C79">
        <w:rPr>
          <w:rFonts w:ascii="微软雅黑" w:eastAsia="微软雅黑" w:hAnsi="微软雅黑" w:cs="微软雅黑" w:hint="eastAsia"/>
          <w:noProof/>
          <w:spacing w:val="7"/>
          <w:lang w:eastAsia="zh-CN"/>
        </w:rPr>
        <w:t>美棉主力价格关注上方压力</w:t>
      </w:r>
      <w:r w:rsidRPr="00506C79">
        <w:rPr>
          <w:rFonts w:ascii="微软雅黑" w:eastAsia="微软雅黑" w:hAnsi="微软雅黑" w:cs="微软雅黑"/>
          <w:noProof/>
          <w:spacing w:val="7"/>
          <w:lang w:eastAsia="zh-CN"/>
        </w:rPr>
        <w:t>88</w:t>
      </w:r>
      <w:r w:rsidRPr="00506C79">
        <w:rPr>
          <w:rFonts w:ascii="微软雅黑" w:eastAsia="微软雅黑" w:hAnsi="微软雅黑" w:cs="微软雅黑" w:hint="eastAsia"/>
          <w:noProof/>
          <w:spacing w:val="7"/>
          <w:lang w:eastAsia="zh-CN"/>
        </w:rPr>
        <w:t>美分</w:t>
      </w:r>
      <w:r w:rsidRPr="00506C79">
        <w:rPr>
          <w:rFonts w:ascii="微软雅黑" w:eastAsia="微软雅黑" w:hAnsi="微软雅黑" w:cs="微软雅黑"/>
          <w:noProof/>
          <w:spacing w:val="7"/>
          <w:lang w:eastAsia="zh-CN"/>
        </w:rPr>
        <w:t>/</w:t>
      </w:r>
      <w:r w:rsidRPr="00506C79">
        <w:rPr>
          <w:rFonts w:ascii="微软雅黑" w:eastAsia="微软雅黑" w:hAnsi="微软雅黑" w:cs="微软雅黑" w:hint="eastAsia"/>
          <w:noProof/>
          <w:spacing w:val="7"/>
          <w:lang w:eastAsia="zh-CN"/>
        </w:rPr>
        <w:t>磅，下方支撑</w:t>
      </w:r>
      <w:r w:rsidRPr="00506C79">
        <w:rPr>
          <w:rFonts w:ascii="微软雅黑" w:eastAsia="微软雅黑" w:hAnsi="微软雅黑" w:cs="微软雅黑"/>
          <w:noProof/>
          <w:spacing w:val="7"/>
          <w:lang w:eastAsia="zh-CN"/>
        </w:rPr>
        <w:t>72</w:t>
      </w:r>
      <w:r w:rsidRPr="00506C79">
        <w:rPr>
          <w:rFonts w:ascii="微软雅黑" w:eastAsia="微软雅黑" w:hAnsi="微软雅黑" w:cs="微软雅黑" w:hint="eastAsia"/>
          <w:noProof/>
          <w:spacing w:val="7"/>
          <w:lang w:eastAsia="zh-CN"/>
        </w:rPr>
        <w:t>美分</w:t>
      </w:r>
      <w:r w:rsidRPr="00506C79">
        <w:rPr>
          <w:rFonts w:ascii="微软雅黑" w:eastAsia="微软雅黑" w:hAnsi="微软雅黑" w:cs="微软雅黑"/>
          <w:noProof/>
          <w:spacing w:val="7"/>
          <w:lang w:eastAsia="zh-CN"/>
        </w:rPr>
        <w:t>/</w:t>
      </w:r>
      <w:r w:rsidRPr="00506C79">
        <w:rPr>
          <w:rFonts w:ascii="微软雅黑" w:eastAsia="微软雅黑" w:hAnsi="微软雅黑" w:cs="微软雅黑" w:hint="eastAsia"/>
          <w:noProof/>
          <w:spacing w:val="7"/>
          <w:lang w:eastAsia="zh-CN"/>
        </w:rPr>
        <w:t>磅。建议</w:t>
      </w:r>
      <w:r w:rsidRPr="00506C79">
        <w:rPr>
          <w:rFonts w:ascii="微软雅黑" w:eastAsia="微软雅黑" w:hAnsi="微软雅黑" w:cs="微软雅黑"/>
          <w:noProof/>
          <w:spacing w:val="7"/>
          <w:lang w:eastAsia="zh-CN"/>
        </w:rPr>
        <w:t xml:space="preserve"> ICE 7</w:t>
      </w:r>
      <w:r w:rsidRPr="00506C79">
        <w:rPr>
          <w:rFonts w:ascii="微软雅黑" w:eastAsia="微软雅黑" w:hAnsi="微软雅黑" w:cs="微软雅黑" w:hint="eastAsia"/>
          <w:noProof/>
          <w:spacing w:val="7"/>
          <w:lang w:eastAsia="zh-CN"/>
        </w:rPr>
        <w:t>月期棉短期逢回调买入多单思路对待</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12025AC8" w:rsidR="00C24CC6" w:rsidRDefault="00506C79" w:rsidP="00B44F00">
      <w:pPr>
        <w:spacing w:before="103" w:line="256" w:lineRule="auto"/>
        <w:ind w:right="210" w:firstLine="420"/>
        <w:jc w:val="center"/>
        <w:rPr>
          <w:rFonts w:ascii="微软雅黑" w:eastAsia="微软雅黑" w:hAnsi="微软雅黑" w:cs="微软雅黑" w:hint="eastAsia"/>
          <w:noProof/>
          <w:spacing w:val="7"/>
          <w:lang w:eastAsia="zh-CN"/>
        </w:rPr>
      </w:pPr>
      <w:r>
        <w:rPr>
          <w:noProof/>
        </w:rPr>
        <w:drawing>
          <wp:inline distT="0" distB="0" distL="0" distR="0" wp14:anchorId="3681F480" wp14:editId="7F6154FD">
            <wp:extent cx="5255895" cy="2146935"/>
            <wp:effectExtent l="0" t="0" r="1905" b="5715"/>
            <wp:docPr id="853393999" name="图片 6" descr="QQ截图2026042308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QQ截图202604230802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5895" cy="214693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lastRenderedPageBreak/>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158B7" w14:textId="77777777" w:rsidR="00153F3B" w:rsidRDefault="00153F3B">
      <w:pPr>
        <w:ind w:right="210" w:firstLine="420"/>
      </w:pPr>
      <w:r>
        <w:separator/>
      </w:r>
    </w:p>
  </w:endnote>
  <w:endnote w:type="continuationSeparator" w:id="0">
    <w:p w14:paraId="59EE0A11" w14:textId="77777777" w:rsidR="00153F3B" w:rsidRDefault="00153F3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4D8D0" w14:textId="77777777" w:rsidR="00153F3B" w:rsidRDefault="00153F3B">
      <w:pPr>
        <w:ind w:right="210" w:firstLine="420"/>
      </w:pPr>
      <w:r>
        <w:separator/>
      </w:r>
    </w:p>
  </w:footnote>
  <w:footnote w:type="continuationSeparator" w:id="0">
    <w:p w14:paraId="1C67B030" w14:textId="77777777" w:rsidR="00153F3B" w:rsidRDefault="00153F3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593916406"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948"/>
    <w:rsid w:val="00214B67"/>
    <w:rsid w:val="00216516"/>
    <w:rsid w:val="00216CCD"/>
    <w:rsid w:val="00216D52"/>
    <w:rsid w:val="00217C95"/>
    <w:rsid w:val="00220006"/>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2288"/>
    <w:rsid w:val="00B539F7"/>
    <w:rsid w:val="00B54085"/>
    <w:rsid w:val="00B54643"/>
    <w:rsid w:val="00B54B31"/>
    <w:rsid w:val="00B55A09"/>
    <w:rsid w:val="00B55B24"/>
    <w:rsid w:val="00B55E8F"/>
    <w:rsid w:val="00B56CF5"/>
    <w:rsid w:val="00B6096B"/>
    <w:rsid w:val="00B60A1E"/>
    <w:rsid w:val="00B60A6D"/>
    <w:rsid w:val="00B621A7"/>
    <w:rsid w:val="00B6439F"/>
    <w:rsid w:val="00B64755"/>
    <w:rsid w:val="00B679D2"/>
    <w:rsid w:val="00B67AFE"/>
    <w:rsid w:val="00B67EC5"/>
    <w:rsid w:val="00B7174B"/>
    <w:rsid w:val="00B71E12"/>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838</Words>
  <Characters>4781</Characters>
  <Application>Microsoft Office Word</Application>
  <DocSecurity>0</DocSecurity>
  <Lines>39</Lines>
  <Paragraphs>11</Paragraphs>
  <ScaleCrop>false</ScaleCrop>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2026-04-24T01:50:00Z</dcterms:created>
  <dcterms:modified xsi:type="dcterms:W3CDTF">2026-04-24T01:50:00Z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