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335DA9FD"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291822">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月</w:t>
      </w:r>
      <w:r w:rsidR="00291822">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7EEFB9F4" w14:textId="532D4C83" w:rsidR="007B3E0B" w:rsidRDefault="00291822"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291822">
        <w:rPr>
          <w:rFonts w:ascii="微软雅黑" w:eastAsia="微软雅黑" w:hAnsi="微软雅黑" w:cs="微软雅黑"/>
          <w:spacing w:val="12"/>
          <w:lang w:eastAsia="zh-CN"/>
        </w:rPr>
        <w:t>美国三大股指全线收涨，道指涨0.73%报49298.25点，</w:t>
      </w:r>
      <w:proofErr w:type="gramStart"/>
      <w:r w:rsidRPr="00291822">
        <w:rPr>
          <w:rFonts w:ascii="微软雅黑" w:eastAsia="微软雅黑" w:hAnsi="微软雅黑" w:cs="微软雅黑"/>
          <w:spacing w:val="12"/>
          <w:lang w:eastAsia="zh-CN"/>
        </w:rPr>
        <w:t>标普</w:t>
      </w:r>
      <w:proofErr w:type="gramEnd"/>
      <w:r w:rsidRPr="00291822">
        <w:rPr>
          <w:rFonts w:ascii="微软雅黑" w:eastAsia="微软雅黑" w:hAnsi="微软雅黑" w:cs="微软雅黑"/>
          <w:spacing w:val="12"/>
          <w:lang w:eastAsia="zh-CN"/>
        </w:rPr>
        <w:t>500指数涨0.81%报7259.22点，</w:t>
      </w:r>
      <w:proofErr w:type="gramStart"/>
      <w:r w:rsidRPr="00291822">
        <w:rPr>
          <w:rFonts w:ascii="微软雅黑" w:eastAsia="微软雅黑" w:hAnsi="微软雅黑" w:cs="微软雅黑"/>
          <w:spacing w:val="12"/>
          <w:lang w:eastAsia="zh-CN"/>
        </w:rPr>
        <w:t>纳指涨</w:t>
      </w:r>
      <w:proofErr w:type="gramEnd"/>
      <w:r w:rsidRPr="00291822">
        <w:rPr>
          <w:rFonts w:ascii="微软雅黑" w:eastAsia="微软雅黑" w:hAnsi="微软雅黑" w:cs="微软雅黑"/>
          <w:spacing w:val="12"/>
          <w:lang w:eastAsia="zh-CN"/>
        </w:rPr>
        <w:t>1.03%报25326.13点</w:t>
      </w:r>
      <w:r w:rsidR="00257AE9" w:rsidRPr="007C19C6">
        <w:rPr>
          <w:rFonts w:ascii="微软雅黑" w:eastAsia="微软雅黑" w:hAnsi="微软雅黑" w:cs="微软雅黑"/>
          <w:spacing w:val="12"/>
          <w:lang w:eastAsia="zh-CN"/>
        </w:rPr>
        <w:t>。</w:t>
      </w:r>
      <w:r w:rsidRPr="00291822">
        <w:rPr>
          <w:rFonts w:ascii="微软雅黑" w:eastAsia="微软雅黑" w:hAnsi="微软雅黑" w:cs="微软雅黑"/>
          <w:spacing w:val="12"/>
          <w:lang w:eastAsia="zh-CN"/>
        </w:rPr>
        <w:t>美元指数涨0.03%报98.50，非美货币多数上涨，欧元兑美元涨0.01%报1.1693，英镑兑美元涨0.05%报1.3538，澳元兑美元涨0.22%报0.7183，美元兑日元涨0.41%报157.8945，离岸人民币对美元涨34个基点报6.8279</w:t>
      </w:r>
      <w:r w:rsidR="00257AE9" w:rsidRPr="007C19C6">
        <w:rPr>
          <w:rFonts w:ascii="微软雅黑" w:eastAsia="微软雅黑" w:hAnsi="微软雅黑" w:cs="微软雅黑"/>
          <w:spacing w:val="12"/>
          <w:lang w:eastAsia="zh-CN"/>
        </w:rPr>
        <w:t>。</w:t>
      </w:r>
      <w:r w:rsidR="009A23B2" w:rsidRPr="009A23B2">
        <w:rPr>
          <w:rFonts w:ascii="微软雅黑" w:eastAsia="微软雅黑" w:hAnsi="微软雅黑" w:cs="微软雅黑"/>
          <w:spacing w:val="12"/>
          <w:lang w:eastAsia="zh-CN"/>
        </w:rPr>
        <w:t>国际贵金属期货收盘涨跌不一，COMEX黄金期货涨0.76%报4567.80美元/盎司，COMEX白银期货跌0.35%报73.27美元/盎司。</w:t>
      </w:r>
      <w:proofErr w:type="gramStart"/>
      <w:r w:rsidR="009A23B2" w:rsidRPr="009A23B2">
        <w:rPr>
          <w:rFonts w:ascii="微软雅黑" w:eastAsia="微软雅黑" w:hAnsi="微软雅黑" w:cs="微软雅黑"/>
          <w:spacing w:val="12"/>
          <w:lang w:eastAsia="zh-CN"/>
        </w:rPr>
        <w:t>美油主力合约收跌</w:t>
      </w:r>
      <w:proofErr w:type="gramEnd"/>
      <w:r w:rsidR="009A23B2" w:rsidRPr="009A23B2">
        <w:rPr>
          <w:rFonts w:ascii="微软雅黑" w:eastAsia="微软雅黑" w:hAnsi="微软雅黑" w:cs="微软雅黑"/>
          <w:spacing w:val="12"/>
          <w:lang w:eastAsia="zh-CN"/>
        </w:rPr>
        <w:t>3.51%，报102.68美元/桶；</w:t>
      </w:r>
      <w:proofErr w:type="gramStart"/>
      <w:r w:rsidR="009A23B2" w:rsidRPr="009A23B2">
        <w:rPr>
          <w:rFonts w:ascii="微软雅黑" w:eastAsia="微软雅黑" w:hAnsi="微软雅黑" w:cs="微软雅黑"/>
          <w:spacing w:val="12"/>
          <w:lang w:eastAsia="zh-CN"/>
        </w:rPr>
        <w:t>布油主力</w:t>
      </w:r>
      <w:proofErr w:type="gramEnd"/>
      <w:r w:rsidR="009A23B2" w:rsidRPr="009A23B2">
        <w:rPr>
          <w:rFonts w:ascii="微软雅黑" w:eastAsia="微软雅黑" w:hAnsi="微软雅黑" w:cs="微软雅黑"/>
          <w:spacing w:val="12"/>
          <w:lang w:eastAsia="zh-CN"/>
        </w:rPr>
        <w:t>合约跌3.61%，报110.31美元/桶。</w:t>
      </w:r>
      <w:r w:rsidR="007B3E0B" w:rsidRPr="00426F5F">
        <w:rPr>
          <w:rFonts w:ascii="微软雅黑" w:eastAsia="微软雅黑" w:hAnsi="微软雅黑" w:cs="微软雅黑"/>
          <w:spacing w:val="12"/>
          <w:lang w:eastAsia="zh-CN"/>
        </w:rPr>
        <w:t>ICE</w:t>
      </w:r>
      <w:r w:rsidR="007B3E0B" w:rsidRPr="00426F5F">
        <w:rPr>
          <w:rFonts w:ascii="微软雅黑" w:eastAsia="微软雅黑" w:hAnsi="微软雅黑" w:cs="微软雅黑" w:hint="eastAsia"/>
          <w:spacing w:val="12"/>
          <w:lang w:eastAsia="zh-CN"/>
        </w:rPr>
        <w:t>原糖主</w:t>
      </w:r>
      <w:r w:rsidR="007B3E0B" w:rsidRPr="00653A5D">
        <w:rPr>
          <w:rFonts w:ascii="微软雅黑" w:eastAsia="微软雅黑" w:hAnsi="微软雅黑" w:cs="微软雅黑" w:hint="eastAsia"/>
          <w:spacing w:val="12"/>
          <w:lang w:eastAsia="zh-CN"/>
        </w:rPr>
        <w:t>力合约</w:t>
      </w:r>
      <w:r w:rsidR="004F73E0">
        <w:rPr>
          <w:rFonts w:ascii="微软雅黑" w:eastAsia="微软雅黑" w:hAnsi="微软雅黑" w:cs="微软雅黑" w:hint="eastAsia"/>
          <w:spacing w:val="12"/>
          <w:lang w:eastAsia="zh-CN"/>
        </w:rPr>
        <w:t>涨</w:t>
      </w:r>
      <w:r w:rsidR="009A23B2">
        <w:rPr>
          <w:rFonts w:ascii="微软雅黑" w:eastAsia="微软雅黑" w:hAnsi="微软雅黑" w:cs="微软雅黑" w:hint="eastAsia"/>
          <w:spacing w:val="12"/>
          <w:lang w:eastAsia="zh-CN"/>
        </w:rPr>
        <w:t>0.52</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7B3E0B" w:rsidRPr="00653A5D">
        <w:rPr>
          <w:rFonts w:ascii="微软雅黑" w:eastAsia="微软雅黑" w:hAnsi="微软雅黑" w:cs="微软雅黑"/>
          <w:spacing w:val="12"/>
          <w:lang w:eastAsia="zh-CN"/>
        </w:rPr>
        <w:t>1</w:t>
      </w:r>
      <w:r w:rsidR="009A23B2">
        <w:rPr>
          <w:rFonts w:ascii="微软雅黑" w:eastAsia="微软雅黑" w:hAnsi="微软雅黑" w:cs="微软雅黑" w:hint="eastAsia"/>
          <w:spacing w:val="12"/>
          <w:lang w:eastAsia="zh-CN"/>
        </w:rPr>
        <w:t>5.37</w:t>
      </w:r>
      <w:r w:rsidR="007B3E0B" w:rsidRPr="00653A5D">
        <w:rPr>
          <w:rFonts w:ascii="微软雅黑" w:eastAsia="微软雅黑" w:hAnsi="微软雅黑" w:cs="微软雅黑" w:hint="eastAsia"/>
          <w:spacing w:val="12"/>
          <w:lang w:eastAsia="zh-CN"/>
        </w:rPr>
        <w:t>美分</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磅，</w:t>
      </w:r>
      <w:r w:rsidR="007B3E0B" w:rsidRPr="00653A5D">
        <w:rPr>
          <w:rFonts w:ascii="微软雅黑" w:eastAsia="微软雅黑" w:hAnsi="微软雅黑" w:cs="微软雅黑"/>
          <w:spacing w:val="12"/>
          <w:lang w:eastAsia="zh-CN"/>
        </w:rPr>
        <w:t>ICE</w:t>
      </w:r>
      <w:r w:rsidR="007B3E0B" w:rsidRPr="00653A5D">
        <w:rPr>
          <w:rFonts w:ascii="微软雅黑" w:eastAsia="微软雅黑" w:hAnsi="微软雅黑" w:cs="微软雅黑" w:hint="eastAsia"/>
          <w:spacing w:val="12"/>
          <w:lang w:eastAsia="zh-CN"/>
        </w:rPr>
        <w:t>棉花主力合约</w:t>
      </w:r>
      <w:r w:rsidR="009A23B2">
        <w:rPr>
          <w:rFonts w:ascii="微软雅黑" w:eastAsia="微软雅黑" w:hAnsi="微软雅黑" w:cs="微软雅黑" w:hint="eastAsia"/>
          <w:spacing w:val="12"/>
          <w:lang w:eastAsia="zh-CN"/>
        </w:rPr>
        <w:t>涨3.29</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9A23B2">
        <w:rPr>
          <w:rFonts w:ascii="微软雅黑" w:eastAsia="微软雅黑" w:hAnsi="微软雅黑" w:cs="微软雅黑" w:hint="eastAsia"/>
          <w:spacing w:val="12"/>
          <w:lang w:eastAsia="zh-CN"/>
        </w:rPr>
        <w:t>83.23</w:t>
      </w:r>
      <w:r w:rsidR="00451F4B" w:rsidRPr="00653A5D">
        <w:rPr>
          <w:rFonts w:ascii="微软雅黑" w:eastAsia="微软雅黑" w:hAnsi="微软雅黑" w:cs="微软雅黑" w:hint="eastAsia"/>
          <w:spacing w:val="12"/>
          <w:lang w:eastAsia="zh-CN"/>
        </w:rPr>
        <w:t>/</w:t>
      </w:r>
      <w:r w:rsidR="007B3E0B" w:rsidRPr="00653A5D">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7F7B51E8" w:rsidR="00557736" w:rsidRPr="0022448B" w:rsidRDefault="00291822"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1A74AE33" wp14:editId="38E48000">
            <wp:extent cx="5839150" cy="4012206"/>
            <wp:effectExtent l="0" t="0" r="0" b="7620"/>
            <wp:docPr id="20486923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6600" cy="4017325"/>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535C52D" w14:textId="3C66E46A" w:rsidR="00B539F7" w:rsidRPr="00257AE9" w:rsidRDefault="00B539F7" w:rsidP="00B539F7">
      <w:pPr>
        <w:spacing w:before="102" w:line="257" w:lineRule="auto"/>
        <w:ind w:right="210" w:firstLine="436"/>
        <w:jc w:val="both"/>
        <w:rPr>
          <w:rFonts w:ascii="微软雅黑" w:eastAsia="微软雅黑" w:hAnsi="微软雅黑" w:cs="微软雅黑" w:hint="eastAsia"/>
          <w:color w:val="auto"/>
          <w:spacing w:val="4"/>
          <w:lang w:eastAsia="zh-CN"/>
        </w:rPr>
      </w:pPr>
      <w:r w:rsidRPr="00E96B67">
        <w:rPr>
          <w:rFonts w:ascii="微软雅黑" w:eastAsia="微软雅黑" w:hAnsi="微软雅黑" w:cs="微软雅黑" w:hint="eastAsia"/>
          <w:color w:val="auto"/>
          <w:spacing w:val="4"/>
          <w:sz w:val="22"/>
          <w:szCs w:val="22"/>
          <w:lang w:eastAsia="zh-CN"/>
        </w:rPr>
        <w:t>【</w:t>
      </w:r>
      <w:r w:rsidR="009A23B2" w:rsidRPr="009A23B2">
        <w:rPr>
          <w:rFonts w:ascii="微软雅黑" w:eastAsia="微软雅黑" w:hAnsi="微软雅黑" w:cs="微软雅黑"/>
          <w:color w:val="auto"/>
          <w:spacing w:val="4"/>
          <w:lang w:eastAsia="zh-CN"/>
        </w:rPr>
        <w:t>美国国务卿鲁比奥在媒体简报会上称，美军正在霍尔木兹海峡推进“自由计划”疏导行动，以恢复这一关键国际水道的航行自由。他表示，此次行动属于“防御性行动”，美方不会主动开火，但若遭攻击将进行“致命回应”。美方目标是确保航道开放、取消布雷与收费行为。在经济层面，鲁比奥表示，美国正同步推进对伊朗“极限施压”，包括强化制裁与封锁措施。鲁比奥表示，美国总统特朗普仍倾向通过外交途径解决问题。美国今年2月底对伊朗发动的“史诗怒火”军事行动已经结束。</w:t>
      </w:r>
      <w:r w:rsidRPr="00257AE9">
        <w:rPr>
          <w:rFonts w:ascii="微软雅黑" w:eastAsia="微软雅黑" w:hAnsi="微软雅黑" w:cs="微软雅黑" w:hint="eastAsia"/>
          <w:color w:val="auto"/>
          <w:spacing w:val="4"/>
          <w:lang w:eastAsia="zh-CN"/>
        </w:rPr>
        <w:t>】</w:t>
      </w:r>
    </w:p>
    <w:p w14:paraId="68EDC742" w14:textId="0189AE3D" w:rsidR="00D16A8F" w:rsidRPr="00257AE9" w:rsidRDefault="00B539F7" w:rsidP="00EE78C7">
      <w:pPr>
        <w:spacing w:before="102" w:line="257" w:lineRule="auto"/>
        <w:ind w:right="210" w:firstLine="436"/>
        <w:jc w:val="both"/>
        <w:rPr>
          <w:rFonts w:ascii="微软雅黑" w:eastAsia="微软雅黑" w:hAnsi="微软雅黑" w:cs="微软雅黑" w:hint="eastAsia"/>
          <w:color w:val="auto"/>
          <w:spacing w:val="4"/>
          <w:lang w:eastAsia="zh-CN"/>
        </w:rPr>
      </w:pPr>
      <w:r w:rsidRPr="00257AE9">
        <w:rPr>
          <w:rFonts w:ascii="微软雅黑" w:eastAsia="微软雅黑" w:hAnsi="微软雅黑" w:cs="微软雅黑" w:hint="eastAsia"/>
          <w:color w:val="auto"/>
          <w:spacing w:val="4"/>
          <w:lang w:eastAsia="zh-CN"/>
        </w:rPr>
        <w:lastRenderedPageBreak/>
        <w:t>【</w:t>
      </w:r>
      <w:r w:rsidR="009A23B2" w:rsidRPr="009A23B2">
        <w:rPr>
          <w:rFonts w:ascii="微软雅黑" w:eastAsia="微软雅黑" w:hAnsi="微软雅黑" w:cs="微软雅黑"/>
          <w:color w:val="auto"/>
          <w:spacing w:val="4"/>
          <w:lang w:eastAsia="zh-CN"/>
        </w:rPr>
        <w:t>以色列消息人士称，随着霍尔木兹海峡紧张局势升级，以色列正与美国协调，“为可能对伊朗发动的新一轮打击”做准备，但是否恢复打击仍取决于美国总统特朗普。与此同时，特朗普拒绝谈论伊朗方面究竟何种行为将被视为违反美伊停火协议。美国军方则表示，随时准备好恢复对伊朗大规模作战，但伊朗袭击尚未达到重启门槛；鉴于停火状态仍在维持，特朗普无需寻求国会批准即可继续对伊军事行动。</w:t>
      </w:r>
      <w:r w:rsidRPr="00257AE9">
        <w:rPr>
          <w:rFonts w:ascii="微软雅黑" w:eastAsia="微软雅黑" w:hAnsi="微软雅黑" w:cs="微软雅黑" w:hint="eastAsia"/>
          <w:color w:val="auto"/>
          <w:spacing w:val="4"/>
          <w:lang w:eastAsia="zh-CN"/>
        </w:rPr>
        <w:t>】</w:t>
      </w:r>
    </w:p>
    <w:p w14:paraId="7762039C" w14:textId="64556433" w:rsidR="008A04B9" w:rsidRPr="00257AE9" w:rsidRDefault="008A04B9" w:rsidP="008A04B9">
      <w:pPr>
        <w:spacing w:before="102" w:line="257" w:lineRule="auto"/>
        <w:ind w:right="210" w:firstLine="436"/>
        <w:jc w:val="both"/>
        <w:rPr>
          <w:rFonts w:ascii="微软雅黑" w:eastAsia="微软雅黑" w:hAnsi="微软雅黑" w:cs="微软雅黑" w:hint="eastAsia"/>
          <w:color w:val="auto"/>
          <w:spacing w:val="4"/>
          <w:lang w:eastAsia="zh-CN"/>
        </w:rPr>
      </w:pPr>
      <w:r w:rsidRPr="00257AE9">
        <w:rPr>
          <w:rFonts w:ascii="微软雅黑" w:eastAsia="微软雅黑" w:hAnsi="微软雅黑" w:cs="微软雅黑" w:hint="eastAsia"/>
          <w:color w:val="auto"/>
          <w:spacing w:val="4"/>
          <w:lang w:eastAsia="zh-CN"/>
        </w:rPr>
        <w:t>【</w:t>
      </w:r>
      <w:r w:rsidR="009A23B2" w:rsidRPr="009A23B2">
        <w:rPr>
          <w:rFonts w:ascii="微软雅黑" w:eastAsia="微软雅黑" w:hAnsi="微软雅黑" w:cs="微软雅黑"/>
          <w:color w:val="auto"/>
          <w:spacing w:val="4"/>
          <w:lang w:eastAsia="zh-CN"/>
        </w:rPr>
        <w:t>据伊朗新闻电视台报道，伊朗已启动一项新的海上通行管理机制，对霍尔木兹海峡过往船只实施统一管理。根据新机制，所有计划通过霍尔木兹海峡的船只将通过官方邮箱接收通行规则及相关规定。消息人士称，船只需根据这一框架调整其航行操作，并在通过霍尔木兹海峡前获得通行许可。目前这一新的管理机制已施行。</w:t>
      </w:r>
      <w:r w:rsidRPr="00257AE9">
        <w:rPr>
          <w:rFonts w:ascii="微软雅黑" w:eastAsia="微软雅黑" w:hAnsi="微软雅黑" w:cs="微软雅黑" w:hint="eastAsia"/>
          <w:color w:val="auto"/>
          <w:spacing w:val="4"/>
          <w:lang w:eastAsia="zh-CN"/>
        </w:rPr>
        <w:t>】</w:t>
      </w:r>
    </w:p>
    <w:p w14:paraId="02B52CC8" w14:textId="4EA145C0" w:rsidR="005754B9" w:rsidRPr="00257AE9" w:rsidRDefault="005754B9" w:rsidP="008A04B9">
      <w:pPr>
        <w:spacing w:before="102" w:line="257" w:lineRule="auto"/>
        <w:ind w:right="210" w:firstLine="436"/>
        <w:jc w:val="both"/>
        <w:rPr>
          <w:rFonts w:ascii="微软雅黑" w:eastAsia="微软雅黑" w:hAnsi="微软雅黑" w:cs="微软雅黑" w:hint="eastAsia"/>
          <w:color w:val="auto"/>
          <w:spacing w:val="4"/>
          <w:lang w:eastAsia="zh-CN"/>
        </w:rPr>
      </w:pPr>
      <w:r w:rsidRPr="00257AE9">
        <w:rPr>
          <w:rFonts w:ascii="微软雅黑" w:eastAsia="微软雅黑" w:hAnsi="微软雅黑" w:cs="微软雅黑" w:hint="eastAsia"/>
          <w:color w:val="auto"/>
          <w:spacing w:val="4"/>
          <w:lang w:eastAsia="zh-CN"/>
        </w:rPr>
        <w:t>【</w:t>
      </w:r>
      <w:r w:rsidR="009A23B2" w:rsidRPr="009A23B2">
        <w:rPr>
          <w:rFonts w:ascii="微软雅黑" w:eastAsia="微软雅黑" w:hAnsi="微软雅黑" w:cs="微软雅黑"/>
          <w:color w:val="auto"/>
          <w:spacing w:val="4"/>
          <w:lang w:eastAsia="zh-CN"/>
        </w:rPr>
        <w:t>伊朗总统办公室官员否认有关伊朗总统佩泽希齐扬可能辞职的传闻，称当前局势下并不存在考虑此类问题的必要性。相关说法为部分媒体在缺乏话题情况下制造的谣言。</w:t>
      </w:r>
      <w:r w:rsidRPr="00257AE9">
        <w:rPr>
          <w:rFonts w:ascii="微软雅黑" w:eastAsia="微软雅黑" w:hAnsi="微软雅黑" w:cs="微软雅黑" w:hint="eastAsia"/>
          <w:color w:val="auto"/>
          <w:spacing w:val="4"/>
          <w:lang w:eastAsia="zh-CN"/>
        </w:rPr>
        <w:t>】</w:t>
      </w:r>
    </w:p>
    <w:p w14:paraId="345F614C" w14:textId="66043A9B" w:rsidR="001566D0" w:rsidRPr="00257AE9" w:rsidRDefault="00BB0447" w:rsidP="00A209AB">
      <w:pPr>
        <w:spacing w:before="102" w:line="257" w:lineRule="auto"/>
        <w:ind w:right="210" w:firstLine="436"/>
        <w:jc w:val="both"/>
        <w:rPr>
          <w:rFonts w:ascii="微软雅黑" w:eastAsia="微软雅黑" w:hAnsi="微软雅黑" w:cs="微软雅黑" w:hint="eastAsia"/>
          <w:color w:val="auto"/>
          <w:spacing w:val="4"/>
          <w:lang w:eastAsia="zh-CN"/>
        </w:rPr>
      </w:pPr>
      <w:r w:rsidRPr="00257AE9">
        <w:rPr>
          <w:rFonts w:ascii="微软雅黑" w:eastAsia="微软雅黑" w:hAnsi="微软雅黑" w:cs="微软雅黑" w:hint="eastAsia"/>
          <w:color w:val="auto"/>
          <w:spacing w:val="4"/>
          <w:lang w:eastAsia="zh-CN"/>
        </w:rPr>
        <w:t>【</w:t>
      </w:r>
      <w:r w:rsidR="009A23B2" w:rsidRPr="009A23B2">
        <w:rPr>
          <w:rFonts w:ascii="微软雅黑" w:eastAsia="微软雅黑" w:hAnsi="微软雅黑" w:cs="微软雅黑"/>
          <w:color w:val="auto"/>
          <w:spacing w:val="4"/>
          <w:lang w:eastAsia="zh-CN"/>
        </w:rPr>
        <w:t>巴基斯坦副总理兼外交部长达尔表示，巴方正持续努力调解结束美伊冲突，并相信能够取得“重大进展”。伊朗外交部发言人巴加埃就当前伊美谈判进程表示，伊朗决定不在难以达成协议的问题上浪费时间，当前优先事项是聚焦结束战争，敦促美方在外交问题上“展现善意”。</w:t>
      </w:r>
      <w:r w:rsidRPr="00257AE9">
        <w:rPr>
          <w:rFonts w:ascii="微软雅黑" w:eastAsia="微软雅黑" w:hAnsi="微软雅黑" w:cs="微软雅黑" w:hint="eastAsia"/>
          <w:color w:val="auto"/>
          <w:spacing w:val="4"/>
          <w:lang w:eastAsia="zh-CN"/>
        </w:rPr>
        <w:t>】</w:t>
      </w:r>
    </w:p>
    <w:p w14:paraId="16D7080B" w14:textId="25026F47" w:rsidR="004F73E0" w:rsidRPr="00257AE9" w:rsidRDefault="004F73E0" w:rsidP="00A209AB">
      <w:pPr>
        <w:spacing w:before="102" w:line="257" w:lineRule="auto"/>
        <w:ind w:right="210" w:firstLine="436"/>
        <w:jc w:val="both"/>
        <w:rPr>
          <w:rFonts w:ascii="微软雅黑" w:eastAsia="微软雅黑" w:hAnsi="微软雅黑" w:cs="微软雅黑" w:hint="eastAsia"/>
          <w:color w:val="auto"/>
          <w:spacing w:val="4"/>
          <w:lang w:eastAsia="zh-CN"/>
        </w:rPr>
      </w:pPr>
      <w:r w:rsidRPr="00257AE9">
        <w:rPr>
          <w:rFonts w:ascii="微软雅黑" w:eastAsia="微软雅黑" w:hAnsi="微软雅黑" w:cs="微软雅黑" w:hint="eastAsia"/>
          <w:color w:val="auto"/>
          <w:spacing w:val="4"/>
          <w:lang w:eastAsia="zh-CN"/>
        </w:rPr>
        <w:t>【</w:t>
      </w:r>
      <w:r w:rsidR="009A23B2" w:rsidRPr="009A23B2">
        <w:rPr>
          <w:rFonts w:ascii="微软雅黑" w:eastAsia="微软雅黑" w:hAnsi="微软雅黑" w:cs="微软雅黑"/>
          <w:color w:val="auto"/>
          <w:spacing w:val="4"/>
          <w:lang w:eastAsia="zh-CN"/>
        </w:rPr>
        <w:t>美国3月贸易逆差小幅扩大至603亿美元，为连续第二个月环比增加，但低于市场预期的610亿美元。当月进口额环比增长2.3%，出口额增长2%。美国3月对华商品贸易逆差连续第三个月扩大，对加拿大和越南贸易逆差也有所扩大。</w:t>
      </w:r>
      <w:r w:rsidRPr="00257AE9">
        <w:rPr>
          <w:rFonts w:ascii="微软雅黑" w:eastAsia="微软雅黑" w:hAnsi="微软雅黑" w:cs="微软雅黑" w:hint="eastAsia"/>
          <w:color w:val="auto"/>
          <w:spacing w:val="4"/>
          <w:lang w:eastAsia="zh-CN"/>
        </w:rPr>
        <w:t>】</w:t>
      </w:r>
    </w:p>
    <w:p w14:paraId="7C87F714" w14:textId="2B586E24" w:rsidR="004F73E0" w:rsidRPr="00257AE9" w:rsidRDefault="004F73E0" w:rsidP="00A209AB">
      <w:pPr>
        <w:spacing w:before="102" w:line="257" w:lineRule="auto"/>
        <w:ind w:right="210" w:firstLine="436"/>
        <w:jc w:val="both"/>
        <w:rPr>
          <w:rFonts w:ascii="微软雅黑" w:eastAsia="微软雅黑" w:hAnsi="微软雅黑" w:cs="微软雅黑" w:hint="eastAsia"/>
          <w:color w:val="auto"/>
          <w:spacing w:val="4"/>
          <w:lang w:eastAsia="zh-CN"/>
        </w:rPr>
      </w:pPr>
      <w:r w:rsidRPr="00257AE9">
        <w:rPr>
          <w:rFonts w:ascii="微软雅黑" w:eastAsia="微软雅黑" w:hAnsi="微软雅黑" w:cs="微软雅黑" w:hint="eastAsia"/>
          <w:color w:val="auto"/>
          <w:spacing w:val="4"/>
          <w:lang w:eastAsia="zh-CN"/>
        </w:rPr>
        <w:t>【</w:t>
      </w:r>
      <w:r w:rsidR="009A23B2" w:rsidRPr="009A23B2">
        <w:rPr>
          <w:rFonts w:ascii="微软雅黑" w:eastAsia="微软雅黑" w:hAnsi="微软雅黑" w:cs="微软雅黑"/>
          <w:color w:val="auto"/>
          <w:spacing w:val="4"/>
          <w:lang w:eastAsia="zh-CN"/>
        </w:rPr>
        <w:t>美国4月ISM服务业PMI从前值54降至53.6。新订单指数下降7.1至53.5，为2023年3月以来最大降幅。物价指数持平于70.7，处于2022年10月以来的高位。美国4月标普全球服务业PMI终值51，前值49.8。</w:t>
      </w:r>
      <w:r w:rsidRPr="00257AE9">
        <w:rPr>
          <w:rFonts w:ascii="微软雅黑" w:eastAsia="微软雅黑" w:hAnsi="微软雅黑" w:cs="微软雅黑" w:hint="eastAsia"/>
          <w:color w:val="auto"/>
          <w:spacing w:val="4"/>
          <w:lang w:eastAsia="zh-CN"/>
        </w:rPr>
        <w:t>】</w:t>
      </w:r>
    </w:p>
    <w:p w14:paraId="0814CB61" w14:textId="1CE6C4D3" w:rsidR="004F73E0" w:rsidRPr="00257AE9" w:rsidRDefault="004F73E0" w:rsidP="00A209AB">
      <w:pPr>
        <w:spacing w:before="102" w:line="257" w:lineRule="auto"/>
        <w:ind w:right="210" w:firstLine="436"/>
        <w:jc w:val="both"/>
        <w:rPr>
          <w:rFonts w:ascii="微软雅黑" w:eastAsia="微软雅黑" w:hAnsi="微软雅黑" w:cs="微软雅黑" w:hint="eastAsia"/>
          <w:color w:val="auto"/>
          <w:spacing w:val="4"/>
          <w:lang w:eastAsia="zh-CN"/>
        </w:rPr>
      </w:pPr>
      <w:r w:rsidRPr="00257AE9">
        <w:rPr>
          <w:rFonts w:ascii="微软雅黑" w:eastAsia="微软雅黑" w:hAnsi="微软雅黑" w:cs="微软雅黑" w:hint="eastAsia"/>
          <w:color w:val="auto"/>
          <w:spacing w:val="4"/>
          <w:lang w:eastAsia="zh-CN"/>
        </w:rPr>
        <w:t>【</w:t>
      </w:r>
      <w:r w:rsidR="009A23B2" w:rsidRPr="009A23B2">
        <w:rPr>
          <w:rFonts w:ascii="微软雅黑" w:eastAsia="微软雅黑" w:hAnsi="微软雅黑" w:cs="微软雅黑"/>
          <w:color w:val="auto"/>
          <w:spacing w:val="4"/>
          <w:lang w:eastAsia="zh-CN"/>
        </w:rPr>
        <w:t>美国3月JOLTs职位空缺686.6万个，市场预期683.5万个，前值由688.2万修正为692.2万。招聘率从2月创下的2020年疫情暴发以来最低水平3.1%反弹至3.5%。</w:t>
      </w:r>
      <w:r w:rsidRPr="00257AE9">
        <w:rPr>
          <w:rFonts w:ascii="微软雅黑" w:eastAsia="微软雅黑" w:hAnsi="微软雅黑" w:cs="微软雅黑" w:hint="eastAsia"/>
          <w:color w:val="auto"/>
          <w:spacing w:val="4"/>
          <w:lang w:eastAsia="zh-CN"/>
        </w:rPr>
        <w:t>】</w:t>
      </w:r>
    </w:p>
    <w:p w14:paraId="527A879E" w14:textId="10FB5452" w:rsidR="00257AE9" w:rsidRDefault="00257AE9" w:rsidP="00A209AB">
      <w:pPr>
        <w:spacing w:before="102" w:line="257" w:lineRule="auto"/>
        <w:ind w:right="210" w:firstLine="436"/>
        <w:jc w:val="both"/>
        <w:rPr>
          <w:rFonts w:ascii="微软雅黑" w:eastAsia="微软雅黑" w:hAnsi="微软雅黑" w:cs="微软雅黑" w:hint="eastAsia"/>
          <w:color w:val="auto"/>
          <w:spacing w:val="4"/>
          <w:lang w:eastAsia="zh-CN"/>
        </w:rPr>
      </w:pPr>
      <w:r w:rsidRPr="00257AE9">
        <w:rPr>
          <w:rFonts w:ascii="微软雅黑" w:eastAsia="微软雅黑" w:hAnsi="微软雅黑" w:cs="微软雅黑" w:hint="eastAsia"/>
          <w:color w:val="auto"/>
          <w:spacing w:val="4"/>
          <w:lang w:eastAsia="zh-CN"/>
        </w:rPr>
        <w:t>【</w:t>
      </w:r>
      <w:r w:rsidR="009A23B2" w:rsidRPr="009A23B2">
        <w:rPr>
          <w:rFonts w:ascii="微软雅黑" w:eastAsia="微软雅黑" w:hAnsi="微软雅黑" w:cs="微软雅黑"/>
          <w:color w:val="auto"/>
          <w:spacing w:val="4"/>
          <w:lang w:eastAsia="zh-CN"/>
        </w:rPr>
        <w:t>欧盟委员会主席冯德莱恩回应美国总统特朗普汽车关税威胁称，欧盟已为“各种情况”做好准备。特朗普此前威胁将把欧盟输美汽车的关税由15%提高至25%。</w:t>
      </w:r>
      <w:r>
        <w:rPr>
          <w:rFonts w:ascii="微软雅黑" w:eastAsia="微软雅黑" w:hAnsi="微软雅黑" w:cs="微软雅黑" w:hint="eastAsia"/>
          <w:color w:val="auto"/>
          <w:spacing w:val="4"/>
          <w:lang w:eastAsia="zh-CN"/>
        </w:rPr>
        <w:t>】</w:t>
      </w:r>
    </w:p>
    <w:p w14:paraId="7C6C6D3A" w14:textId="77777777" w:rsidR="00BB0447" w:rsidRDefault="00BB0447"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653A5D" w14:paraId="1D7AD70B" w14:textId="77777777" w:rsidTr="002B6785">
        <w:trPr>
          <w:trHeight w:val="620"/>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bookmarkStart w:id="0" w:name="_Hlk185920439"/>
            <w:proofErr w:type="spellStart"/>
            <w:r w:rsidRPr="00653A5D">
              <w:rPr>
                <w:rFonts w:ascii="微软雅黑" w:eastAsia="微软雅黑" w:hAnsi="微软雅黑" w:cs="微软雅黑"/>
                <w:b/>
                <w:bCs/>
                <w:spacing w:val="3"/>
                <w:sz w:val="19"/>
                <w:szCs w:val="19"/>
              </w:rPr>
              <w:t>时间</w:t>
            </w:r>
            <w:proofErr w:type="spellEnd"/>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proofErr w:type="spellStart"/>
            <w:r w:rsidRPr="00653A5D">
              <w:rPr>
                <w:rFonts w:ascii="微软雅黑" w:eastAsia="微软雅黑" w:hAnsi="微软雅黑" w:cs="微软雅黑"/>
                <w:b/>
                <w:bCs/>
                <w:spacing w:val="3"/>
                <w:sz w:val="19"/>
                <w:szCs w:val="19"/>
              </w:rPr>
              <w:t>数据</w:t>
            </w:r>
            <w:proofErr w:type="spellEnd"/>
            <w:r w:rsidRPr="00653A5D">
              <w:rPr>
                <w:rFonts w:ascii="微软雅黑" w:eastAsia="微软雅黑" w:hAnsi="微软雅黑" w:cs="微软雅黑"/>
                <w:b/>
                <w:bCs/>
                <w:spacing w:val="3"/>
                <w:sz w:val="19"/>
                <w:szCs w:val="19"/>
              </w:rPr>
              <w:t>/</w:t>
            </w:r>
            <w:proofErr w:type="spellStart"/>
            <w:r w:rsidRPr="00653A5D">
              <w:rPr>
                <w:rFonts w:ascii="微软雅黑" w:eastAsia="微软雅黑" w:hAnsi="微软雅黑" w:cs="微软雅黑"/>
                <w:b/>
                <w:bCs/>
                <w:spacing w:val="3"/>
                <w:sz w:val="19"/>
                <w:szCs w:val="19"/>
              </w:rP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257AE9" w:rsidRPr="006318FC" w14:paraId="5B8E297F" w14:textId="77777777" w:rsidTr="009119B8">
        <w:trPr>
          <w:trHeight w:val="652"/>
        </w:trPr>
        <w:tc>
          <w:tcPr>
            <w:tcW w:w="1701" w:type="dxa"/>
          </w:tcPr>
          <w:bookmarkEnd w:id="0"/>
          <w:p w14:paraId="4567D2AE" w14:textId="511A08FA" w:rsidR="00257AE9" w:rsidRPr="009A23B2" w:rsidRDefault="00257AE9" w:rsidP="00257AE9">
            <w:pPr>
              <w:spacing w:before="230" w:line="191" w:lineRule="auto"/>
              <w:ind w:right="210"/>
              <w:jc w:val="center"/>
              <w:rPr>
                <w:rFonts w:ascii="微软雅黑" w:eastAsiaTheme="minorEastAsia" w:hAnsi="微软雅黑" w:cs="微软雅黑" w:hint="eastAsia"/>
                <w:b/>
                <w:bCs/>
                <w:spacing w:val="3"/>
                <w:sz w:val="19"/>
                <w:szCs w:val="19"/>
                <w:lang w:eastAsia="zh-CN"/>
              </w:rPr>
            </w:pPr>
            <w:r w:rsidRPr="00257AE9">
              <w:rPr>
                <w:b/>
                <w:bCs/>
              </w:rPr>
              <w:t>2026/</w:t>
            </w:r>
            <w:r w:rsidR="009A23B2">
              <w:rPr>
                <w:rFonts w:eastAsiaTheme="minorEastAsia" w:hint="eastAsia"/>
                <w:b/>
                <w:bCs/>
                <w:lang w:eastAsia="zh-CN"/>
              </w:rPr>
              <w:t>5</w:t>
            </w:r>
            <w:r w:rsidRPr="00257AE9">
              <w:rPr>
                <w:b/>
                <w:bCs/>
              </w:rPr>
              <w:t>/</w:t>
            </w:r>
            <w:r w:rsidR="009A23B2">
              <w:rPr>
                <w:rFonts w:eastAsiaTheme="minorEastAsia" w:hint="eastAsia"/>
                <w:b/>
                <w:bCs/>
                <w:lang w:eastAsia="zh-CN"/>
              </w:rPr>
              <w:t>6</w:t>
            </w:r>
          </w:p>
        </w:tc>
        <w:tc>
          <w:tcPr>
            <w:tcW w:w="1314" w:type="dxa"/>
          </w:tcPr>
          <w:p w14:paraId="3B0A4895" w14:textId="629C6E55" w:rsidR="00257AE9" w:rsidRPr="0025412C" w:rsidRDefault="009A23B2" w:rsidP="00257AE9">
            <w:pPr>
              <w:spacing w:before="230" w:line="191" w:lineRule="auto"/>
              <w:ind w:right="210"/>
              <w:jc w:val="center"/>
              <w:rPr>
                <w:rFonts w:ascii="微软雅黑" w:eastAsia="微软雅黑" w:hAnsi="微软雅黑" w:cs="微软雅黑" w:hint="eastAsia"/>
                <w:b/>
                <w:bCs/>
                <w:spacing w:val="3"/>
                <w:sz w:val="19"/>
                <w:szCs w:val="19"/>
                <w:lang w:eastAsia="zh-CN"/>
              </w:rPr>
            </w:pPr>
            <w:r w:rsidRPr="009A23B2">
              <w:rPr>
                <w:rFonts w:ascii="微软雅黑" w:eastAsia="微软雅黑" w:hAnsi="微软雅黑" w:cs="微软雅黑"/>
                <w:b/>
                <w:bCs/>
                <w:spacing w:val="3"/>
                <w:sz w:val="19"/>
                <w:szCs w:val="19"/>
                <w:lang w:eastAsia="zh-CN"/>
              </w:rPr>
              <w:t>16:00</w:t>
            </w:r>
          </w:p>
        </w:tc>
        <w:tc>
          <w:tcPr>
            <w:tcW w:w="6344" w:type="dxa"/>
          </w:tcPr>
          <w:p w14:paraId="148F6123" w14:textId="149360E8" w:rsidR="00257AE9" w:rsidRPr="00E15A36" w:rsidRDefault="009A23B2" w:rsidP="00257AE9">
            <w:pPr>
              <w:spacing w:before="230" w:line="191" w:lineRule="auto"/>
              <w:ind w:right="210"/>
              <w:jc w:val="center"/>
              <w:rPr>
                <w:rFonts w:ascii="微软雅黑" w:eastAsia="微软雅黑" w:hAnsi="微软雅黑" w:cs="微软雅黑" w:hint="eastAsia"/>
                <w:b/>
                <w:bCs/>
                <w:spacing w:val="3"/>
                <w:sz w:val="19"/>
                <w:szCs w:val="19"/>
                <w:lang w:eastAsia="zh-CN"/>
              </w:rPr>
            </w:pPr>
            <w:r w:rsidRPr="009A23B2">
              <w:rPr>
                <w:rFonts w:ascii="微软雅黑" w:eastAsia="微软雅黑" w:hAnsi="微软雅黑" w:cs="微软雅黑"/>
                <w:b/>
                <w:bCs/>
                <w:spacing w:val="3"/>
                <w:sz w:val="19"/>
                <w:szCs w:val="19"/>
                <w:lang w:eastAsia="zh-CN"/>
              </w:rPr>
              <w:t>欧元区4月综合PMI终值</w:t>
            </w:r>
          </w:p>
        </w:tc>
      </w:tr>
      <w:tr w:rsidR="009A23B2" w:rsidRPr="006318FC" w14:paraId="11459514" w14:textId="77777777" w:rsidTr="00257AE9">
        <w:trPr>
          <w:trHeight w:val="620"/>
        </w:trPr>
        <w:tc>
          <w:tcPr>
            <w:tcW w:w="1701" w:type="dxa"/>
            <w:shd w:val="clear" w:color="auto" w:fill="DAE3F4" w:themeFill="accent1" w:themeFillTint="33"/>
          </w:tcPr>
          <w:p w14:paraId="336E77A1" w14:textId="11486FC3" w:rsidR="009A23B2" w:rsidRPr="00257AE9" w:rsidRDefault="009A23B2" w:rsidP="009A23B2">
            <w:pPr>
              <w:spacing w:before="230" w:line="191" w:lineRule="auto"/>
              <w:ind w:right="210"/>
              <w:jc w:val="center"/>
              <w:rPr>
                <w:rFonts w:ascii="微软雅黑" w:eastAsia="微软雅黑" w:hAnsi="微软雅黑" w:cs="微软雅黑" w:hint="eastAsia"/>
                <w:b/>
                <w:bCs/>
                <w:spacing w:val="3"/>
                <w:sz w:val="19"/>
                <w:szCs w:val="19"/>
                <w:lang w:eastAsia="zh-CN"/>
              </w:rPr>
            </w:pPr>
            <w:r w:rsidRPr="00E86318">
              <w:rPr>
                <w:b/>
                <w:bCs/>
              </w:rPr>
              <w:t>2026/</w:t>
            </w:r>
            <w:r w:rsidRPr="00E86318">
              <w:rPr>
                <w:rFonts w:eastAsiaTheme="minorEastAsia" w:hint="eastAsia"/>
                <w:b/>
                <w:bCs/>
                <w:lang w:eastAsia="zh-CN"/>
              </w:rPr>
              <w:t>5</w:t>
            </w:r>
            <w:r w:rsidRPr="00E86318">
              <w:rPr>
                <w:b/>
                <w:bCs/>
              </w:rPr>
              <w:t>/</w:t>
            </w:r>
            <w:r w:rsidRPr="00E86318">
              <w:rPr>
                <w:rFonts w:eastAsiaTheme="minorEastAsia" w:hint="eastAsia"/>
                <w:b/>
                <w:bCs/>
                <w:lang w:eastAsia="zh-CN"/>
              </w:rPr>
              <w:t>6</w:t>
            </w:r>
          </w:p>
        </w:tc>
        <w:tc>
          <w:tcPr>
            <w:tcW w:w="1314" w:type="dxa"/>
            <w:shd w:val="clear" w:color="auto" w:fill="DAE3F4" w:themeFill="accent1" w:themeFillTint="33"/>
          </w:tcPr>
          <w:p w14:paraId="2FF031BB" w14:textId="2CFADD20" w:rsidR="009A23B2" w:rsidRPr="0025412C" w:rsidRDefault="009A23B2" w:rsidP="009A23B2">
            <w:pPr>
              <w:spacing w:before="230" w:line="191" w:lineRule="auto"/>
              <w:ind w:right="210"/>
              <w:jc w:val="center"/>
              <w:rPr>
                <w:rFonts w:ascii="微软雅黑" w:eastAsia="微软雅黑" w:hAnsi="微软雅黑" w:cs="微软雅黑" w:hint="eastAsia"/>
                <w:b/>
                <w:bCs/>
                <w:spacing w:val="3"/>
                <w:sz w:val="19"/>
                <w:szCs w:val="19"/>
                <w:lang w:eastAsia="zh-CN"/>
              </w:rPr>
            </w:pPr>
            <w:r w:rsidRPr="009A23B2">
              <w:rPr>
                <w:rFonts w:ascii="微软雅黑" w:eastAsia="微软雅黑" w:hAnsi="微软雅黑" w:cs="微软雅黑"/>
                <w:b/>
                <w:bCs/>
                <w:spacing w:val="3"/>
                <w:sz w:val="19"/>
                <w:szCs w:val="19"/>
                <w:lang w:eastAsia="zh-CN"/>
              </w:rPr>
              <w:t>17:00</w:t>
            </w:r>
          </w:p>
        </w:tc>
        <w:tc>
          <w:tcPr>
            <w:tcW w:w="6344" w:type="dxa"/>
            <w:shd w:val="clear" w:color="auto" w:fill="DAE3F4" w:themeFill="accent1" w:themeFillTint="33"/>
          </w:tcPr>
          <w:p w14:paraId="2CB0AF66" w14:textId="214A865E" w:rsidR="009A23B2" w:rsidRPr="00653A5D" w:rsidRDefault="009A23B2" w:rsidP="009A23B2">
            <w:pPr>
              <w:spacing w:before="230" w:line="191" w:lineRule="auto"/>
              <w:ind w:right="210"/>
              <w:jc w:val="center"/>
              <w:rPr>
                <w:rFonts w:ascii="微软雅黑" w:eastAsia="微软雅黑" w:hAnsi="微软雅黑" w:cs="微软雅黑" w:hint="eastAsia"/>
                <w:b/>
                <w:bCs/>
                <w:spacing w:val="3"/>
                <w:sz w:val="19"/>
                <w:szCs w:val="19"/>
                <w:lang w:eastAsia="zh-CN"/>
              </w:rPr>
            </w:pPr>
            <w:r w:rsidRPr="009A23B2">
              <w:rPr>
                <w:rFonts w:ascii="微软雅黑" w:eastAsia="微软雅黑" w:hAnsi="微软雅黑" w:cs="微软雅黑"/>
                <w:b/>
                <w:bCs/>
                <w:spacing w:val="3"/>
                <w:sz w:val="19"/>
                <w:szCs w:val="19"/>
                <w:lang w:eastAsia="zh-CN"/>
              </w:rPr>
              <w:t>欧元区3月PPI</w:t>
            </w:r>
          </w:p>
        </w:tc>
      </w:tr>
      <w:tr w:rsidR="009A23B2" w:rsidRPr="006318FC" w14:paraId="6909C618" w14:textId="77777777" w:rsidTr="00257AE9">
        <w:trPr>
          <w:trHeight w:val="652"/>
        </w:trPr>
        <w:tc>
          <w:tcPr>
            <w:tcW w:w="1701" w:type="dxa"/>
          </w:tcPr>
          <w:p w14:paraId="5D2365DD" w14:textId="0E0B852A" w:rsidR="009A23B2" w:rsidRPr="00257AE9" w:rsidRDefault="009A23B2" w:rsidP="009A23B2">
            <w:pPr>
              <w:spacing w:before="230" w:line="191" w:lineRule="auto"/>
              <w:ind w:right="210"/>
              <w:jc w:val="center"/>
              <w:rPr>
                <w:rFonts w:ascii="微软雅黑" w:eastAsia="微软雅黑" w:hAnsi="微软雅黑" w:cs="微软雅黑" w:hint="eastAsia"/>
                <w:b/>
                <w:bCs/>
                <w:spacing w:val="3"/>
                <w:sz w:val="19"/>
                <w:szCs w:val="19"/>
                <w:lang w:eastAsia="zh-CN"/>
              </w:rPr>
            </w:pPr>
            <w:r w:rsidRPr="00E86318">
              <w:rPr>
                <w:b/>
                <w:bCs/>
              </w:rPr>
              <w:t>2026/</w:t>
            </w:r>
            <w:r w:rsidRPr="00E86318">
              <w:rPr>
                <w:rFonts w:eastAsiaTheme="minorEastAsia" w:hint="eastAsia"/>
                <w:b/>
                <w:bCs/>
                <w:lang w:eastAsia="zh-CN"/>
              </w:rPr>
              <w:t>5</w:t>
            </w:r>
            <w:r w:rsidRPr="00E86318">
              <w:rPr>
                <w:b/>
                <w:bCs/>
              </w:rPr>
              <w:t>/</w:t>
            </w:r>
            <w:r w:rsidRPr="00E86318">
              <w:rPr>
                <w:rFonts w:eastAsiaTheme="minorEastAsia" w:hint="eastAsia"/>
                <w:b/>
                <w:bCs/>
                <w:lang w:eastAsia="zh-CN"/>
              </w:rPr>
              <w:t>6</w:t>
            </w:r>
          </w:p>
        </w:tc>
        <w:tc>
          <w:tcPr>
            <w:tcW w:w="1314" w:type="dxa"/>
          </w:tcPr>
          <w:p w14:paraId="3207B1F8" w14:textId="5702B216" w:rsidR="009A23B2" w:rsidRPr="001C51A4" w:rsidRDefault="009A23B2" w:rsidP="009A23B2">
            <w:pPr>
              <w:spacing w:before="230" w:line="191" w:lineRule="auto"/>
              <w:ind w:right="210"/>
              <w:jc w:val="center"/>
              <w:rPr>
                <w:rFonts w:ascii="微软雅黑" w:eastAsia="微软雅黑" w:hAnsi="微软雅黑" w:cs="微软雅黑" w:hint="eastAsia"/>
                <w:b/>
                <w:bCs/>
                <w:spacing w:val="3"/>
                <w:sz w:val="19"/>
                <w:szCs w:val="19"/>
                <w:lang w:eastAsia="zh-CN"/>
              </w:rPr>
            </w:pPr>
            <w:r w:rsidRPr="009A23B2">
              <w:rPr>
                <w:rFonts w:ascii="微软雅黑" w:eastAsia="微软雅黑" w:hAnsi="微软雅黑" w:cs="微软雅黑"/>
                <w:b/>
                <w:bCs/>
                <w:spacing w:val="3"/>
                <w:sz w:val="19"/>
                <w:szCs w:val="19"/>
                <w:lang w:eastAsia="zh-CN"/>
              </w:rPr>
              <w:t>20:15</w:t>
            </w:r>
          </w:p>
        </w:tc>
        <w:tc>
          <w:tcPr>
            <w:tcW w:w="6344" w:type="dxa"/>
          </w:tcPr>
          <w:p w14:paraId="6C433309" w14:textId="5DC91693" w:rsidR="009A23B2" w:rsidRPr="00257AE9" w:rsidRDefault="009A23B2" w:rsidP="009A23B2">
            <w:pPr>
              <w:spacing w:before="230" w:line="191" w:lineRule="auto"/>
              <w:ind w:right="210"/>
              <w:jc w:val="center"/>
              <w:rPr>
                <w:rFonts w:ascii="微软雅黑" w:eastAsia="微软雅黑" w:hAnsi="微软雅黑" w:cs="微软雅黑" w:hint="eastAsia"/>
                <w:b/>
                <w:bCs/>
                <w:spacing w:val="3"/>
                <w:sz w:val="19"/>
                <w:szCs w:val="19"/>
                <w:lang w:eastAsia="zh-CN"/>
              </w:rPr>
            </w:pPr>
            <w:r w:rsidRPr="009A23B2">
              <w:rPr>
                <w:rFonts w:ascii="微软雅黑" w:eastAsia="微软雅黑" w:hAnsi="微软雅黑" w:cs="微软雅黑"/>
                <w:b/>
                <w:bCs/>
                <w:spacing w:val="3"/>
                <w:sz w:val="19"/>
                <w:szCs w:val="19"/>
                <w:lang w:eastAsia="zh-CN"/>
              </w:rPr>
              <w:t>美国4月ADP就业人数变动</w:t>
            </w:r>
          </w:p>
        </w:tc>
      </w:tr>
      <w:tr w:rsidR="009A23B2" w:rsidRPr="006318FC" w14:paraId="21593F18" w14:textId="77777777" w:rsidTr="00257AE9">
        <w:trPr>
          <w:trHeight w:val="652"/>
        </w:trPr>
        <w:tc>
          <w:tcPr>
            <w:tcW w:w="1701" w:type="dxa"/>
            <w:shd w:val="clear" w:color="auto" w:fill="DAE3F4" w:themeFill="accent1" w:themeFillTint="33"/>
          </w:tcPr>
          <w:p w14:paraId="202433A8" w14:textId="05111BB5" w:rsidR="009A23B2" w:rsidRPr="00257AE9" w:rsidRDefault="009A23B2" w:rsidP="009A23B2">
            <w:pPr>
              <w:spacing w:before="230" w:line="191" w:lineRule="auto"/>
              <w:ind w:right="210"/>
              <w:jc w:val="center"/>
              <w:rPr>
                <w:rFonts w:ascii="微软雅黑" w:eastAsia="微软雅黑" w:hAnsi="微软雅黑" w:cs="微软雅黑" w:hint="eastAsia"/>
                <w:b/>
                <w:bCs/>
                <w:spacing w:val="3"/>
                <w:sz w:val="19"/>
                <w:szCs w:val="19"/>
                <w:lang w:eastAsia="zh-CN"/>
              </w:rPr>
            </w:pPr>
            <w:r w:rsidRPr="00E86318">
              <w:rPr>
                <w:b/>
                <w:bCs/>
              </w:rPr>
              <w:t>2026/</w:t>
            </w:r>
            <w:r w:rsidRPr="00E86318">
              <w:rPr>
                <w:rFonts w:eastAsiaTheme="minorEastAsia" w:hint="eastAsia"/>
                <w:b/>
                <w:bCs/>
                <w:lang w:eastAsia="zh-CN"/>
              </w:rPr>
              <w:t>5</w:t>
            </w:r>
            <w:r w:rsidRPr="00E86318">
              <w:rPr>
                <w:b/>
                <w:bCs/>
              </w:rPr>
              <w:t>/</w:t>
            </w:r>
            <w:r w:rsidRPr="00E86318">
              <w:rPr>
                <w:rFonts w:eastAsiaTheme="minorEastAsia" w:hint="eastAsia"/>
                <w:b/>
                <w:bCs/>
                <w:lang w:eastAsia="zh-CN"/>
              </w:rPr>
              <w:t>6</w:t>
            </w:r>
          </w:p>
        </w:tc>
        <w:tc>
          <w:tcPr>
            <w:tcW w:w="1314" w:type="dxa"/>
            <w:shd w:val="clear" w:color="auto" w:fill="DAE3F4" w:themeFill="accent1" w:themeFillTint="33"/>
          </w:tcPr>
          <w:p w14:paraId="27DE772B" w14:textId="2CAE3387" w:rsidR="009A23B2" w:rsidRPr="006318FC" w:rsidRDefault="009A23B2" w:rsidP="009A23B2">
            <w:pPr>
              <w:spacing w:before="230" w:line="191" w:lineRule="auto"/>
              <w:ind w:right="210"/>
              <w:jc w:val="center"/>
              <w:rPr>
                <w:rFonts w:ascii="微软雅黑" w:eastAsia="微软雅黑" w:hAnsi="微软雅黑" w:cs="微软雅黑" w:hint="eastAsia"/>
                <w:b/>
                <w:bCs/>
                <w:spacing w:val="3"/>
                <w:sz w:val="19"/>
                <w:szCs w:val="19"/>
                <w:lang w:eastAsia="zh-CN"/>
              </w:rPr>
            </w:pPr>
            <w:r w:rsidRPr="009A23B2">
              <w:rPr>
                <w:rFonts w:ascii="微软雅黑" w:eastAsia="微软雅黑" w:hAnsi="微软雅黑" w:cs="微软雅黑"/>
                <w:b/>
                <w:bCs/>
                <w:spacing w:val="3"/>
                <w:sz w:val="19"/>
                <w:szCs w:val="19"/>
                <w:lang w:eastAsia="zh-CN"/>
              </w:rPr>
              <w:t>22:30</w:t>
            </w:r>
          </w:p>
        </w:tc>
        <w:tc>
          <w:tcPr>
            <w:tcW w:w="6344" w:type="dxa"/>
            <w:shd w:val="clear" w:color="auto" w:fill="DAE3F4" w:themeFill="accent1" w:themeFillTint="33"/>
          </w:tcPr>
          <w:p w14:paraId="1C8E7CDF" w14:textId="208281DB" w:rsidR="009A23B2" w:rsidRPr="00653A5D" w:rsidRDefault="009A23B2" w:rsidP="009A23B2">
            <w:pPr>
              <w:spacing w:before="230" w:line="191" w:lineRule="auto"/>
              <w:ind w:right="210"/>
              <w:jc w:val="center"/>
              <w:rPr>
                <w:rFonts w:ascii="微软雅黑" w:eastAsia="微软雅黑" w:hAnsi="微软雅黑" w:cs="微软雅黑" w:hint="eastAsia"/>
                <w:b/>
                <w:bCs/>
                <w:spacing w:val="3"/>
                <w:sz w:val="19"/>
                <w:szCs w:val="19"/>
                <w:lang w:eastAsia="zh-CN"/>
              </w:rPr>
            </w:pPr>
            <w:r w:rsidRPr="009A23B2">
              <w:rPr>
                <w:rFonts w:ascii="微软雅黑" w:eastAsia="微软雅黑" w:hAnsi="微软雅黑" w:cs="微软雅黑"/>
                <w:b/>
                <w:bCs/>
                <w:spacing w:val="3"/>
                <w:sz w:val="19"/>
                <w:szCs w:val="19"/>
                <w:lang w:eastAsia="zh-CN"/>
              </w:rPr>
              <w:t>美国5月1日当周EIA原油库存变动</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lastRenderedPageBreak/>
        <w:t>美元指数</w:t>
      </w:r>
    </w:p>
    <w:p w14:paraId="7CA82798" w14:textId="77777777" w:rsidR="009A23B2" w:rsidRPr="009A23B2" w:rsidRDefault="009A23B2" w:rsidP="009A23B2">
      <w:pPr>
        <w:spacing w:before="103" w:line="256" w:lineRule="auto"/>
        <w:ind w:right="210" w:firstLineChars="200" w:firstLine="448"/>
        <w:rPr>
          <w:rFonts w:ascii="微软雅黑" w:eastAsia="微软雅黑" w:hAnsi="微软雅黑" w:cs="微软雅黑"/>
          <w:spacing w:val="7"/>
          <w:lang w:eastAsia="zh-CN"/>
        </w:rPr>
      </w:pPr>
      <w:r w:rsidRPr="009A23B2">
        <w:rPr>
          <w:rFonts w:ascii="微软雅黑" w:eastAsia="微软雅黑" w:hAnsi="微软雅黑" w:cs="微软雅黑" w:hint="eastAsia"/>
          <w:spacing w:val="7"/>
          <w:lang w:eastAsia="zh-CN"/>
        </w:rPr>
        <w:t>隔夜，美元指数涨</w:t>
      </w:r>
      <w:r w:rsidRPr="009A23B2">
        <w:rPr>
          <w:rFonts w:ascii="微软雅黑" w:eastAsia="微软雅黑" w:hAnsi="微软雅黑" w:cs="微软雅黑"/>
          <w:spacing w:val="7"/>
          <w:lang w:eastAsia="zh-CN"/>
        </w:rPr>
        <w:t>0.03%</w:t>
      </w:r>
      <w:r w:rsidRPr="009A23B2">
        <w:rPr>
          <w:rFonts w:ascii="微软雅黑" w:eastAsia="微软雅黑" w:hAnsi="微软雅黑" w:cs="微软雅黑" w:hint="eastAsia"/>
          <w:spacing w:val="7"/>
          <w:lang w:eastAsia="zh-CN"/>
        </w:rPr>
        <w:t>报</w:t>
      </w:r>
      <w:r w:rsidRPr="009A23B2">
        <w:rPr>
          <w:rFonts w:ascii="微软雅黑" w:eastAsia="微软雅黑" w:hAnsi="微软雅黑" w:cs="微软雅黑"/>
          <w:spacing w:val="7"/>
          <w:lang w:eastAsia="zh-CN"/>
        </w:rPr>
        <w:t>98.50</w:t>
      </w:r>
      <w:r w:rsidRPr="009A23B2">
        <w:rPr>
          <w:rFonts w:ascii="微软雅黑" w:eastAsia="微软雅黑" w:hAnsi="微软雅黑" w:cs="微软雅黑" w:hint="eastAsia"/>
          <w:spacing w:val="7"/>
          <w:lang w:eastAsia="zh-CN"/>
        </w:rPr>
        <w:t>，非美货币多数上涨，欧元兑美元涨</w:t>
      </w:r>
      <w:r w:rsidRPr="009A23B2">
        <w:rPr>
          <w:rFonts w:ascii="微软雅黑" w:eastAsia="微软雅黑" w:hAnsi="微软雅黑" w:cs="微软雅黑"/>
          <w:spacing w:val="7"/>
          <w:lang w:eastAsia="zh-CN"/>
        </w:rPr>
        <w:t>0.01%</w:t>
      </w:r>
      <w:r w:rsidRPr="009A23B2">
        <w:rPr>
          <w:rFonts w:ascii="微软雅黑" w:eastAsia="微软雅黑" w:hAnsi="微软雅黑" w:cs="微软雅黑" w:hint="eastAsia"/>
          <w:spacing w:val="7"/>
          <w:lang w:eastAsia="zh-CN"/>
        </w:rPr>
        <w:t>报</w:t>
      </w:r>
      <w:r w:rsidRPr="009A23B2">
        <w:rPr>
          <w:rFonts w:ascii="微软雅黑" w:eastAsia="微软雅黑" w:hAnsi="微软雅黑" w:cs="微软雅黑"/>
          <w:spacing w:val="7"/>
          <w:lang w:eastAsia="zh-CN"/>
        </w:rPr>
        <w:t>1.1693</w:t>
      </w:r>
      <w:r w:rsidRPr="009A23B2">
        <w:rPr>
          <w:rFonts w:ascii="微软雅黑" w:eastAsia="微软雅黑" w:hAnsi="微软雅黑" w:cs="微软雅黑" w:hint="eastAsia"/>
          <w:spacing w:val="7"/>
          <w:lang w:eastAsia="zh-CN"/>
        </w:rPr>
        <w:t>，英镑兑美元涨</w:t>
      </w:r>
      <w:r w:rsidRPr="009A23B2">
        <w:rPr>
          <w:rFonts w:ascii="微软雅黑" w:eastAsia="微软雅黑" w:hAnsi="微软雅黑" w:cs="微软雅黑"/>
          <w:spacing w:val="7"/>
          <w:lang w:eastAsia="zh-CN"/>
        </w:rPr>
        <w:t>0.05%</w:t>
      </w:r>
      <w:r w:rsidRPr="009A23B2">
        <w:rPr>
          <w:rFonts w:ascii="微软雅黑" w:eastAsia="微软雅黑" w:hAnsi="微软雅黑" w:cs="微软雅黑" w:hint="eastAsia"/>
          <w:spacing w:val="7"/>
          <w:lang w:eastAsia="zh-CN"/>
        </w:rPr>
        <w:t>报</w:t>
      </w:r>
      <w:r w:rsidRPr="009A23B2">
        <w:rPr>
          <w:rFonts w:ascii="微软雅黑" w:eastAsia="微软雅黑" w:hAnsi="微软雅黑" w:cs="微软雅黑"/>
          <w:spacing w:val="7"/>
          <w:lang w:eastAsia="zh-CN"/>
        </w:rPr>
        <w:t>1.3538</w:t>
      </w:r>
      <w:r w:rsidRPr="009A23B2">
        <w:rPr>
          <w:rFonts w:ascii="微软雅黑" w:eastAsia="微软雅黑" w:hAnsi="微软雅黑" w:cs="微软雅黑" w:hint="eastAsia"/>
          <w:spacing w:val="7"/>
          <w:lang w:eastAsia="zh-CN"/>
        </w:rPr>
        <w:t>，美元兑日元涨</w:t>
      </w:r>
      <w:r w:rsidRPr="009A23B2">
        <w:rPr>
          <w:rFonts w:ascii="微软雅黑" w:eastAsia="微软雅黑" w:hAnsi="微软雅黑" w:cs="微软雅黑"/>
          <w:spacing w:val="7"/>
          <w:lang w:eastAsia="zh-CN"/>
        </w:rPr>
        <w:t>0.41%</w:t>
      </w:r>
      <w:r w:rsidRPr="009A23B2">
        <w:rPr>
          <w:rFonts w:ascii="微软雅黑" w:eastAsia="微软雅黑" w:hAnsi="微软雅黑" w:cs="微软雅黑" w:hint="eastAsia"/>
          <w:spacing w:val="7"/>
          <w:lang w:eastAsia="zh-CN"/>
        </w:rPr>
        <w:t>报</w:t>
      </w:r>
      <w:r w:rsidRPr="009A23B2">
        <w:rPr>
          <w:rFonts w:ascii="微软雅黑" w:eastAsia="微软雅黑" w:hAnsi="微软雅黑" w:cs="微软雅黑"/>
          <w:spacing w:val="7"/>
          <w:lang w:eastAsia="zh-CN"/>
        </w:rPr>
        <w:t>157.8945</w:t>
      </w:r>
      <w:r w:rsidRPr="009A23B2">
        <w:rPr>
          <w:rFonts w:ascii="微软雅黑" w:eastAsia="微软雅黑" w:hAnsi="微软雅黑" w:cs="微软雅黑" w:hint="eastAsia"/>
          <w:spacing w:val="7"/>
          <w:lang w:eastAsia="zh-CN"/>
        </w:rPr>
        <w:t>。</w:t>
      </w:r>
    </w:p>
    <w:p w14:paraId="5A03EFCC" w14:textId="77777777" w:rsidR="009A23B2" w:rsidRPr="009A23B2" w:rsidRDefault="009A23B2" w:rsidP="009A23B2">
      <w:pPr>
        <w:spacing w:before="103" w:line="256" w:lineRule="auto"/>
        <w:ind w:right="210" w:firstLineChars="200" w:firstLine="448"/>
        <w:rPr>
          <w:rFonts w:ascii="微软雅黑" w:eastAsia="微软雅黑" w:hAnsi="微软雅黑" w:cs="微软雅黑"/>
          <w:spacing w:val="7"/>
          <w:lang w:eastAsia="zh-CN"/>
        </w:rPr>
      </w:pPr>
      <w:r w:rsidRPr="009A23B2">
        <w:rPr>
          <w:rFonts w:ascii="微软雅黑" w:eastAsia="微软雅黑" w:hAnsi="微软雅黑" w:cs="微软雅黑" w:hint="eastAsia"/>
          <w:spacing w:val="7"/>
          <w:lang w:eastAsia="zh-CN"/>
        </w:rPr>
        <w:t>宏观层面，美国</w:t>
      </w:r>
      <w:r w:rsidRPr="009A23B2">
        <w:rPr>
          <w:rFonts w:ascii="微软雅黑" w:eastAsia="微软雅黑" w:hAnsi="微软雅黑" w:cs="微软雅黑"/>
          <w:spacing w:val="7"/>
          <w:lang w:eastAsia="zh-CN"/>
        </w:rPr>
        <w:t>4</w:t>
      </w:r>
      <w:r w:rsidRPr="009A23B2">
        <w:rPr>
          <w:rFonts w:ascii="微软雅黑" w:eastAsia="微软雅黑" w:hAnsi="微软雅黑" w:cs="微软雅黑" w:hint="eastAsia"/>
          <w:spacing w:val="7"/>
          <w:lang w:eastAsia="zh-CN"/>
        </w:rPr>
        <w:t>月</w:t>
      </w:r>
      <w:r w:rsidRPr="009A23B2">
        <w:rPr>
          <w:rFonts w:ascii="微软雅黑" w:eastAsia="微软雅黑" w:hAnsi="微软雅黑" w:cs="微软雅黑"/>
          <w:spacing w:val="7"/>
          <w:lang w:eastAsia="zh-CN"/>
        </w:rPr>
        <w:t>ISM</w:t>
      </w:r>
      <w:r w:rsidRPr="009A23B2">
        <w:rPr>
          <w:rFonts w:ascii="微软雅黑" w:eastAsia="微软雅黑" w:hAnsi="微软雅黑" w:cs="微软雅黑" w:hint="eastAsia"/>
          <w:spacing w:val="7"/>
          <w:lang w:eastAsia="zh-CN"/>
        </w:rPr>
        <w:t>服务业</w:t>
      </w:r>
      <w:r w:rsidRPr="009A23B2">
        <w:rPr>
          <w:rFonts w:ascii="微软雅黑" w:eastAsia="微软雅黑" w:hAnsi="微软雅黑" w:cs="微软雅黑"/>
          <w:spacing w:val="7"/>
          <w:lang w:eastAsia="zh-CN"/>
        </w:rPr>
        <w:t>PMI</w:t>
      </w:r>
      <w:r w:rsidRPr="009A23B2">
        <w:rPr>
          <w:rFonts w:ascii="微软雅黑" w:eastAsia="微软雅黑" w:hAnsi="微软雅黑" w:cs="微软雅黑" w:hint="eastAsia"/>
          <w:spacing w:val="7"/>
          <w:lang w:eastAsia="zh-CN"/>
        </w:rPr>
        <w:t>小幅回落但仍显著高于荣枯分界线，物价指数维持</w:t>
      </w:r>
      <w:proofErr w:type="gramStart"/>
      <w:r w:rsidRPr="009A23B2">
        <w:rPr>
          <w:rFonts w:ascii="微软雅黑" w:eastAsia="微软雅黑" w:hAnsi="微软雅黑" w:cs="微软雅黑" w:hint="eastAsia"/>
          <w:spacing w:val="7"/>
          <w:lang w:eastAsia="zh-CN"/>
        </w:rPr>
        <w:t>于阶段</w:t>
      </w:r>
      <w:proofErr w:type="gramEnd"/>
      <w:r w:rsidRPr="009A23B2">
        <w:rPr>
          <w:rFonts w:ascii="微软雅黑" w:eastAsia="微软雅黑" w:hAnsi="微软雅黑" w:cs="微软雅黑" w:hint="eastAsia"/>
          <w:spacing w:val="7"/>
          <w:lang w:eastAsia="zh-CN"/>
        </w:rPr>
        <w:t>高位水平，职位空缺数小幅回升，企业招聘率由阶段性低位企稳反弹，叠加</w:t>
      </w:r>
      <w:r w:rsidRPr="009A23B2">
        <w:rPr>
          <w:rFonts w:ascii="微软雅黑" w:eastAsia="微软雅黑" w:hAnsi="微软雅黑" w:cs="微软雅黑"/>
          <w:spacing w:val="7"/>
          <w:lang w:eastAsia="zh-CN"/>
        </w:rPr>
        <w:t>3</w:t>
      </w:r>
      <w:r w:rsidRPr="009A23B2">
        <w:rPr>
          <w:rFonts w:ascii="微软雅黑" w:eastAsia="微软雅黑" w:hAnsi="微软雅黑" w:cs="微软雅黑" w:hint="eastAsia"/>
          <w:spacing w:val="7"/>
          <w:lang w:eastAsia="zh-CN"/>
        </w:rPr>
        <w:t>月美国零售数据强于市场预期，市场对于美联储年内重启降息的预期持续偏弱，美债收益率企稳回升。美联储</w:t>
      </w:r>
      <w:r w:rsidRPr="009A23B2">
        <w:rPr>
          <w:rFonts w:ascii="微软雅黑" w:eastAsia="微软雅黑" w:hAnsi="微软雅黑" w:cs="微软雅黑"/>
          <w:spacing w:val="7"/>
          <w:lang w:eastAsia="zh-CN"/>
        </w:rPr>
        <w:t>FOMC</w:t>
      </w:r>
      <w:r w:rsidRPr="009A23B2">
        <w:rPr>
          <w:rFonts w:ascii="微软雅黑" w:eastAsia="微软雅黑" w:hAnsi="微软雅黑" w:cs="微软雅黑" w:hint="eastAsia"/>
          <w:spacing w:val="7"/>
          <w:lang w:eastAsia="zh-CN"/>
        </w:rPr>
        <w:t>会议连续第三次维持利率按兵不动，鲍威尔延续“审慎观望”基调，淡化短期降息预期。美伊停火谈判反复拉锯，伊方虽提出三阶段谈判框架，但美方表态仍偏强硬，推动避险资金再度流入美元资产。往前看，美国就业、零售及</w:t>
      </w:r>
      <w:r w:rsidRPr="009A23B2">
        <w:rPr>
          <w:rFonts w:ascii="微软雅黑" w:eastAsia="微软雅黑" w:hAnsi="微软雅黑" w:cs="微软雅黑"/>
          <w:spacing w:val="7"/>
          <w:lang w:eastAsia="zh-CN"/>
        </w:rPr>
        <w:t>PMI</w:t>
      </w:r>
      <w:r w:rsidRPr="009A23B2">
        <w:rPr>
          <w:rFonts w:ascii="微软雅黑" w:eastAsia="微软雅黑" w:hAnsi="微软雅黑" w:cs="微软雅黑" w:hint="eastAsia"/>
          <w:spacing w:val="7"/>
          <w:lang w:eastAsia="zh-CN"/>
        </w:rPr>
        <w:t>数据仍具韧性，叠加油价冲击推升通胀预期，美联储短期</w:t>
      </w:r>
      <w:proofErr w:type="gramStart"/>
      <w:r w:rsidRPr="009A23B2">
        <w:rPr>
          <w:rFonts w:ascii="微软雅黑" w:eastAsia="微软雅黑" w:hAnsi="微软雅黑" w:cs="微软雅黑" w:hint="eastAsia"/>
          <w:spacing w:val="7"/>
          <w:lang w:eastAsia="zh-CN"/>
        </w:rPr>
        <w:t>快速转鸽的</w:t>
      </w:r>
      <w:proofErr w:type="gramEnd"/>
      <w:r w:rsidRPr="009A23B2">
        <w:rPr>
          <w:rFonts w:ascii="微软雅黑" w:eastAsia="微软雅黑" w:hAnsi="微软雅黑" w:cs="微软雅黑" w:hint="eastAsia"/>
          <w:spacing w:val="7"/>
          <w:lang w:eastAsia="zh-CN"/>
        </w:rPr>
        <w:t>可能性较低，美元或维持震荡偏强格局；但财政扩张背景下的美元信用弱化叙事尚未消退，若市场重新定价沃</w:t>
      </w:r>
      <w:proofErr w:type="gramStart"/>
      <w:r w:rsidRPr="009A23B2">
        <w:rPr>
          <w:rFonts w:ascii="微软雅黑" w:eastAsia="微软雅黑" w:hAnsi="微软雅黑" w:cs="微软雅黑" w:hint="eastAsia"/>
          <w:spacing w:val="7"/>
          <w:lang w:eastAsia="zh-CN"/>
        </w:rPr>
        <w:t>什领导下美</w:t>
      </w:r>
      <w:proofErr w:type="gramEnd"/>
      <w:r w:rsidRPr="009A23B2">
        <w:rPr>
          <w:rFonts w:ascii="微软雅黑" w:eastAsia="微软雅黑" w:hAnsi="微软雅黑" w:cs="微软雅黑" w:hint="eastAsia"/>
          <w:spacing w:val="7"/>
          <w:lang w:eastAsia="zh-CN"/>
        </w:rPr>
        <w:t>联储更偏鸽派或更晚宽松周期，美元中期上方仍面临阻力。</w:t>
      </w:r>
    </w:p>
    <w:p w14:paraId="502379A4" w14:textId="64134F6E" w:rsidR="002760F0" w:rsidRPr="002760F0" w:rsidRDefault="009A23B2" w:rsidP="009A23B2">
      <w:pPr>
        <w:spacing w:before="103" w:line="256" w:lineRule="auto"/>
        <w:ind w:right="210" w:firstLineChars="200" w:firstLine="448"/>
        <w:rPr>
          <w:rFonts w:ascii="微软雅黑" w:eastAsia="微软雅黑" w:hAnsi="微软雅黑" w:cs="微软雅黑" w:hint="eastAsia"/>
          <w:spacing w:val="7"/>
          <w:lang w:eastAsia="zh-CN"/>
        </w:rPr>
      </w:pPr>
      <w:r w:rsidRPr="009A23B2">
        <w:rPr>
          <w:rFonts w:ascii="微软雅黑" w:eastAsia="微软雅黑" w:hAnsi="微软雅黑" w:cs="微软雅黑" w:hint="eastAsia"/>
          <w:spacing w:val="7"/>
          <w:lang w:eastAsia="zh-CN"/>
        </w:rPr>
        <w:t>欧元区方面，能源价格高企与外需不确定性继续压制企业预期，虽然油价高位回落一度推动欧央行紧缩预期边际收敛，但在输入型通胀压力仍存的背景下，市场对欧央行年内政策路径的分歧有所加剧。日央行近期展开货币干预，短线提振日元走势，</w:t>
      </w:r>
      <w:r w:rsidRPr="009A23B2">
        <w:rPr>
          <w:rFonts w:ascii="微软雅黑" w:eastAsia="微软雅黑" w:hAnsi="微软雅黑" w:cs="微软雅黑"/>
          <w:spacing w:val="7"/>
          <w:lang w:eastAsia="zh-CN"/>
        </w:rPr>
        <w:t>3</w:t>
      </w:r>
      <w:r w:rsidRPr="009A23B2">
        <w:rPr>
          <w:rFonts w:ascii="微软雅黑" w:eastAsia="微软雅黑" w:hAnsi="微软雅黑" w:cs="微软雅黑" w:hint="eastAsia"/>
          <w:spacing w:val="7"/>
          <w:lang w:eastAsia="zh-CN"/>
        </w:rPr>
        <w:t>月</w:t>
      </w:r>
      <w:r w:rsidRPr="009A23B2">
        <w:rPr>
          <w:rFonts w:ascii="微软雅黑" w:eastAsia="微软雅黑" w:hAnsi="微软雅黑" w:cs="微软雅黑"/>
          <w:spacing w:val="7"/>
          <w:lang w:eastAsia="zh-CN"/>
        </w:rPr>
        <w:t>CPI</w:t>
      </w:r>
      <w:r w:rsidRPr="009A23B2">
        <w:rPr>
          <w:rFonts w:ascii="微软雅黑" w:eastAsia="微软雅黑" w:hAnsi="微软雅黑" w:cs="微软雅黑" w:hint="eastAsia"/>
          <w:spacing w:val="7"/>
          <w:lang w:eastAsia="zh-CN"/>
        </w:rPr>
        <w:t>同比增速小幅反弹，前期日央行维持利率按兵不动，但内部政策分歧显著加剧，能源价格风险推动后续加息预期边际上行。短期来看，美元反弹与美债利率韧性仍对欧元及日元形成压制，叠加美伊停火预期反复摇摆，全球汇市缺乏明确方向，欧元、日元或延续震荡拉锯走势</w:t>
      </w:r>
      <w:r w:rsidR="00D673DE" w:rsidRPr="00D673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3B1785C3" w:rsidR="007A477E" w:rsidRDefault="009A23B2"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2D6C5D">
        <w:rPr>
          <w:rFonts w:ascii="黑体" w:eastAsia="黑体" w:hAnsi="黑体" w:cs="黑体"/>
          <w:noProof/>
          <w:color w:val="2C3E50"/>
          <w:sz w:val="24"/>
          <w:shd w:val="clear" w:color="auto" w:fill="FFFFFF"/>
          <w:lang w:bidi="ar"/>
        </w:rPr>
        <w:drawing>
          <wp:inline distT="0" distB="0" distL="0" distR="0" wp14:anchorId="1073676E" wp14:editId="3653956B">
            <wp:extent cx="4572000" cy="2352675"/>
            <wp:effectExtent l="0" t="0" r="0" b="9525"/>
            <wp:docPr id="4823254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35267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00EA59EF" w14:textId="33E865BC" w:rsidR="00D673DE" w:rsidRPr="00D673DE" w:rsidRDefault="009A23B2" w:rsidP="00D673DE">
      <w:pPr>
        <w:spacing w:before="103" w:line="256" w:lineRule="auto"/>
        <w:ind w:right="210" w:firstLine="448"/>
        <w:rPr>
          <w:rFonts w:ascii="微软雅黑" w:eastAsia="微软雅黑" w:hAnsi="微软雅黑" w:cs="微软雅黑" w:hint="eastAsia"/>
          <w:spacing w:val="7"/>
          <w:lang w:eastAsia="zh-CN"/>
        </w:rPr>
      </w:pPr>
      <w:r w:rsidRPr="009A23B2">
        <w:rPr>
          <w:rFonts w:ascii="微软雅黑" w:eastAsia="微软雅黑" w:hAnsi="微软雅黑" w:cs="微软雅黑"/>
          <w:spacing w:val="7"/>
          <w:lang w:eastAsia="zh-CN"/>
        </w:rPr>
        <w:t>截至5月5日，</w:t>
      </w:r>
      <w:proofErr w:type="gramStart"/>
      <w:r w:rsidRPr="009A23B2">
        <w:rPr>
          <w:rFonts w:ascii="微软雅黑" w:eastAsia="微软雅黑" w:hAnsi="微软雅黑" w:cs="微软雅黑"/>
          <w:spacing w:val="7"/>
          <w:lang w:eastAsia="zh-CN"/>
        </w:rPr>
        <w:t>标普</w:t>
      </w:r>
      <w:proofErr w:type="gramEnd"/>
      <w:r w:rsidRPr="009A23B2">
        <w:rPr>
          <w:rFonts w:ascii="微软雅黑" w:eastAsia="微软雅黑" w:hAnsi="微软雅黑" w:cs="微软雅黑"/>
          <w:spacing w:val="7"/>
          <w:lang w:eastAsia="zh-CN"/>
        </w:rPr>
        <w:t>500指数上涨0.81%至7259.22点；</w:t>
      </w:r>
      <w:proofErr w:type="gramStart"/>
      <w:r w:rsidRPr="009A23B2">
        <w:rPr>
          <w:rFonts w:ascii="微软雅黑" w:eastAsia="微软雅黑" w:hAnsi="微软雅黑" w:cs="微软雅黑"/>
          <w:spacing w:val="7"/>
          <w:lang w:eastAsia="zh-CN"/>
        </w:rPr>
        <w:t>迷你标普</w:t>
      </w:r>
      <w:proofErr w:type="gramEnd"/>
      <w:r w:rsidRPr="009A23B2">
        <w:rPr>
          <w:rFonts w:ascii="微软雅黑" w:eastAsia="微软雅黑" w:hAnsi="微软雅黑" w:cs="微软雅黑"/>
          <w:spacing w:val="7"/>
          <w:lang w:eastAsia="zh-CN"/>
        </w:rPr>
        <w:t>500主力合约上涨0.97%至7295.5点。地缘局势上，当地时间5月5日傍晚，美国总统特朗普在社交媒体上发文表示：“应巴基斯坦及其他国家的请求，鉴于美国在对伊朗的军事行动中取得了巨大的成功，加之美国在与伊朗达成一项全面且最终的协议方面已取得重大进展，双方现已达成共识：尽管美国对伊朗的海上封锁将继续全面有效实施，但‘自由计划’将暂停</w:t>
      </w:r>
      <w:proofErr w:type="gramStart"/>
      <w:r w:rsidRPr="009A23B2">
        <w:rPr>
          <w:rFonts w:ascii="微软雅黑" w:eastAsia="微软雅黑" w:hAnsi="微软雅黑" w:cs="微软雅黑"/>
          <w:spacing w:val="7"/>
          <w:lang w:eastAsia="zh-CN"/>
        </w:rPr>
        <w:t>一</w:t>
      </w:r>
      <w:proofErr w:type="gramEnd"/>
      <w:r w:rsidRPr="009A23B2">
        <w:rPr>
          <w:rFonts w:ascii="微软雅黑" w:eastAsia="微软雅黑" w:hAnsi="微软雅黑" w:cs="微软雅黑"/>
          <w:spacing w:val="7"/>
          <w:lang w:eastAsia="zh-CN"/>
        </w:rPr>
        <w:t>小段时间，以观该美伊协议能否最终敲定并签署。”同日，美国国务卿鲁比奥</w:t>
      </w:r>
      <w:r w:rsidRPr="009A23B2">
        <w:rPr>
          <w:rFonts w:ascii="微软雅黑" w:eastAsia="微软雅黑" w:hAnsi="微软雅黑" w:cs="微软雅黑"/>
          <w:spacing w:val="7"/>
          <w:lang w:eastAsia="zh-CN"/>
        </w:rPr>
        <w:lastRenderedPageBreak/>
        <w:t>在媒体简报会上称，美军正在霍尔木兹海峡推进“自由计划”疏导行动，以恢复这一关键国际水道的航行自由。产业方面，消息称苹果公司已展开初步磋商，计划将设备主处理器交由英特尔与三星电子生产。消息带动英特尔股价上涨13%。整体来看，人工智能与芯片相关股价在</w:t>
      </w:r>
      <w:proofErr w:type="gramStart"/>
      <w:r w:rsidRPr="009A23B2">
        <w:rPr>
          <w:rFonts w:ascii="微软雅黑" w:eastAsia="微软雅黑" w:hAnsi="微软雅黑" w:cs="微软雅黑"/>
          <w:spacing w:val="7"/>
          <w:lang w:eastAsia="zh-CN"/>
        </w:rPr>
        <w:t>财报季</w:t>
      </w:r>
      <w:proofErr w:type="gramEnd"/>
      <w:r w:rsidRPr="009A23B2">
        <w:rPr>
          <w:rFonts w:ascii="微软雅黑" w:eastAsia="微软雅黑" w:hAnsi="微软雅黑" w:cs="微软雅黑"/>
          <w:spacing w:val="7"/>
          <w:lang w:eastAsia="zh-CN"/>
        </w:rPr>
        <w:t>与消息面的带动下依旧表现亮眼，同时地缘局势缓和也降低了滞胀风险带来的冲击，美股仍有望维持强劲态势</w:t>
      </w:r>
      <w:r w:rsidR="00D673DE" w:rsidRPr="00D673DE">
        <w:rPr>
          <w:rFonts w:ascii="微软雅黑" w:eastAsia="微软雅黑" w:hAnsi="微软雅黑" w:cs="微软雅黑"/>
          <w:spacing w:val="7"/>
          <w:lang w:eastAsia="zh-CN"/>
        </w:rPr>
        <w:t>。</w:t>
      </w:r>
    </w:p>
    <w:p w14:paraId="3E7D9146" w14:textId="5CCD4278"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47BAA37B" w:rsidR="007A477E" w:rsidRPr="00EE7376" w:rsidRDefault="009A23B2" w:rsidP="006B6996">
      <w:pPr>
        <w:spacing w:before="103" w:line="256" w:lineRule="auto"/>
        <w:ind w:right="210" w:firstLine="420"/>
        <w:jc w:val="center"/>
        <w:rPr>
          <w:rFonts w:ascii="微软雅黑" w:eastAsia="微软雅黑" w:hAnsi="微软雅黑" w:cs="微软雅黑" w:hint="eastAsia"/>
          <w:spacing w:val="7"/>
          <w:lang w:eastAsia="zh-CN"/>
        </w:rPr>
      </w:pPr>
      <w:r w:rsidRPr="00F605DE">
        <w:rPr>
          <w:rFonts w:ascii="Helvetica" w:hAnsi="Helvetica" w:cs="Helvetica"/>
          <w:noProof/>
          <w:shd w:val="clear" w:color="auto" w:fill="FFFFFF"/>
        </w:rPr>
        <w:drawing>
          <wp:inline distT="0" distB="0" distL="0" distR="0" wp14:anchorId="5E1E7362" wp14:editId="0C6AA87E">
            <wp:extent cx="5274310" cy="1663042"/>
            <wp:effectExtent l="0" t="0" r="2540" b="0"/>
            <wp:docPr id="1032534059" name="图片 1032534059" descr="C:\Users\Administrator\xwechat_files\wxid_vkxlzo0vqu7s22_6f5b\temp\InputTemp\f40ae15c-5f09-4947-9cce-e1769730f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f40ae15c-5f09-4947-9cce-e1769730f92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63042"/>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3B0EDC5F" w:rsidR="00A42B48" w:rsidRDefault="009A23B2" w:rsidP="000511AA">
      <w:pPr>
        <w:spacing w:before="103" w:line="256" w:lineRule="auto"/>
        <w:ind w:right="210" w:firstLine="448"/>
        <w:jc w:val="both"/>
        <w:rPr>
          <w:rFonts w:ascii="微软雅黑" w:eastAsia="微软雅黑" w:hAnsi="微软雅黑" w:cs="微软雅黑" w:hint="eastAsia"/>
          <w:spacing w:val="7"/>
          <w:lang w:eastAsia="zh-CN"/>
        </w:rPr>
      </w:pPr>
      <w:r w:rsidRPr="009A23B2">
        <w:rPr>
          <w:rFonts w:ascii="微软雅黑" w:eastAsia="微软雅黑" w:hAnsi="微软雅黑" w:cs="微软雅黑"/>
          <w:spacing w:val="7"/>
          <w:lang w:eastAsia="zh-CN"/>
        </w:rPr>
        <w:t>截至5月5日，中国市场因五一假期休市，富时中国A50指数暂无报价；新交所富时A50期指主力合约下跌0.26%至15631。海外方面，当地时间5月5日，美国总统特朗普表示，将短暂暂停由美军协助船只穿越霍尔木兹海峡的行动</w:t>
      </w:r>
      <w:proofErr w:type="gramStart"/>
      <w:r w:rsidRPr="009A23B2">
        <w:rPr>
          <w:rFonts w:ascii="微软雅黑" w:eastAsia="微软雅黑" w:hAnsi="微软雅黑" w:cs="微软雅黑"/>
          <w:spacing w:val="7"/>
          <w:lang w:eastAsia="zh-CN"/>
        </w:rPr>
        <w:t>一</w:t>
      </w:r>
      <w:proofErr w:type="gramEnd"/>
      <w:r w:rsidRPr="009A23B2">
        <w:rPr>
          <w:rFonts w:ascii="微软雅黑" w:eastAsia="微软雅黑" w:hAnsi="微软雅黑" w:cs="微软雅黑"/>
          <w:spacing w:val="7"/>
          <w:lang w:eastAsia="zh-CN"/>
        </w:rPr>
        <w:t>小段时间。美国国务卿鲁比奥亦表示，对伊朗发动的军事行动已经结束。受消息影响，国际油价出现回落。国内方面，经济基本面，4月国内制造业PMI小幅下滑，但仍处于扩张区间，同时，装备制造业与高技术制造业PMI进一步上升。政策层面，节</w:t>
      </w:r>
      <w:proofErr w:type="gramStart"/>
      <w:r w:rsidRPr="009A23B2">
        <w:rPr>
          <w:rFonts w:ascii="微软雅黑" w:eastAsia="微软雅黑" w:hAnsi="微软雅黑" w:cs="微软雅黑"/>
          <w:spacing w:val="7"/>
          <w:lang w:eastAsia="zh-CN"/>
        </w:rPr>
        <w:t>前4月</w:t>
      </w:r>
      <w:proofErr w:type="gramEnd"/>
      <w:r w:rsidRPr="009A23B2">
        <w:rPr>
          <w:rFonts w:ascii="微软雅黑" w:eastAsia="微软雅黑" w:hAnsi="微软雅黑" w:cs="微软雅黑"/>
          <w:spacing w:val="7"/>
          <w:lang w:eastAsia="zh-CN"/>
        </w:rPr>
        <w:t>政治局会议召开，会议对扩内需，产业升级，基建投入均做了安排。上市公司基本面，从2025年年报看，全体A股营收、净利增速均小幅回落；而从2026年</w:t>
      </w:r>
      <w:proofErr w:type="gramStart"/>
      <w:r w:rsidRPr="009A23B2">
        <w:rPr>
          <w:rFonts w:ascii="微软雅黑" w:eastAsia="微软雅黑" w:hAnsi="微软雅黑" w:cs="微软雅黑"/>
          <w:spacing w:val="7"/>
          <w:lang w:eastAsia="zh-CN"/>
        </w:rPr>
        <w:t>一</w:t>
      </w:r>
      <w:proofErr w:type="gramEnd"/>
      <w:r w:rsidRPr="009A23B2">
        <w:rPr>
          <w:rFonts w:ascii="微软雅黑" w:eastAsia="微软雅黑" w:hAnsi="微软雅黑" w:cs="微软雅黑"/>
          <w:spacing w:val="7"/>
          <w:lang w:eastAsia="zh-CN"/>
        </w:rPr>
        <w:t>季报看，全体A股，营收、净利整体表现亮眼。整体来看，新质生产力对经济的支撑愈发明显，相关行业股价预计有较好表现。同时，上市</w:t>
      </w:r>
      <w:proofErr w:type="gramStart"/>
      <w:r w:rsidRPr="009A23B2">
        <w:rPr>
          <w:rFonts w:ascii="微软雅黑" w:eastAsia="微软雅黑" w:hAnsi="微软雅黑" w:cs="微软雅黑"/>
          <w:spacing w:val="7"/>
          <w:lang w:eastAsia="zh-CN"/>
        </w:rPr>
        <w:t>公司财报披露</w:t>
      </w:r>
      <w:proofErr w:type="gramEnd"/>
      <w:r w:rsidRPr="009A23B2">
        <w:rPr>
          <w:rFonts w:ascii="微软雅黑" w:eastAsia="微软雅黑" w:hAnsi="微软雅黑" w:cs="微软雅黑"/>
          <w:spacing w:val="7"/>
          <w:lang w:eastAsia="zh-CN"/>
        </w:rPr>
        <w:t>已基本完成，</w:t>
      </w:r>
      <w:proofErr w:type="gramStart"/>
      <w:r w:rsidRPr="009A23B2">
        <w:rPr>
          <w:rFonts w:ascii="微软雅黑" w:eastAsia="微软雅黑" w:hAnsi="微软雅黑" w:cs="微软雅黑"/>
          <w:spacing w:val="7"/>
          <w:lang w:eastAsia="zh-CN"/>
        </w:rPr>
        <w:t>且最新一季财</w:t>
      </w:r>
      <w:proofErr w:type="gramEnd"/>
      <w:r w:rsidRPr="009A23B2">
        <w:rPr>
          <w:rFonts w:ascii="微软雅黑" w:eastAsia="微软雅黑" w:hAnsi="微软雅黑" w:cs="微软雅黑"/>
          <w:spacing w:val="7"/>
          <w:lang w:eastAsia="zh-CN"/>
        </w:rPr>
        <w:t>报表现良好，后续市场将继续充分定价</w:t>
      </w:r>
      <w:proofErr w:type="gramStart"/>
      <w:r w:rsidRPr="009A23B2">
        <w:rPr>
          <w:rFonts w:ascii="微软雅黑" w:eastAsia="微软雅黑" w:hAnsi="微软雅黑" w:cs="微软雅黑"/>
          <w:spacing w:val="7"/>
          <w:lang w:eastAsia="zh-CN"/>
        </w:rPr>
        <w:t>财报带来</w:t>
      </w:r>
      <w:proofErr w:type="gramEnd"/>
      <w:r w:rsidRPr="009A23B2">
        <w:rPr>
          <w:rFonts w:ascii="微软雅黑" w:eastAsia="微软雅黑" w:hAnsi="微软雅黑" w:cs="微软雅黑"/>
          <w:spacing w:val="7"/>
          <w:lang w:eastAsia="zh-CN"/>
        </w:rPr>
        <w:t>的利多。此外，根据政治局会议的定调后续预计将出台更多更为详细的相关政策。A股牛市行情仍有进一步演绎的空间</w:t>
      </w:r>
      <w:r w:rsidR="00A42B48" w:rsidRPr="00A42B48">
        <w:rPr>
          <w:rFonts w:ascii="微软雅黑" w:eastAsia="微软雅黑" w:hAnsi="微软雅黑" w:cs="微软雅黑"/>
          <w:spacing w:val="7"/>
          <w:lang w:eastAsia="zh-CN"/>
        </w:rPr>
        <w:t>。</w:t>
      </w:r>
    </w:p>
    <w:p w14:paraId="11AC0A6A" w14:textId="656ADA00" w:rsidR="009372C5" w:rsidRPr="00C07FA3" w:rsidRDefault="00A42B48" w:rsidP="000511AA">
      <w:pPr>
        <w:spacing w:before="103" w:line="256" w:lineRule="auto"/>
        <w:ind w:right="210" w:firstLine="44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0C8ED9A9" w:rsidR="00A10388" w:rsidRDefault="009A23B2" w:rsidP="00A10388">
      <w:pPr>
        <w:spacing w:before="120" w:line="190" w:lineRule="auto"/>
        <w:ind w:right="210" w:firstLine="420"/>
        <w:jc w:val="center"/>
        <w:rPr>
          <w:rFonts w:ascii="新宋体" w:eastAsia="新宋体" w:hAnsi="新宋体" w:hint="eastAsia"/>
          <w:lang w:eastAsia="zh-CN"/>
        </w:rPr>
      </w:pPr>
      <w:r w:rsidRPr="00ED3C7F">
        <w:rPr>
          <w:rFonts w:ascii="宋体" w:eastAsia="宋体" w:hAnsi="宋体"/>
          <w:noProof/>
        </w:rPr>
        <w:drawing>
          <wp:inline distT="0" distB="0" distL="0" distR="0" wp14:anchorId="5F40D9EC" wp14:editId="60DCA9CB">
            <wp:extent cx="5274310" cy="1666246"/>
            <wp:effectExtent l="0" t="0" r="2540" b="0"/>
            <wp:docPr id="2" name="图片 2" descr="C:\Users\Administrator\xwechat_files\wxid_vkxlzo0vqu7s22_6f5b\temp\InputTemp\0eba6803-3bec-43a4-acf6-a6486ea054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0eba6803-3bec-43a4-acf6-a6486ea0546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66246"/>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116314B1" w:rsidR="00AC6ADE" w:rsidRDefault="009A23B2" w:rsidP="00F51117">
      <w:pPr>
        <w:spacing w:before="103" w:line="256" w:lineRule="auto"/>
        <w:ind w:right="210" w:firstLine="468"/>
        <w:jc w:val="both"/>
        <w:rPr>
          <w:rFonts w:ascii="微软雅黑" w:eastAsia="微软雅黑" w:hAnsi="微软雅黑" w:cs="微软雅黑" w:hint="eastAsia"/>
          <w:spacing w:val="12"/>
          <w:lang w:eastAsia="zh-CN"/>
        </w:rPr>
      </w:pPr>
      <w:r w:rsidRPr="009A23B2">
        <w:rPr>
          <w:rFonts w:ascii="微软雅黑" w:eastAsia="微软雅黑" w:hAnsi="微软雅黑" w:cs="微软雅黑"/>
          <w:spacing w:val="12"/>
          <w:lang w:eastAsia="zh-CN"/>
        </w:rPr>
        <w:lastRenderedPageBreak/>
        <w:t>隔夜COMEX铜震荡走强，报收5.989元/磅，涨跌幅+2.44%。国际方面，美国4月ISM制造业指数52.7，低于预期53.2，前值52.7；制造业物价支付指数84.6，高于预期80，前值78.3；制造业就业指数46.4，低于预期48.8，前值48.7。国内方面，中国4月官方制造业PMI为50.3%，略低于上月0.1个百分点，仍连续两个月处于扩张区间；非制造业PMI为49.4%，环比下降0.7个百分点；综合PMI产出指数为50.1%，下降0.4个百分点。新出口订单指数时隔23个月重回扩张区间。库存方面，截至2026年5月5日，COMEX铜库存为616825短吨，环比+973短吨；LME铜库存为398675吨，环比-1050吨；SHFE每日仓单96664吨，环比-4125吨。美元美债方面，美元指数横盘震荡，最终收涨0.019%，报98.48。基准的</w:t>
      </w:r>
      <w:proofErr w:type="gramStart"/>
      <w:r w:rsidRPr="009A23B2">
        <w:rPr>
          <w:rFonts w:ascii="微软雅黑" w:eastAsia="微软雅黑" w:hAnsi="微软雅黑" w:cs="微软雅黑"/>
          <w:spacing w:val="12"/>
          <w:lang w:eastAsia="zh-CN"/>
        </w:rPr>
        <w:t>10年期美债</w:t>
      </w:r>
      <w:proofErr w:type="gramEnd"/>
      <w:r w:rsidRPr="009A23B2">
        <w:rPr>
          <w:rFonts w:ascii="微软雅黑" w:eastAsia="微软雅黑" w:hAnsi="微软雅黑" w:cs="微软雅黑"/>
          <w:spacing w:val="12"/>
          <w:lang w:eastAsia="zh-CN"/>
        </w:rPr>
        <w:t>收益率收报4.429%，对美联储政策利率敏感的</w:t>
      </w:r>
      <w:proofErr w:type="gramStart"/>
      <w:r w:rsidRPr="009A23B2">
        <w:rPr>
          <w:rFonts w:ascii="微软雅黑" w:eastAsia="微软雅黑" w:hAnsi="微软雅黑" w:cs="微软雅黑"/>
          <w:spacing w:val="12"/>
          <w:lang w:eastAsia="zh-CN"/>
        </w:rPr>
        <w:t>2年期美债</w:t>
      </w:r>
      <w:proofErr w:type="gramEnd"/>
      <w:r w:rsidRPr="009A23B2">
        <w:rPr>
          <w:rFonts w:ascii="微软雅黑" w:eastAsia="微软雅黑" w:hAnsi="微软雅黑" w:cs="微软雅黑"/>
          <w:spacing w:val="12"/>
          <w:lang w:eastAsia="zh-CN"/>
        </w:rPr>
        <w:t>收益率则收报3.95%。操作建议，</w:t>
      </w:r>
      <w:proofErr w:type="gramStart"/>
      <w:r w:rsidRPr="009A23B2">
        <w:rPr>
          <w:rFonts w:ascii="微软雅黑" w:eastAsia="微软雅黑" w:hAnsi="微软雅黑" w:cs="微软雅黑"/>
          <w:spacing w:val="12"/>
          <w:lang w:eastAsia="zh-CN"/>
        </w:rPr>
        <w:t>纽</w:t>
      </w:r>
      <w:proofErr w:type="gramEnd"/>
      <w:r w:rsidRPr="009A23B2">
        <w:rPr>
          <w:rFonts w:ascii="微软雅黑" w:eastAsia="微软雅黑" w:hAnsi="微软雅黑" w:cs="微软雅黑"/>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320A5739" w:rsidR="00A02266" w:rsidRDefault="009A23B2" w:rsidP="006B6996">
      <w:pPr>
        <w:spacing w:before="103" w:line="256" w:lineRule="auto"/>
        <w:ind w:right="210" w:firstLine="420"/>
        <w:jc w:val="center"/>
      </w:pPr>
      <w:r>
        <w:rPr>
          <w:noProof/>
        </w:rPr>
        <w:drawing>
          <wp:inline distT="0" distB="0" distL="0" distR="0" wp14:anchorId="51C0EE3D" wp14:editId="71806D67">
            <wp:extent cx="5274310" cy="2879090"/>
            <wp:effectExtent l="0" t="0" r="2540" b="0"/>
            <wp:docPr id="1001965638" name="图片 100196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15EA783F" w14:textId="06B7EF2F" w:rsidR="00394BD0" w:rsidRDefault="009A23B2" w:rsidP="00B00DB4">
      <w:pPr>
        <w:spacing w:before="103" w:line="256" w:lineRule="auto"/>
        <w:ind w:right="210" w:firstLine="448"/>
        <w:jc w:val="both"/>
        <w:rPr>
          <w:rFonts w:ascii="微软雅黑" w:eastAsia="微软雅黑" w:hAnsi="微软雅黑" w:cs="微软雅黑" w:hint="eastAsia"/>
          <w:noProof/>
          <w:spacing w:val="7"/>
          <w:lang w:eastAsia="zh-CN"/>
        </w:rPr>
      </w:pPr>
      <w:r w:rsidRPr="009A23B2">
        <w:rPr>
          <w:rFonts w:ascii="微软雅黑" w:eastAsia="微软雅黑" w:hAnsi="微软雅黑" w:cs="微软雅黑"/>
          <w:noProof/>
          <w:spacing w:val="7"/>
          <w:lang w:eastAsia="zh-CN"/>
        </w:rPr>
        <w:t>隔夜，海外贵金属市场走势分化，COMEX黄金期货涨0.76%报4567.80美元/盎司，COMEX白银期货跌0.35%报73.27美元/盎司。美伊局势延续紧张态势，美联储年内降息空间依然承压，引发部分多头资金获利了结，贵金属市场持续偏弱运行。宏观数据方面，美国4月ISM服务业PMI小幅回落但仍显著高于荣枯分界线，物价指数维持于阶段高位水平，职位空缺数小幅回升，企业招聘率由阶段性低位企稳反弹，叠加3月美国零售数据强于市场预期，市场对于美联储年内重启降息的预期持续偏弱，美债收益率企稳回升，从成本端对金银价格形成压制。地缘方面，美伊霍尔木兹海峡对峙持续升级，停火谈判不断延后，伊朗近日宣称阻止美舰进入海峡，美方推动安理会谴责决议，冲突外溢至多边博弈。航运仍大体停滞，市场对能源冲击、通胀反弹的担忧不减。往前看，美伊局势不确定性依然高企，贵金属短期或维持震荡拉锯走势。一方面，美伊停火谈判仍然是主要风险点，目前来看达成实质性协议的可能性偏低且双边立场时有反复，能源价格与通胀预期仍存在继续走高的风险，并通过“美元中枢上移、降息预期承压、市场流动性趋紧”路径对金价形成施压。中长期而言，美国财政扩张背景下的美元信用弱化叙事尚未消退，央行逢低购金需求虽边际放缓，但中长期配置逻辑仍具韧性，金价下方逢低买盘需求或提供底部价格支撑。技</w:t>
      </w:r>
      <w:r w:rsidRPr="009A23B2">
        <w:rPr>
          <w:rFonts w:ascii="微软雅黑" w:eastAsia="微软雅黑" w:hAnsi="微软雅黑" w:cs="微软雅黑"/>
          <w:noProof/>
          <w:spacing w:val="7"/>
          <w:lang w:eastAsia="zh-CN"/>
        </w:rPr>
        <w:lastRenderedPageBreak/>
        <w:t>术面，伦敦金短线企稳反弹，日线RSI中轴附近运行，MACD绿柱有所收窄，关注上方阻力位4660、4700美元/盎司，下方强支撑4500美元/盎司；伦敦银关注上方阻力位75、77美元/盎司，下方强支撑70美元/盎司</w:t>
      </w:r>
      <w:r w:rsidR="00394BD0" w:rsidRPr="00394BD0">
        <w:rPr>
          <w:rFonts w:ascii="微软雅黑" w:eastAsia="微软雅黑" w:hAnsi="微软雅黑" w:cs="微软雅黑" w:hint="eastAsia"/>
          <w:noProof/>
          <w:spacing w:val="7"/>
          <w:lang w:eastAsia="zh-CN"/>
        </w:rPr>
        <w:t>。</w:t>
      </w:r>
    </w:p>
    <w:p w14:paraId="6AF3D94C" w14:textId="11D79136"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78A33C29" w:rsidR="007A477E" w:rsidRDefault="009A23B2"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5605C1">
        <w:rPr>
          <w:rFonts w:ascii="黑体" w:eastAsia="黑体" w:hAnsi="黑体"/>
          <w:noProof/>
          <w:sz w:val="22"/>
          <w:szCs w:val="22"/>
          <w:shd w:val="clear" w:color="auto" w:fill="FFFFFF"/>
          <w:lang w:bidi="ar"/>
        </w:rPr>
        <w:drawing>
          <wp:inline distT="0" distB="0" distL="0" distR="0" wp14:anchorId="2947DE5E" wp14:editId="452A7E29">
            <wp:extent cx="4495800" cy="2316480"/>
            <wp:effectExtent l="0" t="0" r="0" b="7620"/>
            <wp:docPr id="19956089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0" cy="231648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05E05604" w14:textId="77777777" w:rsidR="009A23B2" w:rsidRPr="009A23B2" w:rsidRDefault="009A23B2" w:rsidP="009A23B2">
      <w:pPr>
        <w:spacing w:before="103" w:line="256" w:lineRule="auto"/>
        <w:ind w:right="210" w:firstLine="448"/>
        <w:jc w:val="both"/>
        <w:rPr>
          <w:rFonts w:ascii="微软雅黑" w:eastAsia="微软雅黑" w:hAnsi="微软雅黑" w:cs="微软雅黑"/>
          <w:noProof/>
          <w:spacing w:val="7"/>
          <w:lang w:eastAsia="zh-CN"/>
        </w:rPr>
      </w:pPr>
      <w:r w:rsidRPr="009A23B2">
        <w:rPr>
          <w:rFonts w:ascii="微软雅黑" w:eastAsia="微软雅黑" w:hAnsi="微软雅黑" w:cs="微软雅黑" w:hint="eastAsia"/>
          <w:noProof/>
          <w:spacing w:val="7"/>
          <w:lang w:eastAsia="zh-CN"/>
        </w:rPr>
        <w:t>洲际交易所</w:t>
      </w:r>
      <w:r w:rsidRPr="009A23B2">
        <w:rPr>
          <w:rFonts w:ascii="微软雅黑" w:eastAsia="微软雅黑" w:hAnsi="微软雅黑" w:cs="微软雅黑"/>
          <w:noProof/>
          <w:spacing w:val="7"/>
          <w:lang w:eastAsia="zh-CN"/>
        </w:rPr>
        <w:t>(ICE)</w:t>
      </w:r>
      <w:r w:rsidRPr="009A23B2">
        <w:rPr>
          <w:rFonts w:ascii="微软雅黑" w:eastAsia="微软雅黑" w:hAnsi="微软雅黑" w:cs="微软雅黑" w:hint="eastAsia"/>
          <w:noProof/>
          <w:spacing w:val="7"/>
          <w:lang w:eastAsia="zh-CN"/>
        </w:rPr>
        <w:t>原糖期货周二收高，因能源价格上涨提供支撑。</w:t>
      </w:r>
      <w:r w:rsidRPr="009A23B2">
        <w:rPr>
          <w:rFonts w:ascii="微软雅黑" w:eastAsia="微软雅黑" w:hAnsi="微软雅黑" w:cs="微软雅黑"/>
          <w:noProof/>
          <w:spacing w:val="7"/>
          <w:lang w:eastAsia="zh-CN"/>
        </w:rPr>
        <w:t>ICE</w:t>
      </w:r>
      <w:r w:rsidRPr="009A23B2">
        <w:rPr>
          <w:rFonts w:ascii="微软雅黑" w:eastAsia="微软雅黑" w:hAnsi="微软雅黑" w:cs="微软雅黑" w:hint="eastAsia"/>
          <w:noProof/>
          <w:spacing w:val="7"/>
          <w:lang w:eastAsia="zh-CN"/>
        </w:rPr>
        <w:t>交投最活跃的</w:t>
      </w:r>
      <w:r w:rsidRPr="009A23B2">
        <w:rPr>
          <w:rFonts w:ascii="微软雅黑" w:eastAsia="微软雅黑" w:hAnsi="微软雅黑" w:cs="微软雅黑"/>
          <w:noProof/>
          <w:spacing w:val="7"/>
          <w:lang w:eastAsia="zh-CN"/>
        </w:rPr>
        <w:t>7</w:t>
      </w:r>
      <w:r w:rsidRPr="009A23B2">
        <w:rPr>
          <w:rFonts w:ascii="微软雅黑" w:eastAsia="微软雅黑" w:hAnsi="微软雅黑" w:cs="微软雅黑" w:hint="eastAsia"/>
          <w:noProof/>
          <w:spacing w:val="7"/>
          <w:lang w:eastAsia="zh-CN"/>
        </w:rPr>
        <w:t>月原糖期货收涨</w:t>
      </w:r>
      <w:r w:rsidRPr="009A23B2">
        <w:rPr>
          <w:rFonts w:ascii="微软雅黑" w:eastAsia="微软雅黑" w:hAnsi="微软雅黑" w:cs="微软雅黑"/>
          <w:noProof/>
          <w:spacing w:val="7"/>
          <w:lang w:eastAsia="zh-CN"/>
        </w:rPr>
        <w:t>0.08</w:t>
      </w:r>
      <w:r w:rsidRPr="009A23B2">
        <w:rPr>
          <w:rFonts w:ascii="微软雅黑" w:eastAsia="微软雅黑" w:hAnsi="微软雅黑" w:cs="微软雅黑" w:hint="eastAsia"/>
          <w:noProof/>
          <w:spacing w:val="7"/>
          <w:lang w:eastAsia="zh-CN"/>
        </w:rPr>
        <w:t>美分或</w:t>
      </w:r>
      <w:r w:rsidRPr="009A23B2">
        <w:rPr>
          <w:rFonts w:ascii="微软雅黑" w:eastAsia="微软雅黑" w:hAnsi="微软雅黑" w:cs="微软雅黑"/>
          <w:noProof/>
          <w:spacing w:val="7"/>
          <w:lang w:eastAsia="zh-CN"/>
        </w:rPr>
        <w:t>0.52%</w:t>
      </w:r>
      <w:r w:rsidRPr="009A23B2">
        <w:rPr>
          <w:rFonts w:ascii="微软雅黑" w:eastAsia="微软雅黑" w:hAnsi="微软雅黑" w:cs="微软雅黑" w:hint="eastAsia"/>
          <w:noProof/>
          <w:spacing w:val="7"/>
          <w:lang w:eastAsia="zh-CN"/>
        </w:rPr>
        <w:t>，结算价报每磅</w:t>
      </w:r>
      <w:r w:rsidRPr="009A23B2">
        <w:rPr>
          <w:rFonts w:ascii="微软雅黑" w:eastAsia="微软雅黑" w:hAnsi="微软雅黑" w:cs="微软雅黑"/>
          <w:noProof/>
          <w:spacing w:val="7"/>
          <w:lang w:eastAsia="zh-CN"/>
        </w:rPr>
        <w:t>15.37</w:t>
      </w:r>
      <w:r w:rsidRPr="009A23B2">
        <w:rPr>
          <w:rFonts w:ascii="微软雅黑" w:eastAsia="微软雅黑" w:hAnsi="微软雅黑" w:cs="微软雅黑" w:hint="eastAsia"/>
          <w:noProof/>
          <w:spacing w:val="7"/>
          <w:lang w:eastAsia="zh-CN"/>
        </w:rPr>
        <w:t>美分。</w:t>
      </w:r>
    </w:p>
    <w:p w14:paraId="0A507CB2" w14:textId="77777777" w:rsidR="009A23B2" w:rsidRPr="009A23B2" w:rsidRDefault="009A23B2" w:rsidP="009A23B2">
      <w:pPr>
        <w:spacing w:before="103" w:line="256" w:lineRule="auto"/>
        <w:ind w:right="210" w:firstLine="448"/>
        <w:jc w:val="both"/>
        <w:rPr>
          <w:rFonts w:ascii="微软雅黑" w:eastAsia="微软雅黑" w:hAnsi="微软雅黑" w:cs="微软雅黑"/>
          <w:noProof/>
          <w:spacing w:val="7"/>
          <w:lang w:eastAsia="zh-CN"/>
        </w:rPr>
      </w:pPr>
      <w:r w:rsidRPr="009A23B2">
        <w:rPr>
          <w:rFonts w:ascii="微软雅黑" w:eastAsia="微软雅黑" w:hAnsi="微软雅黑" w:cs="微软雅黑" w:hint="eastAsia"/>
          <w:noProof/>
          <w:spacing w:val="7"/>
          <w:lang w:eastAsia="zh-CN"/>
        </w:rPr>
        <w:t>国际方面，</w:t>
      </w:r>
      <w:r w:rsidRPr="009A23B2">
        <w:rPr>
          <w:rFonts w:ascii="微软雅黑" w:eastAsia="微软雅黑" w:hAnsi="微软雅黑" w:cs="微软雅黑"/>
          <w:noProof/>
          <w:spacing w:val="7"/>
          <w:lang w:eastAsia="zh-CN"/>
        </w:rPr>
        <w:t>Conab</w:t>
      </w:r>
      <w:r w:rsidRPr="009A23B2">
        <w:rPr>
          <w:rFonts w:ascii="微软雅黑" w:eastAsia="微软雅黑" w:hAnsi="微软雅黑" w:cs="微软雅黑" w:hint="eastAsia"/>
          <w:noProof/>
          <w:spacing w:val="7"/>
          <w:lang w:eastAsia="zh-CN"/>
        </w:rPr>
        <w:t>首期预测</w:t>
      </w:r>
      <w:r w:rsidRPr="009A23B2">
        <w:rPr>
          <w:rFonts w:ascii="微软雅黑" w:eastAsia="微软雅黑" w:hAnsi="微软雅黑" w:cs="微软雅黑"/>
          <w:noProof/>
          <w:spacing w:val="7"/>
          <w:lang w:eastAsia="zh-CN"/>
        </w:rPr>
        <w:t>2026/27</w:t>
      </w:r>
      <w:r w:rsidRPr="009A23B2">
        <w:rPr>
          <w:rFonts w:ascii="微软雅黑" w:eastAsia="微软雅黑" w:hAnsi="微软雅黑" w:cs="微软雅黑" w:hint="eastAsia"/>
          <w:noProof/>
          <w:spacing w:val="7"/>
          <w:lang w:eastAsia="zh-CN"/>
        </w:rPr>
        <w:t>年度甘蔗调查报告，得益于生产力提升及收割面积扩大预期，预测</w:t>
      </w:r>
      <w:r w:rsidRPr="009A23B2">
        <w:rPr>
          <w:rFonts w:ascii="微软雅黑" w:eastAsia="微软雅黑" w:hAnsi="微软雅黑" w:cs="微软雅黑"/>
          <w:noProof/>
          <w:spacing w:val="7"/>
          <w:lang w:eastAsia="zh-CN"/>
        </w:rPr>
        <w:t>2026/27</w:t>
      </w:r>
      <w:r w:rsidRPr="009A23B2">
        <w:rPr>
          <w:rFonts w:ascii="微软雅黑" w:eastAsia="微软雅黑" w:hAnsi="微软雅黑" w:cs="微软雅黑" w:hint="eastAsia"/>
          <w:noProof/>
          <w:spacing w:val="7"/>
          <w:lang w:eastAsia="zh-CN"/>
        </w:rPr>
        <w:t>年度巴西甘蔗产量将达到</w:t>
      </w:r>
      <w:r w:rsidRPr="009A23B2">
        <w:rPr>
          <w:rFonts w:ascii="微软雅黑" w:eastAsia="微软雅黑" w:hAnsi="微软雅黑" w:cs="微软雅黑"/>
          <w:noProof/>
          <w:spacing w:val="7"/>
          <w:lang w:eastAsia="zh-CN"/>
        </w:rPr>
        <w:t>7.09</w:t>
      </w:r>
      <w:r w:rsidRPr="009A23B2">
        <w:rPr>
          <w:rFonts w:ascii="微软雅黑" w:eastAsia="微软雅黑" w:hAnsi="微软雅黑" w:cs="微软雅黑" w:hint="eastAsia"/>
          <w:noProof/>
          <w:spacing w:val="7"/>
          <w:lang w:eastAsia="zh-CN"/>
        </w:rPr>
        <w:t>亿吨，较上一年度增长</w:t>
      </w:r>
      <w:r w:rsidRPr="009A23B2">
        <w:rPr>
          <w:rFonts w:ascii="微软雅黑" w:eastAsia="微软雅黑" w:hAnsi="微软雅黑" w:cs="微软雅黑"/>
          <w:noProof/>
          <w:spacing w:val="7"/>
          <w:lang w:eastAsia="zh-CN"/>
        </w:rPr>
        <w:t>5.3%</w:t>
      </w:r>
      <w:r w:rsidRPr="009A23B2">
        <w:rPr>
          <w:rFonts w:ascii="微软雅黑" w:eastAsia="微软雅黑" w:hAnsi="微软雅黑" w:cs="微软雅黑" w:hint="eastAsia"/>
          <w:noProof/>
          <w:spacing w:val="7"/>
          <w:lang w:eastAsia="zh-CN"/>
        </w:rPr>
        <w:t>。创下该机构统计史上第二高记录，仅次于</w:t>
      </w:r>
      <w:r w:rsidRPr="009A23B2">
        <w:rPr>
          <w:rFonts w:ascii="微软雅黑" w:eastAsia="微软雅黑" w:hAnsi="微软雅黑" w:cs="微软雅黑"/>
          <w:noProof/>
          <w:spacing w:val="7"/>
          <w:lang w:eastAsia="zh-CN"/>
        </w:rPr>
        <w:t>2023/24</w:t>
      </w:r>
      <w:r w:rsidRPr="009A23B2">
        <w:rPr>
          <w:rFonts w:ascii="微软雅黑" w:eastAsia="微软雅黑" w:hAnsi="微软雅黑" w:cs="微软雅黑" w:hint="eastAsia"/>
          <w:noProof/>
          <w:spacing w:val="7"/>
          <w:lang w:eastAsia="zh-CN"/>
        </w:rPr>
        <w:t>年度收成。不过甘蔗压榨量增加，但由于市场条件有利，生物燃料产量预计将大幅增长，巴西</w:t>
      </w:r>
      <w:r w:rsidRPr="009A23B2">
        <w:rPr>
          <w:rFonts w:ascii="微软雅黑" w:eastAsia="微软雅黑" w:hAnsi="微软雅黑" w:cs="微软雅黑"/>
          <w:noProof/>
          <w:spacing w:val="7"/>
          <w:lang w:eastAsia="zh-CN"/>
        </w:rPr>
        <w:t>2026/27</w:t>
      </w:r>
      <w:r w:rsidRPr="009A23B2">
        <w:rPr>
          <w:rFonts w:ascii="微软雅黑" w:eastAsia="微软雅黑" w:hAnsi="微软雅黑" w:cs="微软雅黑" w:hint="eastAsia"/>
          <w:noProof/>
          <w:spacing w:val="7"/>
          <w:lang w:eastAsia="zh-CN"/>
        </w:rPr>
        <w:t>年度糖产量下降</w:t>
      </w:r>
      <w:r w:rsidRPr="009A23B2">
        <w:rPr>
          <w:rFonts w:ascii="微软雅黑" w:eastAsia="微软雅黑" w:hAnsi="微软雅黑" w:cs="微软雅黑"/>
          <w:noProof/>
          <w:spacing w:val="7"/>
          <w:lang w:eastAsia="zh-CN"/>
        </w:rPr>
        <w:t>0.5%</w:t>
      </w:r>
      <w:r w:rsidRPr="009A23B2">
        <w:rPr>
          <w:rFonts w:ascii="微软雅黑" w:eastAsia="微软雅黑" w:hAnsi="微软雅黑" w:cs="微软雅黑" w:hint="eastAsia"/>
          <w:noProof/>
          <w:spacing w:val="7"/>
          <w:lang w:eastAsia="zh-CN"/>
        </w:rPr>
        <w:t>至</w:t>
      </w:r>
      <w:r w:rsidRPr="009A23B2">
        <w:rPr>
          <w:rFonts w:ascii="微软雅黑" w:eastAsia="微软雅黑" w:hAnsi="微软雅黑" w:cs="微软雅黑"/>
          <w:noProof/>
          <w:spacing w:val="7"/>
          <w:lang w:eastAsia="zh-CN"/>
        </w:rPr>
        <w:t>4395</w:t>
      </w:r>
      <w:r w:rsidRPr="009A23B2">
        <w:rPr>
          <w:rFonts w:ascii="微软雅黑" w:eastAsia="微软雅黑" w:hAnsi="微软雅黑" w:cs="微软雅黑" w:hint="eastAsia"/>
          <w:noProof/>
          <w:spacing w:val="7"/>
          <w:lang w:eastAsia="zh-CN"/>
        </w:rPr>
        <w:t>万吨。巴西乙醇产量将增长</w:t>
      </w:r>
      <w:r w:rsidRPr="009A23B2">
        <w:rPr>
          <w:rFonts w:ascii="微软雅黑" w:eastAsia="微软雅黑" w:hAnsi="微软雅黑" w:cs="微软雅黑"/>
          <w:noProof/>
          <w:spacing w:val="7"/>
          <w:lang w:eastAsia="zh-CN"/>
        </w:rPr>
        <w:t>8.5%</w:t>
      </w:r>
      <w:r w:rsidRPr="009A23B2">
        <w:rPr>
          <w:rFonts w:ascii="微软雅黑" w:eastAsia="微软雅黑" w:hAnsi="微软雅黑" w:cs="微软雅黑" w:hint="eastAsia"/>
          <w:noProof/>
          <w:spacing w:val="7"/>
          <w:lang w:eastAsia="zh-CN"/>
        </w:rPr>
        <w:t>至</w:t>
      </w:r>
      <w:r w:rsidRPr="009A23B2">
        <w:rPr>
          <w:rFonts w:ascii="微软雅黑" w:eastAsia="微软雅黑" w:hAnsi="微软雅黑" w:cs="微软雅黑"/>
          <w:noProof/>
          <w:spacing w:val="7"/>
          <w:lang w:eastAsia="zh-CN"/>
        </w:rPr>
        <w:t>406.9</w:t>
      </w:r>
      <w:r w:rsidRPr="009A23B2">
        <w:rPr>
          <w:rFonts w:ascii="微软雅黑" w:eastAsia="微软雅黑" w:hAnsi="微软雅黑" w:cs="微软雅黑" w:hint="eastAsia"/>
          <w:noProof/>
          <w:spacing w:val="7"/>
          <w:lang w:eastAsia="zh-CN"/>
        </w:rPr>
        <w:t>亿升。</w:t>
      </w:r>
    </w:p>
    <w:p w14:paraId="3F44DEBC" w14:textId="4CCC76B4" w:rsidR="00C27A84" w:rsidRDefault="009A23B2" w:rsidP="009A23B2">
      <w:pPr>
        <w:spacing w:before="103" w:line="256" w:lineRule="auto"/>
        <w:ind w:right="210" w:firstLine="448"/>
        <w:jc w:val="both"/>
        <w:rPr>
          <w:rFonts w:ascii="微软雅黑" w:eastAsia="微软雅黑" w:hAnsi="微软雅黑" w:cs="微软雅黑" w:hint="eastAsia"/>
          <w:noProof/>
          <w:spacing w:val="7"/>
          <w:lang w:eastAsia="zh-CN"/>
        </w:rPr>
      </w:pPr>
      <w:r w:rsidRPr="009A23B2">
        <w:rPr>
          <w:rFonts w:ascii="微软雅黑" w:eastAsia="微软雅黑" w:hAnsi="微软雅黑" w:cs="微软雅黑" w:hint="eastAsia"/>
          <w:noProof/>
          <w:spacing w:val="7"/>
          <w:lang w:eastAsia="zh-CN"/>
        </w:rPr>
        <w:t>美糖主力价格关注上方压力</w:t>
      </w:r>
      <w:r w:rsidRPr="009A23B2">
        <w:rPr>
          <w:rFonts w:ascii="微软雅黑" w:eastAsia="微软雅黑" w:hAnsi="微软雅黑" w:cs="微软雅黑"/>
          <w:noProof/>
          <w:spacing w:val="7"/>
          <w:lang w:eastAsia="zh-CN"/>
        </w:rPr>
        <w:t>15.8</w:t>
      </w:r>
      <w:r w:rsidRPr="009A23B2">
        <w:rPr>
          <w:rFonts w:ascii="微软雅黑" w:eastAsia="微软雅黑" w:hAnsi="微软雅黑" w:cs="微软雅黑" w:hint="eastAsia"/>
          <w:noProof/>
          <w:spacing w:val="7"/>
          <w:lang w:eastAsia="zh-CN"/>
        </w:rPr>
        <w:t>美分</w:t>
      </w:r>
      <w:r w:rsidRPr="009A23B2">
        <w:rPr>
          <w:rFonts w:ascii="微软雅黑" w:eastAsia="微软雅黑" w:hAnsi="微软雅黑" w:cs="微软雅黑"/>
          <w:noProof/>
          <w:spacing w:val="7"/>
          <w:lang w:eastAsia="zh-CN"/>
        </w:rPr>
        <w:t>/</w:t>
      </w:r>
      <w:r w:rsidRPr="009A23B2">
        <w:rPr>
          <w:rFonts w:ascii="微软雅黑" w:eastAsia="微软雅黑" w:hAnsi="微软雅黑" w:cs="微软雅黑" w:hint="eastAsia"/>
          <w:noProof/>
          <w:spacing w:val="7"/>
          <w:lang w:eastAsia="zh-CN"/>
        </w:rPr>
        <w:t>磅，下方支撑</w:t>
      </w:r>
      <w:r w:rsidRPr="009A23B2">
        <w:rPr>
          <w:rFonts w:ascii="微软雅黑" w:eastAsia="微软雅黑" w:hAnsi="微软雅黑" w:cs="微软雅黑"/>
          <w:noProof/>
          <w:spacing w:val="7"/>
          <w:lang w:eastAsia="zh-CN"/>
        </w:rPr>
        <w:t>13.80</w:t>
      </w:r>
      <w:r w:rsidRPr="009A23B2">
        <w:rPr>
          <w:rFonts w:ascii="微软雅黑" w:eastAsia="微软雅黑" w:hAnsi="微软雅黑" w:cs="微软雅黑" w:hint="eastAsia"/>
          <w:noProof/>
          <w:spacing w:val="7"/>
          <w:lang w:eastAsia="zh-CN"/>
        </w:rPr>
        <w:t>美分</w:t>
      </w:r>
      <w:r w:rsidRPr="009A23B2">
        <w:rPr>
          <w:rFonts w:ascii="微软雅黑" w:eastAsia="微软雅黑" w:hAnsi="微软雅黑" w:cs="微软雅黑"/>
          <w:noProof/>
          <w:spacing w:val="7"/>
          <w:lang w:eastAsia="zh-CN"/>
        </w:rPr>
        <w:t>/</w:t>
      </w:r>
      <w:r w:rsidRPr="009A23B2">
        <w:rPr>
          <w:rFonts w:ascii="微软雅黑" w:eastAsia="微软雅黑" w:hAnsi="微软雅黑" w:cs="微软雅黑" w:hint="eastAsia"/>
          <w:noProof/>
          <w:spacing w:val="7"/>
          <w:lang w:eastAsia="zh-CN"/>
        </w:rPr>
        <w:t>磅。建议</w:t>
      </w:r>
      <w:r w:rsidRPr="009A23B2">
        <w:rPr>
          <w:rFonts w:ascii="微软雅黑" w:eastAsia="微软雅黑" w:hAnsi="微软雅黑" w:cs="微软雅黑"/>
          <w:noProof/>
          <w:spacing w:val="7"/>
          <w:lang w:eastAsia="zh-CN"/>
        </w:rPr>
        <w:t>7</w:t>
      </w:r>
      <w:r w:rsidRPr="009A23B2">
        <w:rPr>
          <w:rFonts w:ascii="微软雅黑" w:eastAsia="微软雅黑" w:hAnsi="微软雅黑" w:cs="微软雅黑" w:hint="eastAsia"/>
          <w:noProof/>
          <w:spacing w:val="7"/>
          <w:lang w:eastAsia="zh-CN"/>
        </w:rPr>
        <w:t>月</w:t>
      </w:r>
      <w:r w:rsidRPr="009A23B2">
        <w:rPr>
          <w:rFonts w:ascii="微软雅黑" w:eastAsia="微软雅黑" w:hAnsi="微软雅黑" w:cs="微软雅黑"/>
          <w:noProof/>
          <w:spacing w:val="7"/>
          <w:lang w:eastAsia="zh-CN"/>
        </w:rPr>
        <w:t xml:space="preserve"> ICE </w:t>
      </w:r>
      <w:r w:rsidRPr="009A23B2">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2FEFDB0A" w:rsidR="007A477E" w:rsidRPr="00786136" w:rsidRDefault="009A23B2"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0CB40206" wp14:editId="3820E421">
            <wp:extent cx="5271770" cy="2162810"/>
            <wp:effectExtent l="0" t="0" r="5080" b="8890"/>
            <wp:docPr id="1655310883" name="图片 5" descr="QQ截图2026050608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QQ截图2026050608085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1770" cy="2162810"/>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1ABC8EB5" w14:textId="77777777" w:rsidR="009A23B2" w:rsidRPr="009A23B2" w:rsidRDefault="009A23B2" w:rsidP="009A23B2">
      <w:pPr>
        <w:spacing w:before="103" w:line="256" w:lineRule="auto"/>
        <w:ind w:right="210" w:firstLine="448"/>
        <w:jc w:val="both"/>
        <w:rPr>
          <w:rFonts w:ascii="微软雅黑" w:eastAsia="微软雅黑" w:hAnsi="微软雅黑" w:cs="微软雅黑"/>
          <w:noProof/>
          <w:spacing w:val="7"/>
          <w:lang w:eastAsia="zh-CN"/>
        </w:rPr>
      </w:pPr>
      <w:r w:rsidRPr="009A23B2">
        <w:rPr>
          <w:rFonts w:ascii="微软雅黑" w:eastAsia="微软雅黑" w:hAnsi="微软雅黑" w:cs="微软雅黑" w:hint="eastAsia"/>
          <w:noProof/>
          <w:spacing w:val="7"/>
          <w:lang w:eastAsia="zh-CN"/>
        </w:rPr>
        <w:t>洲际交易所</w:t>
      </w:r>
      <w:r w:rsidRPr="009A23B2">
        <w:rPr>
          <w:rFonts w:ascii="微软雅黑" w:eastAsia="微软雅黑" w:hAnsi="微软雅黑" w:cs="微软雅黑"/>
          <w:noProof/>
          <w:spacing w:val="7"/>
          <w:lang w:eastAsia="zh-CN"/>
        </w:rPr>
        <w:t>(ICE)</w:t>
      </w:r>
      <w:r w:rsidRPr="009A23B2">
        <w:rPr>
          <w:rFonts w:ascii="微软雅黑" w:eastAsia="微软雅黑" w:hAnsi="微软雅黑" w:cs="微软雅黑" w:hint="eastAsia"/>
          <w:noProof/>
          <w:spacing w:val="7"/>
          <w:lang w:eastAsia="zh-CN"/>
        </w:rPr>
        <w:t>棉花期货周二攀升至两年多来高位，因西得克萨斯州干燥天气引发供应担忧。</w:t>
      </w:r>
      <w:r w:rsidRPr="009A23B2">
        <w:rPr>
          <w:rFonts w:ascii="微软雅黑" w:eastAsia="微软雅黑" w:hAnsi="微软雅黑" w:cs="微软雅黑"/>
          <w:noProof/>
          <w:spacing w:val="7"/>
          <w:lang w:eastAsia="zh-CN"/>
        </w:rPr>
        <w:t>ICE 7</w:t>
      </w:r>
      <w:r w:rsidRPr="009A23B2">
        <w:rPr>
          <w:rFonts w:ascii="微软雅黑" w:eastAsia="微软雅黑" w:hAnsi="微软雅黑" w:cs="微软雅黑" w:hint="eastAsia"/>
          <w:noProof/>
          <w:spacing w:val="7"/>
          <w:lang w:eastAsia="zh-CN"/>
        </w:rPr>
        <w:t>月棉花期货合约收涨</w:t>
      </w:r>
      <w:r w:rsidRPr="009A23B2">
        <w:rPr>
          <w:rFonts w:ascii="微软雅黑" w:eastAsia="微软雅黑" w:hAnsi="微软雅黑" w:cs="微软雅黑"/>
          <w:noProof/>
          <w:spacing w:val="7"/>
          <w:lang w:eastAsia="zh-CN"/>
        </w:rPr>
        <w:t>1.88</w:t>
      </w:r>
      <w:r w:rsidRPr="009A23B2">
        <w:rPr>
          <w:rFonts w:ascii="微软雅黑" w:eastAsia="微软雅黑" w:hAnsi="微软雅黑" w:cs="微软雅黑" w:hint="eastAsia"/>
          <w:noProof/>
          <w:spacing w:val="7"/>
          <w:lang w:eastAsia="zh-CN"/>
        </w:rPr>
        <w:t>美分，或</w:t>
      </w:r>
      <w:r w:rsidRPr="009A23B2">
        <w:rPr>
          <w:rFonts w:ascii="微软雅黑" w:eastAsia="微软雅黑" w:hAnsi="微软雅黑" w:cs="微软雅黑"/>
          <w:noProof/>
          <w:spacing w:val="7"/>
          <w:lang w:eastAsia="zh-CN"/>
        </w:rPr>
        <w:t>2.27%</w:t>
      </w:r>
      <w:r w:rsidRPr="009A23B2">
        <w:rPr>
          <w:rFonts w:ascii="微软雅黑" w:eastAsia="微软雅黑" w:hAnsi="微软雅黑" w:cs="微软雅黑" w:hint="eastAsia"/>
          <w:noProof/>
          <w:spacing w:val="7"/>
          <w:lang w:eastAsia="zh-CN"/>
        </w:rPr>
        <w:t>，结算价报每磅</w:t>
      </w:r>
      <w:r w:rsidRPr="009A23B2">
        <w:rPr>
          <w:rFonts w:ascii="微软雅黑" w:eastAsia="微软雅黑" w:hAnsi="微软雅黑" w:cs="微软雅黑"/>
          <w:noProof/>
          <w:spacing w:val="7"/>
          <w:lang w:eastAsia="zh-CN"/>
        </w:rPr>
        <w:t>84.80</w:t>
      </w:r>
      <w:r w:rsidRPr="009A23B2">
        <w:rPr>
          <w:rFonts w:ascii="微软雅黑" w:eastAsia="微软雅黑" w:hAnsi="微软雅黑" w:cs="微软雅黑" w:hint="eastAsia"/>
          <w:noProof/>
          <w:spacing w:val="7"/>
          <w:lang w:eastAsia="zh-CN"/>
        </w:rPr>
        <w:t>分。</w:t>
      </w:r>
    </w:p>
    <w:p w14:paraId="4EBB7DC2" w14:textId="77777777" w:rsidR="009A23B2" w:rsidRPr="009A23B2" w:rsidRDefault="009A23B2" w:rsidP="009A23B2">
      <w:pPr>
        <w:spacing w:before="103" w:line="256" w:lineRule="auto"/>
        <w:ind w:right="210" w:firstLine="448"/>
        <w:jc w:val="both"/>
        <w:rPr>
          <w:rFonts w:ascii="微软雅黑" w:eastAsia="微软雅黑" w:hAnsi="微软雅黑" w:cs="微软雅黑"/>
          <w:noProof/>
          <w:spacing w:val="7"/>
          <w:lang w:eastAsia="zh-CN"/>
        </w:rPr>
      </w:pPr>
      <w:r w:rsidRPr="009A23B2">
        <w:rPr>
          <w:rFonts w:ascii="微软雅黑" w:eastAsia="微软雅黑" w:hAnsi="微软雅黑" w:cs="微软雅黑" w:hint="eastAsia"/>
          <w:noProof/>
          <w:spacing w:val="7"/>
          <w:lang w:eastAsia="zh-CN"/>
        </w:rPr>
        <w:t>国际方面，据美国农业部</w:t>
      </w:r>
      <w:r w:rsidRPr="009A23B2">
        <w:rPr>
          <w:rFonts w:ascii="微软雅黑" w:eastAsia="微软雅黑" w:hAnsi="微软雅黑" w:cs="微软雅黑"/>
          <w:noProof/>
          <w:spacing w:val="7"/>
          <w:lang w:eastAsia="zh-CN"/>
        </w:rPr>
        <w:t>(USDA)</w:t>
      </w:r>
      <w:r w:rsidRPr="009A23B2">
        <w:rPr>
          <w:rFonts w:ascii="微软雅黑" w:eastAsia="微软雅黑" w:hAnsi="微软雅黑" w:cs="微软雅黑" w:hint="eastAsia"/>
          <w:noProof/>
          <w:spacing w:val="7"/>
          <w:lang w:eastAsia="zh-CN"/>
        </w:rPr>
        <w:t>首份作物生长报告显示</w:t>
      </w:r>
      <w:r w:rsidRPr="009A23B2">
        <w:rPr>
          <w:rFonts w:ascii="微软雅黑" w:eastAsia="微软雅黑" w:hAnsi="微软雅黑" w:cs="微软雅黑"/>
          <w:noProof/>
          <w:spacing w:val="7"/>
          <w:lang w:eastAsia="zh-CN"/>
        </w:rPr>
        <w:t xml:space="preserve"> </w:t>
      </w:r>
      <w:r w:rsidRPr="009A23B2">
        <w:rPr>
          <w:rFonts w:ascii="微软雅黑" w:eastAsia="微软雅黑" w:hAnsi="微软雅黑" w:cs="微软雅黑" w:hint="eastAsia"/>
          <w:noProof/>
          <w:spacing w:val="7"/>
          <w:lang w:eastAsia="zh-CN"/>
        </w:rPr>
        <w:t>，截至</w:t>
      </w:r>
      <w:r w:rsidRPr="009A23B2">
        <w:rPr>
          <w:rFonts w:ascii="微软雅黑" w:eastAsia="微软雅黑" w:hAnsi="微软雅黑" w:cs="微软雅黑"/>
          <w:noProof/>
          <w:spacing w:val="7"/>
          <w:lang w:eastAsia="zh-CN"/>
        </w:rPr>
        <w:t>2026</w:t>
      </w:r>
      <w:r w:rsidRPr="009A23B2">
        <w:rPr>
          <w:rFonts w:ascii="微软雅黑" w:eastAsia="微软雅黑" w:hAnsi="微软雅黑" w:cs="微软雅黑" w:hint="eastAsia"/>
          <w:noProof/>
          <w:spacing w:val="7"/>
          <w:lang w:eastAsia="zh-CN"/>
        </w:rPr>
        <w:t>年</w:t>
      </w:r>
      <w:r w:rsidRPr="009A23B2">
        <w:rPr>
          <w:rFonts w:ascii="微软雅黑" w:eastAsia="微软雅黑" w:hAnsi="微软雅黑" w:cs="微软雅黑"/>
          <w:noProof/>
          <w:spacing w:val="7"/>
          <w:lang w:eastAsia="zh-CN"/>
        </w:rPr>
        <w:t>4</w:t>
      </w:r>
      <w:r w:rsidRPr="009A23B2">
        <w:rPr>
          <w:rFonts w:ascii="微软雅黑" w:eastAsia="微软雅黑" w:hAnsi="微软雅黑" w:cs="微软雅黑" w:hint="eastAsia"/>
          <w:noProof/>
          <w:spacing w:val="7"/>
          <w:lang w:eastAsia="zh-CN"/>
        </w:rPr>
        <w:t>月</w:t>
      </w:r>
      <w:r w:rsidRPr="009A23B2">
        <w:rPr>
          <w:rFonts w:ascii="微软雅黑" w:eastAsia="微软雅黑" w:hAnsi="微软雅黑" w:cs="微软雅黑"/>
          <w:noProof/>
          <w:spacing w:val="7"/>
          <w:lang w:eastAsia="zh-CN"/>
        </w:rPr>
        <w:t>26</w:t>
      </w:r>
      <w:r w:rsidRPr="009A23B2">
        <w:rPr>
          <w:rFonts w:ascii="微软雅黑" w:eastAsia="微软雅黑" w:hAnsi="微软雅黑" w:cs="微软雅黑" w:hint="eastAsia"/>
          <w:noProof/>
          <w:spacing w:val="7"/>
          <w:lang w:eastAsia="zh-CN"/>
        </w:rPr>
        <w:t>日当周，美国棉花种植率为</w:t>
      </w:r>
      <w:r w:rsidRPr="009A23B2">
        <w:rPr>
          <w:rFonts w:ascii="微软雅黑" w:eastAsia="微软雅黑" w:hAnsi="微软雅黑" w:cs="微软雅黑"/>
          <w:noProof/>
          <w:spacing w:val="7"/>
          <w:lang w:eastAsia="zh-CN"/>
        </w:rPr>
        <w:t>16%</w:t>
      </w:r>
      <w:r w:rsidRPr="009A23B2">
        <w:rPr>
          <w:rFonts w:ascii="微软雅黑" w:eastAsia="微软雅黑" w:hAnsi="微软雅黑" w:cs="微软雅黑" w:hint="eastAsia"/>
          <w:noProof/>
          <w:spacing w:val="7"/>
          <w:lang w:eastAsia="zh-CN"/>
        </w:rPr>
        <w:t>，较上周（</w:t>
      </w:r>
      <w:r w:rsidRPr="009A23B2">
        <w:rPr>
          <w:rFonts w:ascii="微软雅黑" w:eastAsia="微软雅黑" w:hAnsi="微软雅黑" w:cs="微软雅黑"/>
          <w:noProof/>
          <w:spacing w:val="7"/>
          <w:lang w:eastAsia="zh-CN"/>
        </w:rPr>
        <w:t>11%</w:t>
      </w:r>
      <w:r w:rsidRPr="009A23B2">
        <w:rPr>
          <w:rFonts w:ascii="微软雅黑" w:eastAsia="微软雅黑" w:hAnsi="微软雅黑" w:cs="微软雅黑" w:hint="eastAsia"/>
          <w:noProof/>
          <w:spacing w:val="7"/>
          <w:lang w:eastAsia="zh-CN"/>
        </w:rPr>
        <w:t>）增加</w:t>
      </w:r>
      <w:r w:rsidRPr="009A23B2">
        <w:rPr>
          <w:rFonts w:ascii="微软雅黑" w:eastAsia="微软雅黑" w:hAnsi="微软雅黑" w:cs="微软雅黑"/>
          <w:noProof/>
          <w:spacing w:val="7"/>
          <w:lang w:eastAsia="zh-CN"/>
        </w:rPr>
        <w:t>5%</w:t>
      </w:r>
      <w:r w:rsidRPr="009A23B2">
        <w:rPr>
          <w:rFonts w:ascii="微软雅黑" w:eastAsia="微软雅黑" w:hAnsi="微软雅黑" w:cs="微软雅黑" w:hint="eastAsia"/>
          <w:noProof/>
          <w:spacing w:val="7"/>
          <w:lang w:eastAsia="zh-CN"/>
        </w:rPr>
        <w:t>，较去年同期（</w:t>
      </w:r>
      <w:r w:rsidRPr="009A23B2">
        <w:rPr>
          <w:rFonts w:ascii="微软雅黑" w:eastAsia="微软雅黑" w:hAnsi="微软雅黑" w:cs="微软雅黑"/>
          <w:noProof/>
          <w:spacing w:val="7"/>
          <w:lang w:eastAsia="zh-CN"/>
        </w:rPr>
        <w:t>14%</w:t>
      </w:r>
      <w:r w:rsidRPr="009A23B2">
        <w:rPr>
          <w:rFonts w:ascii="微软雅黑" w:eastAsia="微软雅黑" w:hAnsi="微软雅黑" w:cs="微软雅黑" w:hint="eastAsia"/>
          <w:noProof/>
          <w:spacing w:val="7"/>
          <w:lang w:eastAsia="zh-CN"/>
        </w:rPr>
        <w:t>）增加</w:t>
      </w:r>
      <w:r w:rsidRPr="009A23B2">
        <w:rPr>
          <w:rFonts w:ascii="微软雅黑" w:eastAsia="微软雅黑" w:hAnsi="微软雅黑" w:cs="微软雅黑"/>
          <w:noProof/>
          <w:spacing w:val="7"/>
          <w:lang w:eastAsia="zh-CN"/>
        </w:rPr>
        <w:t>2%</w:t>
      </w:r>
      <w:r w:rsidRPr="009A23B2">
        <w:rPr>
          <w:rFonts w:ascii="微软雅黑" w:eastAsia="微软雅黑" w:hAnsi="微软雅黑" w:cs="微软雅黑" w:hint="eastAsia"/>
          <w:noProof/>
          <w:spacing w:val="7"/>
          <w:lang w:eastAsia="zh-CN"/>
        </w:rPr>
        <w:t>，较五年同期均值（</w:t>
      </w:r>
      <w:r w:rsidRPr="009A23B2">
        <w:rPr>
          <w:rFonts w:ascii="微软雅黑" w:eastAsia="微软雅黑" w:hAnsi="微软雅黑" w:cs="微软雅黑"/>
          <w:noProof/>
          <w:spacing w:val="7"/>
          <w:lang w:eastAsia="zh-CN"/>
        </w:rPr>
        <w:t>13%</w:t>
      </w:r>
      <w:r w:rsidRPr="009A23B2">
        <w:rPr>
          <w:rFonts w:ascii="微软雅黑" w:eastAsia="微软雅黑" w:hAnsi="微软雅黑" w:cs="微软雅黑" w:hint="eastAsia"/>
          <w:noProof/>
          <w:spacing w:val="7"/>
          <w:lang w:eastAsia="zh-CN"/>
        </w:rPr>
        <w:t>）增加</w:t>
      </w:r>
      <w:r w:rsidRPr="009A23B2">
        <w:rPr>
          <w:rFonts w:ascii="微软雅黑" w:eastAsia="微软雅黑" w:hAnsi="微软雅黑" w:cs="微软雅黑"/>
          <w:noProof/>
          <w:spacing w:val="7"/>
          <w:lang w:eastAsia="zh-CN"/>
        </w:rPr>
        <w:t>3%</w:t>
      </w:r>
      <w:r w:rsidRPr="009A23B2">
        <w:rPr>
          <w:rFonts w:ascii="微软雅黑" w:eastAsia="微软雅黑" w:hAnsi="微软雅黑" w:cs="微软雅黑" w:hint="eastAsia"/>
          <w:noProof/>
          <w:spacing w:val="7"/>
          <w:lang w:eastAsia="zh-CN"/>
        </w:rPr>
        <w:t>。</w:t>
      </w:r>
    </w:p>
    <w:p w14:paraId="722F5E7C" w14:textId="09D46AAC" w:rsidR="00944987" w:rsidRPr="00944987" w:rsidRDefault="009A23B2" w:rsidP="009A23B2">
      <w:pPr>
        <w:spacing w:before="103" w:line="256" w:lineRule="auto"/>
        <w:ind w:right="210" w:firstLine="448"/>
        <w:jc w:val="both"/>
        <w:rPr>
          <w:rFonts w:ascii="微软雅黑" w:eastAsia="微软雅黑" w:hAnsi="微软雅黑" w:cs="微软雅黑" w:hint="eastAsia"/>
          <w:noProof/>
          <w:spacing w:val="7"/>
          <w:lang w:eastAsia="zh-CN"/>
        </w:rPr>
      </w:pPr>
      <w:r w:rsidRPr="009A23B2">
        <w:rPr>
          <w:rFonts w:ascii="微软雅黑" w:eastAsia="微软雅黑" w:hAnsi="微软雅黑" w:cs="微软雅黑" w:hint="eastAsia"/>
          <w:noProof/>
          <w:spacing w:val="7"/>
          <w:lang w:eastAsia="zh-CN"/>
        </w:rPr>
        <w:t>美棉主力价格关注上方压力</w:t>
      </w:r>
      <w:r w:rsidRPr="009A23B2">
        <w:rPr>
          <w:rFonts w:ascii="微软雅黑" w:eastAsia="微软雅黑" w:hAnsi="微软雅黑" w:cs="微软雅黑"/>
          <w:noProof/>
          <w:spacing w:val="7"/>
          <w:lang w:eastAsia="zh-CN"/>
        </w:rPr>
        <w:t>90</w:t>
      </w:r>
      <w:r w:rsidRPr="009A23B2">
        <w:rPr>
          <w:rFonts w:ascii="微软雅黑" w:eastAsia="微软雅黑" w:hAnsi="微软雅黑" w:cs="微软雅黑" w:hint="eastAsia"/>
          <w:noProof/>
          <w:spacing w:val="7"/>
          <w:lang w:eastAsia="zh-CN"/>
        </w:rPr>
        <w:t>美分</w:t>
      </w:r>
      <w:r w:rsidRPr="009A23B2">
        <w:rPr>
          <w:rFonts w:ascii="微软雅黑" w:eastAsia="微软雅黑" w:hAnsi="微软雅黑" w:cs="微软雅黑"/>
          <w:noProof/>
          <w:spacing w:val="7"/>
          <w:lang w:eastAsia="zh-CN"/>
        </w:rPr>
        <w:t>/</w:t>
      </w:r>
      <w:r w:rsidRPr="009A23B2">
        <w:rPr>
          <w:rFonts w:ascii="微软雅黑" w:eastAsia="微软雅黑" w:hAnsi="微软雅黑" w:cs="微软雅黑" w:hint="eastAsia"/>
          <w:noProof/>
          <w:spacing w:val="7"/>
          <w:lang w:eastAsia="zh-CN"/>
        </w:rPr>
        <w:t>磅，下方支撑</w:t>
      </w:r>
      <w:r w:rsidRPr="009A23B2">
        <w:rPr>
          <w:rFonts w:ascii="微软雅黑" w:eastAsia="微软雅黑" w:hAnsi="微软雅黑" w:cs="微软雅黑"/>
          <w:noProof/>
          <w:spacing w:val="7"/>
          <w:lang w:eastAsia="zh-CN"/>
        </w:rPr>
        <w:t>75</w:t>
      </w:r>
      <w:r w:rsidRPr="009A23B2">
        <w:rPr>
          <w:rFonts w:ascii="微软雅黑" w:eastAsia="微软雅黑" w:hAnsi="微软雅黑" w:cs="微软雅黑" w:hint="eastAsia"/>
          <w:noProof/>
          <w:spacing w:val="7"/>
          <w:lang w:eastAsia="zh-CN"/>
        </w:rPr>
        <w:t>美分</w:t>
      </w:r>
      <w:r w:rsidRPr="009A23B2">
        <w:rPr>
          <w:rFonts w:ascii="微软雅黑" w:eastAsia="微软雅黑" w:hAnsi="微软雅黑" w:cs="微软雅黑"/>
          <w:noProof/>
          <w:spacing w:val="7"/>
          <w:lang w:eastAsia="zh-CN"/>
        </w:rPr>
        <w:t>/</w:t>
      </w:r>
      <w:r w:rsidRPr="009A23B2">
        <w:rPr>
          <w:rFonts w:ascii="微软雅黑" w:eastAsia="微软雅黑" w:hAnsi="微软雅黑" w:cs="微软雅黑" w:hint="eastAsia"/>
          <w:noProof/>
          <w:spacing w:val="7"/>
          <w:lang w:eastAsia="zh-CN"/>
        </w:rPr>
        <w:t>磅。建议</w:t>
      </w:r>
      <w:r w:rsidRPr="009A23B2">
        <w:rPr>
          <w:rFonts w:ascii="微软雅黑" w:eastAsia="微软雅黑" w:hAnsi="微软雅黑" w:cs="微软雅黑"/>
          <w:noProof/>
          <w:spacing w:val="7"/>
          <w:lang w:eastAsia="zh-CN"/>
        </w:rPr>
        <w:t xml:space="preserve"> ICE 7</w:t>
      </w:r>
      <w:r w:rsidRPr="009A23B2">
        <w:rPr>
          <w:rFonts w:ascii="微软雅黑" w:eastAsia="微软雅黑" w:hAnsi="微软雅黑" w:cs="微软雅黑" w:hint="eastAsia"/>
          <w:noProof/>
          <w:spacing w:val="7"/>
          <w:lang w:eastAsia="zh-CN"/>
        </w:rPr>
        <w:t>月期棉短期逢回调买入多单思路对待</w:t>
      </w:r>
      <w:r w:rsidR="00944987" w:rsidRPr="00944987">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2A1E4EBD" w:rsidR="00C24CC6" w:rsidRDefault="009A23B2"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74386660" wp14:editId="67BF7CBA">
            <wp:extent cx="5263515" cy="2154555"/>
            <wp:effectExtent l="0" t="0" r="0" b="0"/>
            <wp:docPr id="2055357348" name="图片 6" descr="QQ截图2026050608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QQ截图202605060809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3515" cy="215455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lastRenderedPageBreak/>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5113C" w14:textId="77777777" w:rsidR="00094AE7" w:rsidRDefault="00094AE7">
      <w:pPr>
        <w:ind w:right="210" w:firstLine="420"/>
      </w:pPr>
      <w:r>
        <w:separator/>
      </w:r>
    </w:p>
  </w:endnote>
  <w:endnote w:type="continuationSeparator" w:id="0">
    <w:p w14:paraId="2EF30D55" w14:textId="77777777" w:rsidR="00094AE7" w:rsidRDefault="00094AE7">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F00443" w14:textId="77777777" w:rsidR="00094AE7" w:rsidRDefault="00094AE7">
      <w:pPr>
        <w:ind w:right="210" w:firstLine="420"/>
      </w:pPr>
      <w:r>
        <w:separator/>
      </w:r>
    </w:p>
  </w:footnote>
  <w:footnote w:type="continuationSeparator" w:id="0">
    <w:p w14:paraId="7238FC25" w14:textId="77777777" w:rsidR="00094AE7" w:rsidRDefault="00094AE7">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846491019"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252C"/>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AE7"/>
    <w:rsid w:val="00094B4A"/>
    <w:rsid w:val="00095513"/>
    <w:rsid w:val="00095FF2"/>
    <w:rsid w:val="0009722E"/>
    <w:rsid w:val="00097D7E"/>
    <w:rsid w:val="000A1568"/>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3F6"/>
    <w:rsid w:val="000C678D"/>
    <w:rsid w:val="000C6C79"/>
    <w:rsid w:val="000D2226"/>
    <w:rsid w:val="000D4C2B"/>
    <w:rsid w:val="000D677A"/>
    <w:rsid w:val="000E107B"/>
    <w:rsid w:val="000E1CD6"/>
    <w:rsid w:val="000E37BF"/>
    <w:rsid w:val="000F2E96"/>
    <w:rsid w:val="000F434E"/>
    <w:rsid w:val="000F5752"/>
    <w:rsid w:val="000F5A15"/>
    <w:rsid w:val="000F6A95"/>
    <w:rsid w:val="0010025C"/>
    <w:rsid w:val="001031A8"/>
    <w:rsid w:val="001046E7"/>
    <w:rsid w:val="00104BEA"/>
    <w:rsid w:val="00105881"/>
    <w:rsid w:val="00106677"/>
    <w:rsid w:val="001072C6"/>
    <w:rsid w:val="00107653"/>
    <w:rsid w:val="0011030F"/>
    <w:rsid w:val="001106DA"/>
    <w:rsid w:val="00110D06"/>
    <w:rsid w:val="0011113D"/>
    <w:rsid w:val="001113FA"/>
    <w:rsid w:val="001123C4"/>
    <w:rsid w:val="001136D4"/>
    <w:rsid w:val="00115A1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3F3B"/>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46B3"/>
    <w:rsid w:val="001A5679"/>
    <w:rsid w:val="001A581E"/>
    <w:rsid w:val="001A6891"/>
    <w:rsid w:val="001A7DBC"/>
    <w:rsid w:val="001B07DA"/>
    <w:rsid w:val="001B08CC"/>
    <w:rsid w:val="001B0995"/>
    <w:rsid w:val="001B28F2"/>
    <w:rsid w:val="001B603B"/>
    <w:rsid w:val="001B64C1"/>
    <w:rsid w:val="001C034E"/>
    <w:rsid w:val="001C07A0"/>
    <w:rsid w:val="001C1871"/>
    <w:rsid w:val="001C1BA8"/>
    <w:rsid w:val="001C28A7"/>
    <w:rsid w:val="001C290A"/>
    <w:rsid w:val="001C369F"/>
    <w:rsid w:val="001C43DE"/>
    <w:rsid w:val="001C4D7E"/>
    <w:rsid w:val="001C51A4"/>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4948"/>
    <w:rsid w:val="00214B67"/>
    <w:rsid w:val="00216516"/>
    <w:rsid w:val="00216CCD"/>
    <w:rsid w:val="00216D52"/>
    <w:rsid w:val="00217C95"/>
    <w:rsid w:val="00220006"/>
    <w:rsid w:val="002220FE"/>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37368"/>
    <w:rsid w:val="00241ED4"/>
    <w:rsid w:val="00242605"/>
    <w:rsid w:val="00243413"/>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AE9"/>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1822"/>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2F6B0F"/>
    <w:rsid w:val="002F6B1F"/>
    <w:rsid w:val="002F70E4"/>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87FB4"/>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3E0"/>
    <w:rsid w:val="004F74A8"/>
    <w:rsid w:val="004F78EB"/>
    <w:rsid w:val="004F7B11"/>
    <w:rsid w:val="00502E1A"/>
    <w:rsid w:val="005032E4"/>
    <w:rsid w:val="00503381"/>
    <w:rsid w:val="0050522A"/>
    <w:rsid w:val="00506C79"/>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441B"/>
    <w:rsid w:val="00574708"/>
    <w:rsid w:val="005754B9"/>
    <w:rsid w:val="00575A07"/>
    <w:rsid w:val="00575B83"/>
    <w:rsid w:val="00576331"/>
    <w:rsid w:val="00576E52"/>
    <w:rsid w:val="005771E6"/>
    <w:rsid w:val="00577356"/>
    <w:rsid w:val="00577869"/>
    <w:rsid w:val="00577DBC"/>
    <w:rsid w:val="00583A38"/>
    <w:rsid w:val="00583B82"/>
    <w:rsid w:val="00587742"/>
    <w:rsid w:val="0059047A"/>
    <w:rsid w:val="0059133E"/>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9E"/>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18FC"/>
    <w:rsid w:val="00635F90"/>
    <w:rsid w:val="006360C1"/>
    <w:rsid w:val="006376A1"/>
    <w:rsid w:val="006378E2"/>
    <w:rsid w:val="0064243E"/>
    <w:rsid w:val="00642558"/>
    <w:rsid w:val="00642D7D"/>
    <w:rsid w:val="00643C9E"/>
    <w:rsid w:val="00644943"/>
    <w:rsid w:val="00644A9F"/>
    <w:rsid w:val="00644AEE"/>
    <w:rsid w:val="006458DB"/>
    <w:rsid w:val="00646C5A"/>
    <w:rsid w:val="00647A80"/>
    <w:rsid w:val="0065002F"/>
    <w:rsid w:val="006536EA"/>
    <w:rsid w:val="00653A5D"/>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BC9"/>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57"/>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36299"/>
    <w:rsid w:val="00741116"/>
    <w:rsid w:val="00742C46"/>
    <w:rsid w:val="00743FF4"/>
    <w:rsid w:val="007444C0"/>
    <w:rsid w:val="00744BF0"/>
    <w:rsid w:val="007469FD"/>
    <w:rsid w:val="00752CA2"/>
    <w:rsid w:val="00752F35"/>
    <w:rsid w:val="00753199"/>
    <w:rsid w:val="00753237"/>
    <w:rsid w:val="007532B5"/>
    <w:rsid w:val="0075620D"/>
    <w:rsid w:val="0075630E"/>
    <w:rsid w:val="007563E6"/>
    <w:rsid w:val="00756B70"/>
    <w:rsid w:val="00760A58"/>
    <w:rsid w:val="00760E5D"/>
    <w:rsid w:val="00760F9A"/>
    <w:rsid w:val="00761650"/>
    <w:rsid w:val="00761B29"/>
    <w:rsid w:val="00765484"/>
    <w:rsid w:val="00765525"/>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4E18"/>
    <w:rsid w:val="007A612E"/>
    <w:rsid w:val="007A6B14"/>
    <w:rsid w:val="007A70F5"/>
    <w:rsid w:val="007A7159"/>
    <w:rsid w:val="007A768E"/>
    <w:rsid w:val="007A7903"/>
    <w:rsid w:val="007B3E0B"/>
    <w:rsid w:val="007B4B50"/>
    <w:rsid w:val="007C0BB3"/>
    <w:rsid w:val="007C1292"/>
    <w:rsid w:val="007C1951"/>
    <w:rsid w:val="007C19C6"/>
    <w:rsid w:val="007C1E13"/>
    <w:rsid w:val="007C2ACF"/>
    <w:rsid w:val="007C30B0"/>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2FEF"/>
    <w:rsid w:val="008342FF"/>
    <w:rsid w:val="00834B63"/>
    <w:rsid w:val="00834C27"/>
    <w:rsid w:val="008351A3"/>
    <w:rsid w:val="00835B4E"/>
    <w:rsid w:val="00843BDE"/>
    <w:rsid w:val="008452A0"/>
    <w:rsid w:val="00845B7D"/>
    <w:rsid w:val="00845F7E"/>
    <w:rsid w:val="00846477"/>
    <w:rsid w:val="00846EF5"/>
    <w:rsid w:val="008473AF"/>
    <w:rsid w:val="00851C6B"/>
    <w:rsid w:val="00851CF1"/>
    <w:rsid w:val="00853615"/>
    <w:rsid w:val="00853C1D"/>
    <w:rsid w:val="008560BB"/>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77D3"/>
    <w:rsid w:val="00897E2F"/>
    <w:rsid w:val="008A04B9"/>
    <w:rsid w:val="008A22F1"/>
    <w:rsid w:val="008A2879"/>
    <w:rsid w:val="008A424A"/>
    <w:rsid w:val="008A4E99"/>
    <w:rsid w:val="008A5696"/>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19B8"/>
    <w:rsid w:val="00912070"/>
    <w:rsid w:val="0091320F"/>
    <w:rsid w:val="009142F4"/>
    <w:rsid w:val="009145EF"/>
    <w:rsid w:val="0091526F"/>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3B2"/>
    <w:rsid w:val="009A29B6"/>
    <w:rsid w:val="009A3249"/>
    <w:rsid w:val="009A4AC4"/>
    <w:rsid w:val="009A6ABA"/>
    <w:rsid w:val="009A6FD4"/>
    <w:rsid w:val="009A7CE8"/>
    <w:rsid w:val="009B00A1"/>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12D"/>
    <w:rsid w:val="009F5BE1"/>
    <w:rsid w:val="009F64F4"/>
    <w:rsid w:val="009F72B2"/>
    <w:rsid w:val="009F78AF"/>
    <w:rsid w:val="00A006BA"/>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2377"/>
    <w:rsid w:val="00A53676"/>
    <w:rsid w:val="00A53874"/>
    <w:rsid w:val="00A544AB"/>
    <w:rsid w:val="00A54710"/>
    <w:rsid w:val="00A54CE3"/>
    <w:rsid w:val="00A55274"/>
    <w:rsid w:val="00A56867"/>
    <w:rsid w:val="00A569F4"/>
    <w:rsid w:val="00A625C1"/>
    <w:rsid w:val="00A6283C"/>
    <w:rsid w:val="00A62BE6"/>
    <w:rsid w:val="00A62DEC"/>
    <w:rsid w:val="00A62E14"/>
    <w:rsid w:val="00A63882"/>
    <w:rsid w:val="00A63996"/>
    <w:rsid w:val="00A640AD"/>
    <w:rsid w:val="00A659D7"/>
    <w:rsid w:val="00A66AD4"/>
    <w:rsid w:val="00A67FA5"/>
    <w:rsid w:val="00A712BC"/>
    <w:rsid w:val="00A75923"/>
    <w:rsid w:val="00A75D0F"/>
    <w:rsid w:val="00A76B56"/>
    <w:rsid w:val="00A76C2D"/>
    <w:rsid w:val="00A77701"/>
    <w:rsid w:val="00A804C6"/>
    <w:rsid w:val="00A80F5B"/>
    <w:rsid w:val="00A8188E"/>
    <w:rsid w:val="00A81EB1"/>
    <w:rsid w:val="00A82150"/>
    <w:rsid w:val="00A82521"/>
    <w:rsid w:val="00A829AA"/>
    <w:rsid w:val="00A82B73"/>
    <w:rsid w:val="00A83217"/>
    <w:rsid w:val="00A83ABE"/>
    <w:rsid w:val="00A85056"/>
    <w:rsid w:val="00A866F2"/>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2BEF"/>
    <w:rsid w:val="00AC490E"/>
    <w:rsid w:val="00AC5554"/>
    <w:rsid w:val="00AC579C"/>
    <w:rsid w:val="00AC6ADE"/>
    <w:rsid w:val="00AC7B19"/>
    <w:rsid w:val="00AD128D"/>
    <w:rsid w:val="00AD20B3"/>
    <w:rsid w:val="00AD4207"/>
    <w:rsid w:val="00AD4446"/>
    <w:rsid w:val="00AD650B"/>
    <w:rsid w:val="00AD7B15"/>
    <w:rsid w:val="00AD7CF1"/>
    <w:rsid w:val="00AE0614"/>
    <w:rsid w:val="00AE061F"/>
    <w:rsid w:val="00AE11F4"/>
    <w:rsid w:val="00AE127B"/>
    <w:rsid w:val="00AE1886"/>
    <w:rsid w:val="00AE2365"/>
    <w:rsid w:val="00AE310E"/>
    <w:rsid w:val="00AE484C"/>
    <w:rsid w:val="00AE4E06"/>
    <w:rsid w:val="00AE56E0"/>
    <w:rsid w:val="00AE6648"/>
    <w:rsid w:val="00AE743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071C1"/>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91"/>
    <w:rsid w:val="00B4699D"/>
    <w:rsid w:val="00B46FCD"/>
    <w:rsid w:val="00B52288"/>
    <w:rsid w:val="00B539F7"/>
    <w:rsid w:val="00B54085"/>
    <w:rsid w:val="00B54643"/>
    <w:rsid w:val="00B54B31"/>
    <w:rsid w:val="00B55A09"/>
    <w:rsid w:val="00B55B24"/>
    <w:rsid w:val="00B55E8F"/>
    <w:rsid w:val="00B56CF5"/>
    <w:rsid w:val="00B6096B"/>
    <w:rsid w:val="00B60A1E"/>
    <w:rsid w:val="00B60A6D"/>
    <w:rsid w:val="00B621A7"/>
    <w:rsid w:val="00B6439F"/>
    <w:rsid w:val="00B64755"/>
    <w:rsid w:val="00B679D2"/>
    <w:rsid w:val="00B67AFE"/>
    <w:rsid w:val="00B67EC5"/>
    <w:rsid w:val="00B7174B"/>
    <w:rsid w:val="00B71E12"/>
    <w:rsid w:val="00B722F9"/>
    <w:rsid w:val="00B72588"/>
    <w:rsid w:val="00B72C17"/>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0447"/>
    <w:rsid w:val="00BB1618"/>
    <w:rsid w:val="00BB20F8"/>
    <w:rsid w:val="00BB257A"/>
    <w:rsid w:val="00BB25B4"/>
    <w:rsid w:val="00BB2D5C"/>
    <w:rsid w:val="00BB41E2"/>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094"/>
    <w:rsid w:val="00BD2291"/>
    <w:rsid w:val="00BD2646"/>
    <w:rsid w:val="00BD368B"/>
    <w:rsid w:val="00BD501D"/>
    <w:rsid w:val="00BD55A4"/>
    <w:rsid w:val="00BD5B2D"/>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BF6FB8"/>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4CB6"/>
    <w:rsid w:val="00C24CC6"/>
    <w:rsid w:val="00C26566"/>
    <w:rsid w:val="00C26DB4"/>
    <w:rsid w:val="00C27A84"/>
    <w:rsid w:val="00C27AED"/>
    <w:rsid w:val="00C30738"/>
    <w:rsid w:val="00C31763"/>
    <w:rsid w:val="00C32B59"/>
    <w:rsid w:val="00C34D19"/>
    <w:rsid w:val="00C40605"/>
    <w:rsid w:val="00C406CD"/>
    <w:rsid w:val="00C41465"/>
    <w:rsid w:val="00C41CC8"/>
    <w:rsid w:val="00C41F77"/>
    <w:rsid w:val="00C43524"/>
    <w:rsid w:val="00C441E0"/>
    <w:rsid w:val="00C459B5"/>
    <w:rsid w:val="00C47281"/>
    <w:rsid w:val="00C47A0B"/>
    <w:rsid w:val="00C500E1"/>
    <w:rsid w:val="00C5184A"/>
    <w:rsid w:val="00C5222E"/>
    <w:rsid w:val="00C525C7"/>
    <w:rsid w:val="00C54666"/>
    <w:rsid w:val="00C5518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1480"/>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6DC"/>
    <w:rsid w:val="00D41DC2"/>
    <w:rsid w:val="00D41E70"/>
    <w:rsid w:val="00D41EB1"/>
    <w:rsid w:val="00D42157"/>
    <w:rsid w:val="00D42465"/>
    <w:rsid w:val="00D42F82"/>
    <w:rsid w:val="00D437F6"/>
    <w:rsid w:val="00D43DFB"/>
    <w:rsid w:val="00D44799"/>
    <w:rsid w:val="00D44A08"/>
    <w:rsid w:val="00D47264"/>
    <w:rsid w:val="00D51464"/>
    <w:rsid w:val="00D51553"/>
    <w:rsid w:val="00D519DA"/>
    <w:rsid w:val="00D52744"/>
    <w:rsid w:val="00D528AD"/>
    <w:rsid w:val="00D53CC4"/>
    <w:rsid w:val="00D53D21"/>
    <w:rsid w:val="00D53DC0"/>
    <w:rsid w:val="00D53F74"/>
    <w:rsid w:val="00D54321"/>
    <w:rsid w:val="00D56D30"/>
    <w:rsid w:val="00D57C23"/>
    <w:rsid w:val="00D60439"/>
    <w:rsid w:val="00D60B99"/>
    <w:rsid w:val="00D60C93"/>
    <w:rsid w:val="00D62A77"/>
    <w:rsid w:val="00D62D59"/>
    <w:rsid w:val="00D62F84"/>
    <w:rsid w:val="00D64AA3"/>
    <w:rsid w:val="00D64D2D"/>
    <w:rsid w:val="00D64D94"/>
    <w:rsid w:val="00D66A75"/>
    <w:rsid w:val="00D66DAA"/>
    <w:rsid w:val="00D673DE"/>
    <w:rsid w:val="00D677F5"/>
    <w:rsid w:val="00D70B6B"/>
    <w:rsid w:val="00D71D03"/>
    <w:rsid w:val="00D73717"/>
    <w:rsid w:val="00D7385F"/>
    <w:rsid w:val="00D73B22"/>
    <w:rsid w:val="00D74171"/>
    <w:rsid w:val="00D74631"/>
    <w:rsid w:val="00D74CD7"/>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2649"/>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0BCF"/>
    <w:rsid w:val="00DB1791"/>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5A36"/>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96B67"/>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565"/>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8C7"/>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128"/>
    <w:rsid w:val="00F764A9"/>
    <w:rsid w:val="00F76D0D"/>
    <w:rsid w:val="00F773BE"/>
    <w:rsid w:val="00F80428"/>
    <w:rsid w:val="00F80C87"/>
    <w:rsid w:val="00F80D7F"/>
    <w:rsid w:val="00F83CC4"/>
    <w:rsid w:val="00F849C0"/>
    <w:rsid w:val="00F86514"/>
    <w:rsid w:val="00F90154"/>
    <w:rsid w:val="00F9381E"/>
    <w:rsid w:val="00F948BD"/>
    <w:rsid w:val="00F95495"/>
    <w:rsid w:val="00F9621D"/>
    <w:rsid w:val="00F96282"/>
    <w:rsid w:val="00FA0009"/>
    <w:rsid w:val="00FA03AB"/>
    <w:rsid w:val="00FA05EE"/>
    <w:rsid w:val="00FA188D"/>
    <w:rsid w:val="00FA3094"/>
    <w:rsid w:val="00FA4922"/>
    <w:rsid w:val="00FA5AE5"/>
    <w:rsid w:val="00FA63FA"/>
    <w:rsid w:val="00FA7A35"/>
    <w:rsid w:val="00FB1336"/>
    <w:rsid w:val="00FB235B"/>
    <w:rsid w:val="00FB260A"/>
    <w:rsid w:val="00FB2769"/>
    <w:rsid w:val="00FB2CD1"/>
    <w:rsid w:val="00FC0BEF"/>
    <w:rsid w:val="00FC4600"/>
    <w:rsid w:val="00FC4D96"/>
    <w:rsid w:val="00FC4DBB"/>
    <w:rsid w:val="00FC53B5"/>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Pages>
  <Words>842</Words>
  <Characters>4806</Characters>
  <Application>Microsoft Office Word</Application>
  <DocSecurity>0</DocSecurity>
  <Lines>40</Lines>
  <Paragraphs>11</Paragraphs>
  <ScaleCrop>false</ScaleCrop>
  <Company/>
  <LinksUpToDate>false</LinksUpToDate>
  <CharactersWithSpaces>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2026-05-06T02:08:00Z</dcterms:created>
  <dcterms:modified xsi:type="dcterms:W3CDTF">2026-05-06T02:08:00Z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