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111C57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0F04E9">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65CC4753" w:rsidR="007B3E0B" w:rsidRDefault="000F04E9"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0F04E9">
        <w:rPr>
          <w:rFonts w:ascii="微软雅黑" w:eastAsia="微软雅黑" w:hAnsi="微软雅黑" w:cs="微软雅黑"/>
          <w:spacing w:val="12"/>
          <w:lang w:eastAsia="zh-CN"/>
        </w:rPr>
        <w:t>美国三大股指小幅收跌，道指跌0.63%报49596.97点，</w:t>
      </w:r>
      <w:proofErr w:type="gramStart"/>
      <w:r w:rsidRPr="000F04E9">
        <w:rPr>
          <w:rFonts w:ascii="微软雅黑" w:eastAsia="微软雅黑" w:hAnsi="微软雅黑" w:cs="微软雅黑"/>
          <w:spacing w:val="12"/>
          <w:lang w:eastAsia="zh-CN"/>
        </w:rPr>
        <w:t>标普</w:t>
      </w:r>
      <w:proofErr w:type="gramEnd"/>
      <w:r w:rsidRPr="000F04E9">
        <w:rPr>
          <w:rFonts w:ascii="微软雅黑" w:eastAsia="微软雅黑" w:hAnsi="微软雅黑" w:cs="微软雅黑"/>
          <w:spacing w:val="12"/>
          <w:lang w:eastAsia="zh-CN"/>
        </w:rPr>
        <w:t>500指数跌0.38%报7337.11点，</w:t>
      </w:r>
      <w:proofErr w:type="gramStart"/>
      <w:r w:rsidRPr="000F04E9">
        <w:rPr>
          <w:rFonts w:ascii="微软雅黑" w:eastAsia="微软雅黑" w:hAnsi="微软雅黑" w:cs="微软雅黑"/>
          <w:spacing w:val="12"/>
          <w:lang w:eastAsia="zh-CN"/>
        </w:rPr>
        <w:t>纳指跌</w:t>
      </w:r>
      <w:proofErr w:type="gramEnd"/>
      <w:r w:rsidRPr="000F04E9">
        <w:rPr>
          <w:rFonts w:ascii="微软雅黑" w:eastAsia="微软雅黑" w:hAnsi="微软雅黑" w:cs="微软雅黑"/>
          <w:spacing w:val="12"/>
          <w:lang w:eastAsia="zh-CN"/>
        </w:rPr>
        <w:t>0.13%报25806.2点。美元指数涨0.26%报98.28，非美货币多数下跌，欧元兑美元跌0.21%报1.1723，英镑兑美元跌0.32%报1.3550，澳元兑美元跌0.43%报0.7206，美元兑日元涨0.36%报156.9410，美元兑加元涨0.25%报1.3665，美元兑</w:t>
      </w:r>
      <w:proofErr w:type="gramStart"/>
      <w:r w:rsidRPr="000F04E9">
        <w:rPr>
          <w:rFonts w:ascii="微软雅黑" w:eastAsia="微软雅黑" w:hAnsi="微软雅黑" w:cs="微软雅黑"/>
          <w:spacing w:val="12"/>
          <w:lang w:eastAsia="zh-CN"/>
        </w:rPr>
        <w:t>瑞郎涨</w:t>
      </w:r>
      <w:proofErr w:type="gramEnd"/>
      <w:r w:rsidRPr="000F04E9">
        <w:rPr>
          <w:rFonts w:ascii="微软雅黑" w:eastAsia="微软雅黑" w:hAnsi="微软雅黑" w:cs="微软雅黑"/>
          <w:spacing w:val="12"/>
          <w:lang w:eastAsia="zh-CN"/>
        </w:rPr>
        <w:t>0.25%报0.7807，离岸人民币对美元涨46个基点报6.8089。</w:t>
      </w:r>
      <w:r w:rsidR="009376BB" w:rsidRPr="009376BB">
        <w:rPr>
          <w:rFonts w:ascii="微软雅黑" w:eastAsia="微软雅黑" w:hAnsi="微软雅黑" w:cs="微软雅黑"/>
          <w:spacing w:val="12"/>
          <w:lang w:eastAsia="zh-CN"/>
        </w:rPr>
        <w:t>。</w:t>
      </w:r>
      <w:r w:rsidRPr="000F04E9">
        <w:rPr>
          <w:rFonts w:ascii="微软雅黑" w:eastAsia="微软雅黑" w:hAnsi="微软雅黑" w:cs="微软雅黑"/>
          <w:spacing w:val="12"/>
          <w:lang w:eastAsia="zh-CN"/>
        </w:rPr>
        <w:t>国际贵金属期货普遍收涨，COMEX黄金期货涨0.04%报4696.00美元/盎司，COMEX白银期货涨2.09%报78.92美元/盎司。</w:t>
      </w:r>
      <w:proofErr w:type="gramStart"/>
      <w:r w:rsidRPr="000F04E9">
        <w:rPr>
          <w:rFonts w:ascii="微软雅黑" w:eastAsia="微软雅黑" w:hAnsi="微软雅黑" w:cs="微软雅黑"/>
          <w:spacing w:val="12"/>
          <w:lang w:eastAsia="zh-CN"/>
        </w:rPr>
        <w:t>美油主力</w:t>
      </w:r>
      <w:proofErr w:type="gramEnd"/>
      <w:r w:rsidRPr="000F04E9">
        <w:rPr>
          <w:rFonts w:ascii="微软雅黑" w:eastAsia="微软雅黑" w:hAnsi="微软雅黑" w:cs="微软雅黑"/>
          <w:spacing w:val="12"/>
          <w:lang w:eastAsia="zh-CN"/>
        </w:rPr>
        <w:t>合约收涨2.71%，报97.66美元/桶；</w:t>
      </w:r>
      <w:proofErr w:type="gramStart"/>
      <w:r w:rsidRPr="000F04E9">
        <w:rPr>
          <w:rFonts w:ascii="微软雅黑" w:eastAsia="微软雅黑" w:hAnsi="微软雅黑" w:cs="微软雅黑"/>
          <w:spacing w:val="12"/>
          <w:lang w:eastAsia="zh-CN"/>
        </w:rPr>
        <w:t>布油主力</w:t>
      </w:r>
      <w:proofErr w:type="gramEnd"/>
      <w:r w:rsidRPr="000F04E9">
        <w:rPr>
          <w:rFonts w:ascii="微软雅黑" w:eastAsia="微软雅黑" w:hAnsi="微软雅黑" w:cs="微软雅黑"/>
          <w:spacing w:val="12"/>
          <w:lang w:eastAsia="zh-CN"/>
        </w:rPr>
        <w:t>合约涨2.07%，报103.37美元/桶。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sidR="009376BB">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1.69</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9376BB">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56</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9376BB">
        <w:rPr>
          <w:rFonts w:ascii="微软雅黑" w:eastAsia="微软雅黑" w:hAnsi="微软雅黑" w:cs="微软雅黑" w:hint="eastAsia"/>
          <w:spacing w:val="12"/>
          <w:lang w:eastAsia="zh-CN"/>
        </w:rPr>
        <w:t>跌1.</w:t>
      </w:r>
      <w:r>
        <w:rPr>
          <w:rFonts w:ascii="微软雅黑" w:eastAsia="微软雅黑" w:hAnsi="微软雅黑" w:cs="微软雅黑" w:hint="eastAsia"/>
          <w:spacing w:val="12"/>
          <w:lang w:eastAsia="zh-CN"/>
        </w:rPr>
        <w:t>61</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9A23B2">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2.70</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F7FB507" w:rsidR="00557736" w:rsidRPr="0022448B" w:rsidRDefault="000F04E9"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72BBCAB" wp14:editId="59C31743">
            <wp:extent cx="6173772" cy="4242132"/>
            <wp:effectExtent l="0" t="0" r="0" b="6350"/>
            <wp:docPr id="18598248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9182" cy="4252721"/>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75F2B7BC" w:rsidR="00B539F7" w:rsidRPr="000F04E9"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0F04E9" w:rsidRPr="000F04E9">
        <w:rPr>
          <w:rFonts w:ascii="微软雅黑" w:eastAsia="微软雅黑" w:hAnsi="微软雅黑" w:cs="微软雅黑"/>
          <w:color w:val="auto"/>
          <w:spacing w:val="4"/>
          <w:lang w:eastAsia="zh-CN"/>
        </w:rPr>
        <w:t>多名消息人士称，美国和伊朗可能接近达成一项临时协议。美方此前提出的多项核心要求，如伊朗暂停核活动、限制导弹计划、停止支持所谓“地区代理人”等，均未纳入协议草案。该协议将包含三个阶段：首先正式结束战事；其次解决霍尔木兹海峡危机；最后启动为期30天的谈判窗口，以争取达成一份更广泛的协议。</w:t>
      </w:r>
      <w:r w:rsidRPr="000F04E9">
        <w:rPr>
          <w:rFonts w:ascii="微软雅黑" w:eastAsia="微软雅黑" w:hAnsi="微软雅黑" w:cs="微软雅黑" w:hint="eastAsia"/>
          <w:color w:val="auto"/>
          <w:spacing w:val="4"/>
          <w:lang w:eastAsia="zh-CN"/>
        </w:rPr>
        <w:t>】</w:t>
      </w:r>
    </w:p>
    <w:p w14:paraId="68EDC742" w14:textId="1E6DDC97" w:rsidR="00D16A8F" w:rsidRPr="000F04E9"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lastRenderedPageBreak/>
        <w:t>【</w:t>
      </w:r>
      <w:r w:rsidR="000F04E9" w:rsidRPr="000F04E9">
        <w:rPr>
          <w:rFonts w:ascii="微软雅黑" w:eastAsia="微软雅黑" w:hAnsi="微软雅黑" w:cs="微软雅黑"/>
          <w:color w:val="auto"/>
          <w:spacing w:val="4"/>
          <w:lang w:eastAsia="zh-CN"/>
        </w:rPr>
        <w:t>伊朗武装部队哈塔姆安比亚中央总部发言人表示，由于美国违反停火协议，袭击伊朗油轮和另一艘进入霍尔木兹海峡的船只，伊朗武装力量打击了霍尔木兹海峡以东的美国军舰。</w:t>
      </w:r>
      <w:r w:rsidRPr="000F04E9">
        <w:rPr>
          <w:rFonts w:ascii="微软雅黑" w:eastAsia="微软雅黑" w:hAnsi="微软雅黑" w:cs="微软雅黑" w:hint="eastAsia"/>
          <w:color w:val="auto"/>
          <w:spacing w:val="4"/>
          <w:lang w:eastAsia="zh-CN"/>
        </w:rPr>
        <w:t>】</w:t>
      </w:r>
    </w:p>
    <w:p w14:paraId="7762039C" w14:textId="6C98741B" w:rsidR="008A04B9" w:rsidRPr="000F04E9"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t>【</w:t>
      </w:r>
      <w:r w:rsidR="000F04E9" w:rsidRPr="000F04E9">
        <w:rPr>
          <w:rFonts w:ascii="微软雅黑" w:eastAsia="微软雅黑" w:hAnsi="微软雅黑" w:cs="微软雅黑"/>
          <w:color w:val="auto"/>
          <w:spacing w:val="4"/>
          <w:lang w:eastAsia="zh-CN"/>
        </w:rPr>
        <w:t>伊朗总统佩泽希齐扬与伊朗最高领袖穆杰塔巴日前举行了会面，双方交流了近两个半小时。巴基斯坦相关部门为可能在伊斯兰堡举行的美国和伊朗谈判乃至协议签署仪式做准备。伊朗外交部发言人表示，伊朗尚未就美方提出的方案得出结论，也未对美方</w:t>
      </w:r>
      <w:proofErr w:type="gramStart"/>
      <w:r w:rsidR="000F04E9" w:rsidRPr="000F04E9">
        <w:rPr>
          <w:rFonts w:ascii="微软雅黑" w:eastAsia="微软雅黑" w:hAnsi="微软雅黑" w:cs="微软雅黑"/>
          <w:color w:val="auto"/>
          <w:spacing w:val="4"/>
          <w:lang w:eastAsia="zh-CN"/>
        </w:rPr>
        <w:t>作出</w:t>
      </w:r>
      <w:proofErr w:type="gramEnd"/>
      <w:r w:rsidR="000F04E9" w:rsidRPr="000F04E9">
        <w:rPr>
          <w:rFonts w:ascii="微软雅黑" w:eastAsia="微软雅黑" w:hAnsi="微软雅黑" w:cs="微软雅黑"/>
          <w:color w:val="auto"/>
          <w:spacing w:val="4"/>
          <w:lang w:eastAsia="zh-CN"/>
        </w:rPr>
        <w:t>回应。伊朗革命卫队海军已指定两条航道供船只通行，但船只未经许可仍不得穿越霍尔木兹海峡。</w:t>
      </w:r>
      <w:r w:rsidRPr="000F04E9">
        <w:rPr>
          <w:rFonts w:ascii="微软雅黑" w:eastAsia="微软雅黑" w:hAnsi="微软雅黑" w:cs="微软雅黑" w:hint="eastAsia"/>
          <w:color w:val="auto"/>
          <w:spacing w:val="4"/>
          <w:lang w:eastAsia="zh-CN"/>
        </w:rPr>
        <w:t>】</w:t>
      </w:r>
    </w:p>
    <w:p w14:paraId="02B52CC8" w14:textId="74EEA739" w:rsidR="005754B9" w:rsidRPr="000F04E9" w:rsidRDefault="00575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t>【</w:t>
      </w:r>
      <w:r w:rsidR="000F04E9" w:rsidRPr="000F04E9">
        <w:rPr>
          <w:rFonts w:ascii="微软雅黑" w:eastAsia="微软雅黑" w:hAnsi="微软雅黑" w:cs="微软雅黑"/>
          <w:color w:val="auto"/>
          <w:spacing w:val="4"/>
          <w:lang w:eastAsia="zh-CN"/>
        </w:rPr>
        <w:t>美国总统特朗普表示，他与欧盟委员会主席乌尔苏拉·冯德莱恩进行了“愉快的通话”，并将给予欧盟至7月4日的时间来履行其在贸易协议中的义务，否则美国将把关税提高到更高水平。</w:t>
      </w:r>
      <w:r w:rsidRPr="000F04E9">
        <w:rPr>
          <w:rFonts w:ascii="微软雅黑" w:eastAsia="微软雅黑" w:hAnsi="微软雅黑" w:cs="微软雅黑" w:hint="eastAsia"/>
          <w:color w:val="auto"/>
          <w:spacing w:val="4"/>
          <w:lang w:eastAsia="zh-CN"/>
        </w:rPr>
        <w:t>】</w:t>
      </w:r>
    </w:p>
    <w:p w14:paraId="345F614C" w14:textId="3CB4741C" w:rsidR="001566D0" w:rsidRPr="000F04E9"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t>【</w:t>
      </w:r>
      <w:r w:rsidR="000F04E9" w:rsidRPr="000F04E9">
        <w:rPr>
          <w:rFonts w:ascii="微软雅黑" w:eastAsia="微软雅黑" w:hAnsi="微软雅黑" w:cs="微软雅黑"/>
          <w:color w:val="auto"/>
          <w:spacing w:val="4"/>
          <w:lang w:eastAsia="zh-CN"/>
        </w:rPr>
        <w:t>美国上周初请失业金人数较前一周增加1万人至20万，但低于经济学家预期的20.5万人。前一周续请失业金人数降至176.6万人，创2024年1月以来新低。</w:t>
      </w:r>
      <w:r w:rsidRPr="000F04E9">
        <w:rPr>
          <w:rFonts w:ascii="微软雅黑" w:eastAsia="微软雅黑" w:hAnsi="微软雅黑" w:cs="微软雅黑" w:hint="eastAsia"/>
          <w:color w:val="auto"/>
          <w:spacing w:val="4"/>
          <w:lang w:eastAsia="zh-CN"/>
        </w:rPr>
        <w:t>】</w:t>
      </w:r>
    </w:p>
    <w:p w14:paraId="16D7080B" w14:textId="4CD8BAC1" w:rsidR="004F73E0" w:rsidRPr="009376BB" w:rsidRDefault="004F73E0"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t>【</w:t>
      </w:r>
      <w:r w:rsidR="000F04E9" w:rsidRPr="000F04E9">
        <w:rPr>
          <w:rFonts w:ascii="微软雅黑" w:eastAsia="微软雅黑" w:hAnsi="微软雅黑" w:cs="微软雅黑"/>
          <w:color w:val="auto"/>
          <w:spacing w:val="4"/>
          <w:lang w:eastAsia="zh-CN"/>
        </w:rPr>
        <w:t>日本央行3月会议纪要显示，多名政策委员认为，若伊朗战争引发的能源冲击长期化，并引发对通胀第二轮效应的担忧，则央行需考虑加息。</w:t>
      </w:r>
      <w:r w:rsidRPr="009376BB">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57AE9" w:rsidRPr="006318FC" w14:paraId="5B8E297F" w14:textId="77777777" w:rsidTr="009119B8">
        <w:trPr>
          <w:trHeight w:val="652"/>
        </w:trPr>
        <w:tc>
          <w:tcPr>
            <w:tcW w:w="1701" w:type="dxa"/>
          </w:tcPr>
          <w:bookmarkEnd w:id="0"/>
          <w:p w14:paraId="4567D2AE" w14:textId="4A4D6C23" w:rsidR="00257AE9" w:rsidRPr="009A23B2" w:rsidRDefault="00257AE9" w:rsidP="00257AE9">
            <w:pPr>
              <w:spacing w:before="230" w:line="191" w:lineRule="auto"/>
              <w:ind w:right="210"/>
              <w:jc w:val="center"/>
              <w:rPr>
                <w:rFonts w:ascii="微软雅黑" w:eastAsiaTheme="minorEastAsia" w:hAnsi="微软雅黑" w:cs="微软雅黑" w:hint="eastAsia"/>
                <w:b/>
                <w:bCs/>
                <w:spacing w:val="3"/>
                <w:sz w:val="19"/>
                <w:szCs w:val="19"/>
                <w:lang w:eastAsia="zh-CN"/>
              </w:rPr>
            </w:pPr>
            <w:r w:rsidRPr="00257AE9">
              <w:rPr>
                <w:b/>
                <w:bCs/>
              </w:rPr>
              <w:t>2026/</w:t>
            </w:r>
            <w:r w:rsidR="009A23B2">
              <w:rPr>
                <w:rFonts w:eastAsiaTheme="minorEastAsia" w:hint="eastAsia"/>
                <w:b/>
                <w:bCs/>
                <w:lang w:eastAsia="zh-CN"/>
              </w:rPr>
              <w:t>5</w:t>
            </w:r>
            <w:r w:rsidRPr="00257AE9">
              <w:rPr>
                <w:b/>
                <w:bCs/>
              </w:rPr>
              <w:t>/</w:t>
            </w:r>
            <w:r w:rsidR="000F04E9">
              <w:rPr>
                <w:rFonts w:eastAsiaTheme="minorEastAsia" w:hint="eastAsia"/>
                <w:b/>
                <w:bCs/>
                <w:lang w:eastAsia="zh-CN"/>
              </w:rPr>
              <w:t>8</w:t>
            </w:r>
          </w:p>
        </w:tc>
        <w:tc>
          <w:tcPr>
            <w:tcW w:w="1314" w:type="dxa"/>
          </w:tcPr>
          <w:p w14:paraId="3B0A4895" w14:textId="32DBF347" w:rsidR="00257AE9" w:rsidRPr="0025412C" w:rsidRDefault="009A23B2" w:rsidP="00257AE9">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1</w:t>
            </w:r>
            <w:r w:rsidR="000F04E9">
              <w:rPr>
                <w:rFonts w:ascii="微软雅黑" w:eastAsia="微软雅黑" w:hAnsi="微软雅黑" w:cs="微软雅黑" w:hint="eastAsia"/>
                <w:b/>
                <w:bCs/>
                <w:spacing w:val="3"/>
                <w:sz w:val="19"/>
                <w:szCs w:val="19"/>
                <w:lang w:eastAsia="zh-CN"/>
              </w:rPr>
              <w:t>4</w:t>
            </w:r>
            <w:r w:rsidRPr="009A23B2">
              <w:rPr>
                <w:rFonts w:ascii="微软雅黑" w:eastAsia="微软雅黑" w:hAnsi="微软雅黑" w:cs="微软雅黑"/>
                <w:b/>
                <w:bCs/>
                <w:spacing w:val="3"/>
                <w:sz w:val="19"/>
                <w:szCs w:val="19"/>
                <w:lang w:eastAsia="zh-CN"/>
              </w:rPr>
              <w:t>:00</w:t>
            </w:r>
          </w:p>
        </w:tc>
        <w:tc>
          <w:tcPr>
            <w:tcW w:w="6344" w:type="dxa"/>
          </w:tcPr>
          <w:p w14:paraId="148F6123" w14:textId="7A661E0E" w:rsidR="00257AE9" w:rsidRPr="00E15A36"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0F04E9">
              <w:rPr>
                <w:rFonts w:ascii="微软雅黑" w:eastAsia="微软雅黑" w:hAnsi="微软雅黑" w:cs="微软雅黑"/>
                <w:b/>
                <w:bCs/>
                <w:spacing w:val="3"/>
                <w:sz w:val="19"/>
                <w:szCs w:val="19"/>
                <w:lang w:eastAsia="zh-CN"/>
              </w:rPr>
              <w:t>德国3月工业产出</w:t>
            </w:r>
          </w:p>
        </w:tc>
      </w:tr>
      <w:tr w:rsidR="000F04E9" w:rsidRPr="006318FC" w14:paraId="11459514" w14:textId="77777777" w:rsidTr="00257AE9">
        <w:trPr>
          <w:trHeight w:val="620"/>
        </w:trPr>
        <w:tc>
          <w:tcPr>
            <w:tcW w:w="1701" w:type="dxa"/>
            <w:shd w:val="clear" w:color="auto" w:fill="DAE3F4" w:themeFill="accent1" w:themeFillTint="33"/>
          </w:tcPr>
          <w:p w14:paraId="336E77A1" w14:textId="65F3F899" w:rsidR="000F04E9" w:rsidRPr="00257AE9"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EC5DD3">
              <w:rPr>
                <w:b/>
                <w:bCs/>
              </w:rPr>
              <w:t>2026/</w:t>
            </w:r>
            <w:r w:rsidRPr="00EC5DD3">
              <w:rPr>
                <w:rFonts w:eastAsiaTheme="minorEastAsia" w:hint="eastAsia"/>
                <w:b/>
                <w:bCs/>
                <w:lang w:eastAsia="zh-CN"/>
              </w:rPr>
              <w:t>5</w:t>
            </w:r>
            <w:r w:rsidRPr="00EC5DD3">
              <w:rPr>
                <w:b/>
                <w:bCs/>
              </w:rPr>
              <w:t>/</w:t>
            </w:r>
            <w:r w:rsidRPr="00EC5DD3">
              <w:rPr>
                <w:rFonts w:eastAsiaTheme="minorEastAsia" w:hint="eastAsia"/>
                <w:b/>
                <w:bCs/>
                <w:lang w:eastAsia="zh-CN"/>
              </w:rPr>
              <w:t>8</w:t>
            </w:r>
          </w:p>
        </w:tc>
        <w:tc>
          <w:tcPr>
            <w:tcW w:w="1314" w:type="dxa"/>
            <w:shd w:val="clear" w:color="auto" w:fill="DAE3F4" w:themeFill="accent1" w:themeFillTint="33"/>
          </w:tcPr>
          <w:p w14:paraId="2FF031BB" w14:textId="1F1E5256" w:rsidR="000F04E9" w:rsidRPr="0025412C"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20:</w:t>
            </w:r>
            <w:r>
              <w:rPr>
                <w:rFonts w:ascii="微软雅黑" w:eastAsia="微软雅黑" w:hAnsi="微软雅黑" w:cs="微软雅黑" w:hint="eastAsia"/>
                <w:b/>
                <w:bCs/>
                <w:spacing w:val="3"/>
                <w:sz w:val="19"/>
                <w:szCs w:val="19"/>
                <w:lang w:eastAsia="zh-CN"/>
              </w:rPr>
              <w:t>30</w:t>
            </w:r>
          </w:p>
        </w:tc>
        <w:tc>
          <w:tcPr>
            <w:tcW w:w="6344" w:type="dxa"/>
            <w:shd w:val="clear" w:color="auto" w:fill="DAE3F4" w:themeFill="accent1" w:themeFillTint="33"/>
          </w:tcPr>
          <w:p w14:paraId="2CB0AF66" w14:textId="3A9BE956" w:rsidR="000F04E9" w:rsidRPr="00653A5D"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0F04E9">
              <w:rPr>
                <w:rFonts w:ascii="微软雅黑" w:eastAsia="微软雅黑" w:hAnsi="微软雅黑" w:cs="微软雅黑"/>
                <w:b/>
                <w:bCs/>
                <w:spacing w:val="3"/>
                <w:sz w:val="19"/>
                <w:szCs w:val="19"/>
                <w:lang w:eastAsia="zh-CN"/>
              </w:rPr>
              <w:t>美国4月失业率</w:t>
            </w:r>
          </w:p>
        </w:tc>
      </w:tr>
      <w:tr w:rsidR="000F04E9" w:rsidRPr="006318FC" w14:paraId="6909C618" w14:textId="77777777" w:rsidTr="00257AE9">
        <w:trPr>
          <w:trHeight w:val="652"/>
        </w:trPr>
        <w:tc>
          <w:tcPr>
            <w:tcW w:w="1701" w:type="dxa"/>
          </w:tcPr>
          <w:p w14:paraId="5D2365DD" w14:textId="7996C08A" w:rsidR="000F04E9" w:rsidRPr="00257AE9"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EC5DD3">
              <w:rPr>
                <w:b/>
                <w:bCs/>
              </w:rPr>
              <w:t>2026/</w:t>
            </w:r>
            <w:r w:rsidRPr="00EC5DD3">
              <w:rPr>
                <w:rFonts w:eastAsiaTheme="minorEastAsia" w:hint="eastAsia"/>
                <w:b/>
                <w:bCs/>
                <w:lang w:eastAsia="zh-CN"/>
              </w:rPr>
              <w:t>5</w:t>
            </w:r>
            <w:r w:rsidRPr="00EC5DD3">
              <w:rPr>
                <w:b/>
                <w:bCs/>
              </w:rPr>
              <w:t>/</w:t>
            </w:r>
            <w:r w:rsidRPr="00EC5DD3">
              <w:rPr>
                <w:rFonts w:eastAsiaTheme="minorEastAsia" w:hint="eastAsia"/>
                <w:b/>
                <w:bCs/>
                <w:lang w:eastAsia="zh-CN"/>
              </w:rPr>
              <w:t>8</w:t>
            </w:r>
          </w:p>
        </w:tc>
        <w:tc>
          <w:tcPr>
            <w:tcW w:w="1314" w:type="dxa"/>
          </w:tcPr>
          <w:p w14:paraId="3207B1F8" w14:textId="1EB4A48E" w:rsidR="000F04E9" w:rsidRPr="001C51A4"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9A23B2">
              <w:rPr>
                <w:rFonts w:ascii="微软雅黑" w:eastAsia="微软雅黑" w:hAnsi="微软雅黑" w:cs="微软雅黑"/>
                <w:b/>
                <w:bCs/>
                <w:spacing w:val="3"/>
                <w:sz w:val="19"/>
                <w:szCs w:val="19"/>
                <w:lang w:eastAsia="zh-CN"/>
              </w:rPr>
              <w:t>20:</w:t>
            </w:r>
            <w:r>
              <w:rPr>
                <w:rFonts w:ascii="微软雅黑" w:eastAsia="微软雅黑" w:hAnsi="微软雅黑" w:cs="微软雅黑" w:hint="eastAsia"/>
                <w:b/>
                <w:bCs/>
                <w:spacing w:val="3"/>
                <w:sz w:val="19"/>
                <w:szCs w:val="19"/>
                <w:lang w:eastAsia="zh-CN"/>
              </w:rPr>
              <w:t>30</w:t>
            </w:r>
          </w:p>
        </w:tc>
        <w:tc>
          <w:tcPr>
            <w:tcW w:w="6344" w:type="dxa"/>
          </w:tcPr>
          <w:p w14:paraId="6C433309" w14:textId="4D9F41D7" w:rsidR="000F04E9" w:rsidRPr="00257AE9" w:rsidRDefault="000F04E9" w:rsidP="000F04E9">
            <w:pPr>
              <w:spacing w:before="230" w:line="191" w:lineRule="auto"/>
              <w:ind w:right="210"/>
              <w:jc w:val="center"/>
              <w:rPr>
                <w:rFonts w:ascii="微软雅黑" w:eastAsia="微软雅黑" w:hAnsi="微软雅黑" w:cs="微软雅黑" w:hint="eastAsia"/>
                <w:b/>
                <w:bCs/>
                <w:spacing w:val="3"/>
                <w:sz w:val="19"/>
                <w:szCs w:val="19"/>
                <w:lang w:eastAsia="zh-CN"/>
              </w:rPr>
            </w:pPr>
            <w:r w:rsidRPr="000F04E9">
              <w:rPr>
                <w:rFonts w:ascii="微软雅黑" w:eastAsia="微软雅黑" w:hAnsi="微软雅黑" w:cs="微软雅黑"/>
                <w:b/>
                <w:bCs/>
                <w:spacing w:val="3"/>
                <w:sz w:val="19"/>
                <w:szCs w:val="19"/>
                <w:lang w:eastAsia="zh-CN"/>
              </w:rPr>
              <w:t>美国4月非农就业人口</w:t>
            </w:r>
          </w:p>
        </w:tc>
      </w:tr>
      <w:tr w:rsidR="000F04E9" w:rsidRPr="006318FC" w14:paraId="5ADDDF6C" w14:textId="77777777" w:rsidTr="00257AE9">
        <w:trPr>
          <w:trHeight w:val="620"/>
        </w:trPr>
        <w:tc>
          <w:tcPr>
            <w:tcW w:w="1701" w:type="dxa"/>
            <w:shd w:val="clear" w:color="auto" w:fill="DAE3F4" w:themeFill="accent1" w:themeFillTint="33"/>
          </w:tcPr>
          <w:p w14:paraId="63129765" w14:textId="276575D4" w:rsidR="000F04E9" w:rsidRPr="00223067" w:rsidRDefault="000F04E9" w:rsidP="000F04E9">
            <w:pPr>
              <w:spacing w:before="230" w:line="191" w:lineRule="auto"/>
              <w:ind w:right="210"/>
              <w:jc w:val="center"/>
              <w:rPr>
                <w:b/>
                <w:bCs/>
              </w:rPr>
            </w:pPr>
            <w:r w:rsidRPr="00EC5DD3">
              <w:rPr>
                <w:b/>
                <w:bCs/>
              </w:rPr>
              <w:t>2026/</w:t>
            </w:r>
            <w:r w:rsidRPr="00EC5DD3">
              <w:rPr>
                <w:rFonts w:eastAsiaTheme="minorEastAsia" w:hint="eastAsia"/>
                <w:b/>
                <w:bCs/>
                <w:lang w:eastAsia="zh-CN"/>
              </w:rPr>
              <w:t>5</w:t>
            </w:r>
            <w:r w:rsidRPr="00EC5DD3">
              <w:rPr>
                <w:b/>
                <w:bCs/>
              </w:rPr>
              <w:t>/</w:t>
            </w:r>
            <w:r w:rsidRPr="00EC5DD3">
              <w:rPr>
                <w:rFonts w:eastAsiaTheme="minorEastAsia" w:hint="eastAsia"/>
                <w:b/>
                <w:bCs/>
                <w:lang w:eastAsia="zh-CN"/>
              </w:rPr>
              <w:t>8</w:t>
            </w:r>
          </w:p>
        </w:tc>
        <w:tc>
          <w:tcPr>
            <w:tcW w:w="1314" w:type="dxa"/>
            <w:shd w:val="clear" w:color="auto" w:fill="DAE3F4" w:themeFill="accent1" w:themeFillTint="33"/>
          </w:tcPr>
          <w:p w14:paraId="5B46F7E6" w14:textId="77777777" w:rsidR="000F04E9" w:rsidRPr="009A23B2" w:rsidRDefault="000F04E9" w:rsidP="000F04E9">
            <w:pPr>
              <w:spacing w:before="230" w:line="191" w:lineRule="auto"/>
              <w:ind w:right="210"/>
              <w:jc w:val="center"/>
              <w:rPr>
                <w:rFonts w:ascii="微软雅黑" w:eastAsia="微软雅黑" w:hAnsi="微软雅黑" w:cs="微软雅黑"/>
                <w:b/>
                <w:bCs/>
                <w:spacing w:val="3"/>
                <w:sz w:val="19"/>
                <w:szCs w:val="19"/>
                <w:lang w:eastAsia="zh-CN"/>
              </w:rPr>
            </w:pPr>
            <w:r w:rsidRPr="000F04E9">
              <w:rPr>
                <w:rFonts w:ascii="微软雅黑" w:eastAsia="微软雅黑" w:hAnsi="微软雅黑" w:cs="微软雅黑"/>
                <w:b/>
                <w:bCs/>
                <w:spacing w:val="3"/>
                <w:sz w:val="19"/>
                <w:szCs w:val="19"/>
                <w:lang w:eastAsia="zh-CN"/>
              </w:rPr>
              <w:t>22:00</w:t>
            </w:r>
          </w:p>
        </w:tc>
        <w:tc>
          <w:tcPr>
            <w:tcW w:w="6344" w:type="dxa"/>
            <w:shd w:val="clear" w:color="auto" w:fill="DAE3F4" w:themeFill="accent1" w:themeFillTint="33"/>
          </w:tcPr>
          <w:p w14:paraId="4CA11635" w14:textId="77777777" w:rsidR="000F04E9" w:rsidRPr="000F04E9" w:rsidRDefault="000F04E9" w:rsidP="000F04E9">
            <w:pPr>
              <w:spacing w:before="230" w:line="191" w:lineRule="auto"/>
              <w:ind w:right="210"/>
              <w:jc w:val="center"/>
              <w:rPr>
                <w:rFonts w:ascii="微软雅黑" w:eastAsia="微软雅黑" w:hAnsi="微软雅黑" w:cs="微软雅黑"/>
                <w:b/>
                <w:bCs/>
                <w:spacing w:val="3"/>
                <w:sz w:val="19"/>
                <w:szCs w:val="19"/>
                <w:lang w:eastAsia="zh-CN"/>
              </w:rPr>
            </w:pPr>
            <w:r w:rsidRPr="000F04E9">
              <w:rPr>
                <w:rFonts w:ascii="微软雅黑" w:eastAsia="微软雅黑" w:hAnsi="微软雅黑" w:cs="微软雅黑"/>
                <w:b/>
                <w:bCs/>
                <w:spacing w:val="3"/>
                <w:sz w:val="19"/>
                <w:szCs w:val="19"/>
                <w:lang w:eastAsia="zh-CN"/>
              </w:rPr>
              <w:t>美国5月密歇根大学消费者信心指数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FA3BB86" w14:textId="77777777" w:rsidR="00965C94" w:rsidRPr="00965C94" w:rsidRDefault="00965C94" w:rsidP="00965C94">
      <w:pPr>
        <w:spacing w:before="103" w:line="256" w:lineRule="auto"/>
        <w:ind w:right="210" w:firstLineChars="200" w:firstLine="448"/>
        <w:rPr>
          <w:rFonts w:ascii="微软雅黑" w:eastAsia="微软雅黑" w:hAnsi="微软雅黑" w:cs="微软雅黑"/>
          <w:spacing w:val="7"/>
          <w:lang w:eastAsia="zh-CN"/>
        </w:rPr>
      </w:pPr>
      <w:r w:rsidRPr="00965C94">
        <w:rPr>
          <w:rFonts w:ascii="微软雅黑" w:eastAsia="微软雅黑" w:hAnsi="微软雅黑" w:cs="微软雅黑" w:hint="eastAsia"/>
          <w:spacing w:val="7"/>
          <w:lang w:eastAsia="zh-CN"/>
        </w:rPr>
        <w:t>隔夜，美元指数涨</w:t>
      </w:r>
      <w:r w:rsidRPr="00965C94">
        <w:rPr>
          <w:rFonts w:ascii="微软雅黑" w:eastAsia="微软雅黑" w:hAnsi="微软雅黑" w:cs="微软雅黑"/>
          <w:spacing w:val="7"/>
          <w:lang w:eastAsia="zh-CN"/>
        </w:rPr>
        <w:t>0.26%</w:t>
      </w:r>
      <w:r w:rsidRPr="00965C94">
        <w:rPr>
          <w:rFonts w:ascii="微软雅黑" w:eastAsia="微软雅黑" w:hAnsi="微软雅黑" w:cs="微软雅黑" w:hint="eastAsia"/>
          <w:spacing w:val="7"/>
          <w:lang w:eastAsia="zh-CN"/>
        </w:rPr>
        <w:t>报</w:t>
      </w:r>
      <w:r w:rsidRPr="00965C94">
        <w:rPr>
          <w:rFonts w:ascii="微软雅黑" w:eastAsia="微软雅黑" w:hAnsi="微软雅黑" w:cs="微软雅黑"/>
          <w:spacing w:val="7"/>
          <w:lang w:eastAsia="zh-CN"/>
        </w:rPr>
        <w:t>98.28</w:t>
      </w:r>
      <w:r w:rsidRPr="00965C94">
        <w:rPr>
          <w:rFonts w:ascii="微软雅黑" w:eastAsia="微软雅黑" w:hAnsi="微软雅黑" w:cs="微软雅黑" w:hint="eastAsia"/>
          <w:spacing w:val="7"/>
          <w:lang w:eastAsia="zh-CN"/>
        </w:rPr>
        <w:t>，非美货币多数下跌，欧元兑美元跌</w:t>
      </w:r>
      <w:r w:rsidRPr="00965C94">
        <w:rPr>
          <w:rFonts w:ascii="微软雅黑" w:eastAsia="微软雅黑" w:hAnsi="微软雅黑" w:cs="微软雅黑"/>
          <w:spacing w:val="7"/>
          <w:lang w:eastAsia="zh-CN"/>
        </w:rPr>
        <w:t>0.21%</w:t>
      </w:r>
      <w:r w:rsidRPr="00965C94">
        <w:rPr>
          <w:rFonts w:ascii="微软雅黑" w:eastAsia="微软雅黑" w:hAnsi="微软雅黑" w:cs="微软雅黑" w:hint="eastAsia"/>
          <w:spacing w:val="7"/>
          <w:lang w:eastAsia="zh-CN"/>
        </w:rPr>
        <w:t>报</w:t>
      </w:r>
      <w:r w:rsidRPr="00965C94">
        <w:rPr>
          <w:rFonts w:ascii="微软雅黑" w:eastAsia="微软雅黑" w:hAnsi="微软雅黑" w:cs="微软雅黑"/>
          <w:spacing w:val="7"/>
          <w:lang w:eastAsia="zh-CN"/>
        </w:rPr>
        <w:t>1.1723</w:t>
      </w:r>
      <w:r w:rsidRPr="00965C94">
        <w:rPr>
          <w:rFonts w:ascii="微软雅黑" w:eastAsia="微软雅黑" w:hAnsi="微软雅黑" w:cs="微软雅黑" w:hint="eastAsia"/>
          <w:spacing w:val="7"/>
          <w:lang w:eastAsia="zh-CN"/>
        </w:rPr>
        <w:t>，英镑兑美元跌</w:t>
      </w:r>
      <w:r w:rsidRPr="00965C94">
        <w:rPr>
          <w:rFonts w:ascii="微软雅黑" w:eastAsia="微软雅黑" w:hAnsi="微软雅黑" w:cs="微软雅黑"/>
          <w:spacing w:val="7"/>
          <w:lang w:eastAsia="zh-CN"/>
        </w:rPr>
        <w:t>0.32%</w:t>
      </w:r>
      <w:r w:rsidRPr="00965C94">
        <w:rPr>
          <w:rFonts w:ascii="微软雅黑" w:eastAsia="微软雅黑" w:hAnsi="微软雅黑" w:cs="微软雅黑" w:hint="eastAsia"/>
          <w:spacing w:val="7"/>
          <w:lang w:eastAsia="zh-CN"/>
        </w:rPr>
        <w:t>报</w:t>
      </w:r>
      <w:r w:rsidRPr="00965C94">
        <w:rPr>
          <w:rFonts w:ascii="微软雅黑" w:eastAsia="微软雅黑" w:hAnsi="微软雅黑" w:cs="微软雅黑"/>
          <w:spacing w:val="7"/>
          <w:lang w:eastAsia="zh-CN"/>
        </w:rPr>
        <w:t>1.3550</w:t>
      </w:r>
      <w:r w:rsidRPr="00965C94">
        <w:rPr>
          <w:rFonts w:ascii="微软雅黑" w:eastAsia="微软雅黑" w:hAnsi="微软雅黑" w:cs="微软雅黑" w:hint="eastAsia"/>
          <w:spacing w:val="7"/>
          <w:lang w:eastAsia="zh-CN"/>
        </w:rPr>
        <w:t>，美元兑日元涨</w:t>
      </w:r>
      <w:r w:rsidRPr="00965C94">
        <w:rPr>
          <w:rFonts w:ascii="微软雅黑" w:eastAsia="微软雅黑" w:hAnsi="微软雅黑" w:cs="微软雅黑"/>
          <w:spacing w:val="7"/>
          <w:lang w:eastAsia="zh-CN"/>
        </w:rPr>
        <w:t>0.36%</w:t>
      </w:r>
      <w:r w:rsidRPr="00965C94">
        <w:rPr>
          <w:rFonts w:ascii="微软雅黑" w:eastAsia="微软雅黑" w:hAnsi="微软雅黑" w:cs="微软雅黑" w:hint="eastAsia"/>
          <w:spacing w:val="7"/>
          <w:lang w:eastAsia="zh-CN"/>
        </w:rPr>
        <w:t>报</w:t>
      </w:r>
      <w:r w:rsidRPr="00965C94">
        <w:rPr>
          <w:rFonts w:ascii="微软雅黑" w:eastAsia="微软雅黑" w:hAnsi="微软雅黑" w:cs="微软雅黑"/>
          <w:spacing w:val="7"/>
          <w:lang w:eastAsia="zh-CN"/>
        </w:rPr>
        <w:t>156.9410</w:t>
      </w:r>
      <w:r w:rsidRPr="00965C94">
        <w:rPr>
          <w:rFonts w:ascii="微软雅黑" w:eastAsia="微软雅黑" w:hAnsi="微软雅黑" w:cs="微软雅黑" w:hint="eastAsia"/>
          <w:spacing w:val="7"/>
          <w:lang w:eastAsia="zh-CN"/>
        </w:rPr>
        <w:t>。</w:t>
      </w:r>
    </w:p>
    <w:p w14:paraId="775DF6B1" w14:textId="77777777" w:rsidR="00965C94" w:rsidRPr="00965C94" w:rsidRDefault="00965C94" w:rsidP="00965C94">
      <w:pPr>
        <w:spacing w:before="103" w:line="256" w:lineRule="auto"/>
        <w:ind w:right="210" w:firstLineChars="200" w:firstLine="448"/>
        <w:rPr>
          <w:rFonts w:ascii="微软雅黑" w:eastAsia="微软雅黑" w:hAnsi="微软雅黑" w:cs="微软雅黑"/>
          <w:spacing w:val="7"/>
          <w:lang w:eastAsia="zh-CN"/>
        </w:rPr>
      </w:pPr>
      <w:r w:rsidRPr="00965C94">
        <w:rPr>
          <w:rFonts w:ascii="微软雅黑" w:eastAsia="微软雅黑" w:hAnsi="微软雅黑" w:cs="微软雅黑" w:hint="eastAsia"/>
          <w:spacing w:val="7"/>
          <w:lang w:eastAsia="zh-CN"/>
        </w:rPr>
        <w:t>地缘方面，此前美方重申停火协议有效，确认对伊朗的进攻性军事行动已经结束，但隔夜美伊双方再度交火，</w:t>
      </w:r>
      <w:proofErr w:type="gramStart"/>
      <w:r w:rsidRPr="00965C94">
        <w:rPr>
          <w:rFonts w:ascii="微软雅黑" w:eastAsia="微软雅黑" w:hAnsi="微软雅黑" w:cs="微软雅黑" w:hint="eastAsia"/>
          <w:spacing w:val="7"/>
          <w:lang w:eastAsia="zh-CN"/>
        </w:rPr>
        <w:t>特朗普</w:t>
      </w:r>
      <w:proofErr w:type="gramEnd"/>
      <w:r w:rsidRPr="00965C94">
        <w:rPr>
          <w:rFonts w:ascii="微软雅黑" w:eastAsia="微软雅黑" w:hAnsi="微软雅黑" w:cs="微软雅黑" w:hint="eastAsia"/>
          <w:spacing w:val="7"/>
          <w:lang w:eastAsia="zh-CN"/>
        </w:rPr>
        <w:t>警告伊朗尽快达成协议，否则将面临更猛烈打击行动，避险需求推动美元小幅反弹。宏观数据方面，美国</w:t>
      </w:r>
      <w:r w:rsidRPr="00965C94">
        <w:rPr>
          <w:rFonts w:ascii="微软雅黑" w:eastAsia="微软雅黑" w:hAnsi="微软雅黑" w:cs="微软雅黑"/>
          <w:spacing w:val="7"/>
          <w:lang w:eastAsia="zh-CN"/>
        </w:rPr>
        <w:t>4</w:t>
      </w:r>
      <w:r w:rsidRPr="00965C94">
        <w:rPr>
          <w:rFonts w:ascii="微软雅黑" w:eastAsia="微软雅黑" w:hAnsi="微软雅黑" w:cs="微软雅黑" w:hint="eastAsia"/>
          <w:spacing w:val="7"/>
          <w:lang w:eastAsia="zh-CN"/>
        </w:rPr>
        <w:t>月</w:t>
      </w:r>
      <w:r w:rsidRPr="00965C94">
        <w:rPr>
          <w:rFonts w:ascii="微软雅黑" w:eastAsia="微软雅黑" w:hAnsi="微软雅黑" w:cs="微软雅黑"/>
          <w:spacing w:val="7"/>
          <w:lang w:eastAsia="zh-CN"/>
        </w:rPr>
        <w:t>ISM</w:t>
      </w:r>
      <w:r w:rsidRPr="00965C94">
        <w:rPr>
          <w:rFonts w:ascii="微软雅黑" w:eastAsia="微软雅黑" w:hAnsi="微软雅黑" w:cs="微软雅黑" w:hint="eastAsia"/>
          <w:spacing w:val="7"/>
          <w:lang w:eastAsia="zh-CN"/>
        </w:rPr>
        <w:t>服务业</w:t>
      </w:r>
      <w:r w:rsidRPr="00965C94">
        <w:rPr>
          <w:rFonts w:ascii="微软雅黑" w:eastAsia="微软雅黑" w:hAnsi="微软雅黑" w:cs="微软雅黑"/>
          <w:spacing w:val="7"/>
          <w:lang w:eastAsia="zh-CN"/>
        </w:rPr>
        <w:t>PMI</w:t>
      </w:r>
      <w:r w:rsidRPr="00965C94">
        <w:rPr>
          <w:rFonts w:ascii="微软雅黑" w:eastAsia="微软雅黑" w:hAnsi="微软雅黑" w:cs="微软雅黑" w:hint="eastAsia"/>
          <w:spacing w:val="7"/>
          <w:lang w:eastAsia="zh-CN"/>
        </w:rPr>
        <w:t>小幅回落但仍显著高于荣枯分界线，物价指数维持</w:t>
      </w:r>
      <w:proofErr w:type="gramStart"/>
      <w:r w:rsidRPr="00965C94">
        <w:rPr>
          <w:rFonts w:ascii="微软雅黑" w:eastAsia="微软雅黑" w:hAnsi="微软雅黑" w:cs="微软雅黑" w:hint="eastAsia"/>
          <w:spacing w:val="7"/>
          <w:lang w:eastAsia="zh-CN"/>
        </w:rPr>
        <w:t>于阶段</w:t>
      </w:r>
      <w:proofErr w:type="gramEnd"/>
      <w:r w:rsidRPr="00965C94">
        <w:rPr>
          <w:rFonts w:ascii="微软雅黑" w:eastAsia="微软雅黑" w:hAnsi="微软雅黑" w:cs="微软雅黑" w:hint="eastAsia"/>
          <w:spacing w:val="7"/>
          <w:lang w:eastAsia="zh-CN"/>
        </w:rPr>
        <w:t>高位水平，职位空缺数小幅回升，企业招聘率由阶段性低位企稳反弹，叠加</w:t>
      </w:r>
      <w:r w:rsidRPr="00965C94">
        <w:rPr>
          <w:rFonts w:ascii="微软雅黑" w:eastAsia="微软雅黑" w:hAnsi="微软雅黑" w:cs="微软雅黑"/>
          <w:spacing w:val="7"/>
          <w:lang w:eastAsia="zh-CN"/>
        </w:rPr>
        <w:t>3</w:t>
      </w:r>
      <w:r w:rsidRPr="00965C94">
        <w:rPr>
          <w:rFonts w:ascii="微软雅黑" w:eastAsia="微软雅黑" w:hAnsi="微软雅黑" w:cs="微软雅黑" w:hint="eastAsia"/>
          <w:spacing w:val="7"/>
          <w:lang w:eastAsia="zh-CN"/>
        </w:rPr>
        <w:t>月美国零售数据强于市场预期，市场对于美联储年内重启降息的预期维持低位，数据端或为美元走势提供支撑。联储方面，</w:t>
      </w:r>
      <w:r w:rsidRPr="00965C94">
        <w:rPr>
          <w:rFonts w:ascii="微软雅黑" w:eastAsia="微软雅黑" w:hAnsi="微软雅黑" w:cs="微软雅黑"/>
          <w:spacing w:val="7"/>
          <w:lang w:eastAsia="zh-CN"/>
        </w:rPr>
        <w:t>FOMC</w:t>
      </w:r>
      <w:r w:rsidRPr="00965C94">
        <w:rPr>
          <w:rFonts w:ascii="微软雅黑" w:eastAsia="微软雅黑" w:hAnsi="微软雅黑" w:cs="微软雅黑" w:hint="eastAsia"/>
          <w:spacing w:val="7"/>
          <w:lang w:eastAsia="zh-CN"/>
        </w:rPr>
        <w:t>会议连续第三次维持利率按兵不动，鲍威尔延续“审慎观望”基调，淡化短期降息预期，隔夜圣路易斯联储主席穆萨莱姆强调</w:t>
      </w:r>
      <w:proofErr w:type="gramStart"/>
      <w:r w:rsidRPr="00965C94">
        <w:rPr>
          <w:rFonts w:ascii="微软雅黑" w:eastAsia="微软雅黑" w:hAnsi="微软雅黑" w:cs="微软雅黑" w:hint="eastAsia"/>
          <w:spacing w:val="7"/>
          <w:lang w:eastAsia="zh-CN"/>
        </w:rPr>
        <w:t>通胀再</w:t>
      </w:r>
      <w:proofErr w:type="gramEnd"/>
      <w:r w:rsidRPr="00965C94">
        <w:rPr>
          <w:rFonts w:ascii="微软雅黑" w:eastAsia="微软雅黑" w:hAnsi="微软雅黑" w:cs="微软雅黑" w:hint="eastAsia"/>
          <w:spacing w:val="7"/>
          <w:lang w:eastAsia="zh-CN"/>
        </w:rPr>
        <w:t>反弹风险，经济及政策不确定性高企，美元走势或以区间震荡运行为主。</w:t>
      </w:r>
    </w:p>
    <w:p w14:paraId="502379A4" w14:textId="6ACDDD9B" w:rsidR="002760F0" w:rsidRPr="002760F0" w:rsidRDefault="00965C94" w:rsidP="00965C94">
      <w:pPr>
        <w:spacing w:before="103" w:line="256" w:lineRule="auto"/>
        <w:ind w:right="210" w:firstLineChars="200" w:firstLine="448"/>
        <w:rPr>
          <w:rFonts w:ascii="微软雅黑" w:eastAsia="微软雅黑" w:hAnsi="微软雅黑" w:cs="微软雅黑" w:hint="eastAsia"/>
          <w:spacing w:val="7"/>
          <w:lang w:eastAsia="zh-CN"/>
        </w:rPr>
      </w:pPr>
      <w:r w:rsidRPr="00965C94">
        <w:rPr>
          <w:rFonts w:ascii="微软雅黑" w:eastAsia="微软雅黑" w:hAnsi="微软雅黑" w:cs="微软雅黑" w:hint="eastAsia"/>
          <w:spacing w:val="7"/>
          <w:lang w:eastAsia="zh-CN"/>
        </w:rPr>
        <w:lastRenderedPageBreak/>
        <w:t>欧元区方面，虽然油价高位回落一度推动欧央行紧缩预期边际收敛，但在输入型通胀压力仍存的背景下，市场对欧央行年内政策路径的分歧有所加剧，能源价格高企与外需不确定性继续压制企业预期，消费者及企业信心指数有所走软。日央行近期展开货币干预，短线提振日元走势，</w:t>
      </w:r>
      <w:r w:rsidRPr="00965C94">
        <w:rPr>
          <w:rFonts w:ascii="微软雅黑" w:eastAsia="微软雅黑" w:hAnsi="微软雅黑" w:cs="微软雅黑"/>
          <w:spacing w:val="7"/>
          <w:lang w:eastAsia="zh-CN"/>
        </w:rPr>
        <w:t>3</w:t>
      </w:r>
      <w:r w:rsidRPr="00965C94">
        <w:rPr>
          <w:rFonts w:ascii="微软雅黑" w:eastAsia="微软雅黑" w:hAnsi="微软雅黑" w:cs="微软雅黑" w:hint="eastAsia"/>
          <w:spacing w:val="7"/>
          <w:lang w:eastAsia="zh-CN"/>
        </w:rPr>
        <w:t>月</w:t>
      </w:r>
      <w:r w:rsidRPr="00965C94">
        <w:rPr>
          <w:rFonts w:ascii="微软雅黑" w:eastAsia="微软雅黑" w:hAnsi="微软雅黑" w:cs="微软雅黑"/>
          <w:spacing w:val="7"/>
          <w:lang w:eastAsia="zh-CN"/>
        </w:rPr>
        <w:t>CPI</w:t>
      </w:r>
      <w:r w:rsidRPr="00965C94">
        <w:rPr>
          <w:rFonts w:ascii="微软雅黑" w:eastAsia="微软雅黑" w:hAnsi="微软雅黑" w:cs="微软雅黑" w:hint="eastAsia"/>
          <w:spacing w:val="7"/>
          <w:lang w:eastAsia="zh-CN"/>
        </w:rPr>
        <w:t>同比增速小幅反弹，前期日央行维持利率按兵不动，但内部政策分歧显著加剧，能源价格风险推动后续加息预期边际上行。短期来看，美元反弹与美债利率韧性仍对欧元及日元形成压制，叠加美伊停火预期反复摇摆，欧元、日元或延续震荡拉锯走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DAF4344" w:rsidR="007A477E" w:rsidRDefault="00965C94"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7A2795">
        <w:rPr>
          <w:rFonts w:ascii="黑体" w:eastAsia="黑体" w:hAnsi="黑体" w:cs="黑体"/>
          <w:noProof/>
          <w:color w:val="2C3E50"/>
          <w:sz w:val="24"/>
          <w:shd w:val="clear" w:color="auto" w:fill="FFFFFF"/>
          <w:lang w:bidi="ar"/>
        </w:rPr>
        <w:drawing>
          <wp:inline distT="0" distB="0" distL="0" distR="0" wp14:anchorId="27B47F5E" wp14:editId="5286EFB2">
            <wp:extent cx="4581525" cy="2305050"/>
            <wp:effectExtent l="0" t="0" r="9525" b="0"/>
            <wp:docPr id="229875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14:paraId="7DEA6408" w14:textId="5D503C7E"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0EA59EF" w14:textId="4B8711DF" w:rsidR="00D673DE" w:rsidRPr="00D673DE" w:rsidRDefault="00965C94" w:rsidP="00D673DE">
      <w:pPr>
        <w:spacing w:before="103" w:line="256" w:lineRule="auto"/>
        <w:ind w:right="210" w:firstLine="448"/>
        <w:rPr>
          <w:rFonts w:ascii="微软雅黑" w:eastAsia="微软雅黑" w:hAnsi="微软雅黑" w:cs="微软雅黑" w:hint="eastAsia"/>
          <w:spacing w:val="7"/>
          <w:lang w:eastAsia="zh-CN"/>
        </w:rPr>
      </w:pPr>
      <w:r w:rsidRPr="00965C94">
        <w:rPr>
          <w:rFonts w:ascii="微软雅黑" w:eastAsia="微软雅黑" w:hAnsi="微软雅黑" w:cs="微软雅黑"/>
          <w:spacing w:val="7"/>
          <w:lang w:eastAsia="zh-CN"/>
        </w:rPr>
        <w:t>截至5月7日，</w:t>
      </w:r>
      <w:proofErr w:type="gramStart"/>
      <w:r w:rsidRPr="00965C94">
        <w:rPr>
          <w:rFonts w:ascii="微软雅黑" w:eastAsia="微软雅黑" w:hAnsi="微软雅黑" w:cs="微软雅黑"/>
          <w:spacing w:val="7"/>
          <w:lang w:eastAsia="zh-CN"/>
        </w:rPr>
        <w:t>标普</w:t>
      </w:r>
      <w:proofErr w:type="gramEnd"/>
      <w:r w:rsidRPr="00965C94">
        <w:rPr>
          <w:rFonts w:ascii="微软雅黑" w:eastAsia="微软雅黑" w:hAnsi="微软雅黑" w:cs="微软雅黑"/>
          <w:spacing w:val="7"/>
          <w:lang w:eastAsia="zh-CN"/>
        </w:rPr>
        <w:t>500指数下跌0.38%至7337.11点；</w:t>
      </w:r>
      <w:proofErr w:type="gramStart"/>
      <w:r w:rsidRPr="00965C94">
        <w:rPr>
          <w:rFonts w:ascii="微软雅黑" w:eastAsia="微软雅黑" w:hAnsi="微软雅黑" w:cs="微软雅黑"/>
          <w:spacing w:val="7"/>
          <w:lang w:eastAsia="zh-CN"/>
        </w:rPr>
        <w:t>迷你标普</w:t>
      </w:r>
      <w:proofErr w:type="gramEnd"/>
      <w:r w:rsidRPr="00965C94">
        <w:rPr>
          <w:rFonts w:ascii="微软雅黑" w:eastAsia="微软雅黑" w:hAnsi="微软雅黑" w:cs="微软雅黑"/>
          <w:spacing w:val="7"/>
          <w:lang w:eastAsia="zh-CN"/>
        </w:rPr>
        <w:t>500主力合约下跌0.47%至7352.25点。地缘局势上，美军袭击伊朗油轮再度引发市场对中东局势的担忧，国际油价再度上涨。经济数据上，美国4月ADP就业人数增长10.9万人，较3月经下修后的6.1万人大幅增加，为连续第十个月录得就业增长，并创15个月以来新高。劳动市场维持韧性减轻了市场对地缘冲突带来经济衰退的担忧。上市公司层面，芯片设计巨头ARM最新一</w:t>
      </w:r>
      <w:proofErr w:type="gramStart"/>
      <w:r w:rsidRPr="00965C94">
        <w:rPr>
          <w:rFonts w:ascii="微软雅黑" w:eastAsia="微软雅黑" w:hAnsi="微软雅黑" w:cs="微软雅黑"/>
          <w:spacing w:val="7"/>
          <w:lang w:eastAsia="zh-CN"/>
        </w:rPr>
        <w:t>季财报超市</w:t>
      </w:r>
      <w:proofErr w:type="gramEnd"/>
      <w:r w:rsidRPr="00965C94">
        <w:rPr>
          <w:rFonts w:ascii="微软雅黑" w:eastAsia="微软雅黑" w:hAnsi="微软雅黑" w:cs="微软雅黑"/>
          <w:spacing w:val="7"/>
          <w:lang w:eastAsia="zh-CN"/>
        </w:rPr>
        <w:t>场预期，但其CEO在业绩发布会上表示，芯片供应能力不足，无法满足需求，引发市场对其获取市场份额能力的担忧，并带动芯片制造商股价下行。整体来看，美伊局势的不确定性依旧</w:t>
      </w:r>
      <w:proofErr w:type="gramStart"/>
      <w:r w:rsidRPr="00965C94">
        <w:rPr>
          <w:rFonts w:ascii="微软雅黑" w:eastAsia="微软雅黑" w:hAnsi="微软雅黑" w:cs="微软雅黑"/>
          <w:spacing w:val="7"/>
          <w:lang w:eastAsia="zh-CN"/>
        </w:rPr>
        <w:t>冲击美</w:t>
      </w:r>
      <w:proofErr w:type="gramEnd"/>
      <w:r w:rsidRPr="00965C94">
        <w:rPr>
          <w:rFonts w:ascii="微软雅黑" w:eastAsia="微软雅黑" w:hAnsi="微软雅黑" w:cs="微软雅黑"/>
          <w:spacing w:val="7"/>
          <w:lang w:eastAsia="zh-CN"/>
        </w:rPr>
        <w:t>股，但在人工智能与芯片相关股票的</w:t>
      </w:r>
      <w:proofErr w:type="gramStart"/>
      <w:r w:rsidRPr="00965C94">
        <w:rPr>
          <w:rFonts w:ascii="微软雅黑" w:eastAsia="微软雅黑" w:hAnsi="微软雅黑" w:cs="微软雅黑"/>
          <w:spacing w:val="7"/>
          <w:lang w:eastAsia="zh-CN"/>
        </w:rPr>
        <w:t>带动下美股</w:t>
      </w:r>
      <w:proofErr w:type="gramEnd"/>
      <w:r w:rsidRPr="00965C94">
        <w:rPr>
          <w:rFonts w:ascii="微软雅黑" w:eastAsia="微软雅黑" w:hAnsi="微软雅黑" w:cs="微软雅黑"/>
          <w:spacing w:val="7"/>
          <w:lang w:eastAsia="zh-CN"/>
        </w:rPr>
        <w:t>仍有望维持强劲态势</w:t>
      </w:r>
      <w:r w:rsidR="00D673DE" w:rsidRPr="00D673DE">
        <w:rPr>
          <w:rFonts w:ascii="微软雅黑" w:eastAsia="微软雅黑" w:hAnsi="微软雅黑" w:cs="微软雅黑"/>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F82B751" w:rsidR="007A477E" w:rsidRPr="00EE7376" w:rsidRDefault="00965C94" w:rsidP="006B6996">
      <w:pPr>
        <w:spacing w:before="103" w:line="256" w:lineRule="auto"/>
        <w:ind w:right="210" w:firstLine="420"/>
        <w:jc w:val="center"/>
        <w:rPr>
          <w:rFonts w:ascii="微软雅黑" w:eastAsia="微软雅黑" w:hAnsi="微软雅黑" w:cs="微软雅黑" w:hint="eastAsia"/>
          <w:spacing w:val="7"/>
          <w:lang w:eastAsia="zh-CN"/>
        </w:rPr>
      </w:pPr>
      <w:r w:rsidRPr="00C52924">
        <w:rPr>
          <w:rFonts w:ascii="Helvetica" w:hAnsi="Helvetica" w:cs="Helvetica"/>
          <w:noProof/>
          <w:shd w:val="clear" w:color="auto" w:fill="FFFFFF"/>
        </w:rPr>
        <w:drawing>
          <wp:inline distT="0" distB="0" distL="0" distR="0" wp14:anchorId="54BF99AF" wp14:editId="0DEB2AEF">
            <wp:extent cx="5274310" cy="1671481"/>
            <wp:effectExtent l="0" t="0" r="2540" b="5080"/>
            <wp:docPr id="2" name="图片 2" descr="C:\Users\Administrator\xwechat_files\wxid_vkxlzo0vqu7s22_6f5b\temp\InputTemp\2a44da6e-846f-46cd-bbbd-ef4df32a2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2a44da6e-846f-46cd-bbbd-ef4df32a2e6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1481"/>
                    </a:xfrm>
                    <a:prstGeom prst="rect">
                      <a:avLst/>
                    </a:prstGeom>
                    <a:noFill/>
                    <a:ln>
                      <a:noFill/>
                    </a:ln>
                  </pic:spPr>
                </pic:pic>
              </a:graphicData>
            </a:graphic>
          </wp:inline>
        </w:drawing>
      </w:r>
    </w:p>
    <w:p w14:paraId="11BC8174" w14:textId="72590571"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11AC0A6A" w14:textId="0D23275E" w:rsidR="009372C5" w:rsidRPr="00C07FA3" w:rsidRDefault="00965C94" w:rsidP="000511AA">
      <w:pPr>
        <w:spacing w:before="103" w:line="256" w:lineRule="auto"/>
        <w:ind w:right="210" w:firstLine="448"/>
        <w:jc w:val="both"/>
        <w:rPr>
          <w:rFonts w:ascii="微软雅黑" w:eastAsia="微软雅黑" w:hAnsi="微软雅黑" w:cs="微软雅黑" w:hint="eastAsia"/>
          <w:spacing w:val="12"/>
          <w:lang w:eastAsia="zh-CN"/>
        </w:rPr>
      </w:pPr>
      <w:r w:rsidRPr="00965C94">
        <w:rPr>
          <w:rFonts w:ascii="微软雅黑" w:eastAsia="微软雅黑" w:hAnsi="微软雅黑" w:cs="微软雅黑"/>
          <w:spacing w:val="7"/>
          <w:lang w:eastAsia="zh-CN"/>
        </w:rPr>
        <w:t>截至5月7日，富时中国A50指数上涨0.03%至15836.75；新交所富时A50期指主力合约下跌0.37%至15757。海外方面，美军袭击伊朗油轮再度引发市场对中东局势的担忧，国际油价再度上涨，今日早间，美股期货及亚太股市集体下跌。国内方面，经济基本面，4月国内制造业PMI小幅下滑，但仍处于扩张区间，同时，装备制造业与高技术制造业PMI进一步上升。政策层面，4月底的政治局会议对扩内需，产业升级，基建投入均做了安排。上市公司基本面，从2025年年报看，全体A股营收、净利增速均小幅回落；而从2026年</w:t>
      </w:r>
      <w:proofErr w:type="gramStart"/>
      <w:r w:rsidRPr="00965C94">
        <w:rPr>
          <w:rFonts w:ascii="微软雅黑" w:eastAsia="微软雅黑" w:hAnsi="微软雅黑" w:cs="微软雅黑"/>
          <w:spacing w:val="7"/>
          <w:lang w:eastAsia="zh-CN"/>
        </w:rPr>
        <w:t>一</w:t>
      </w:r>
      <w:proofErr w:type="gramEnd"/>
      <w:r w:rsidRPr="00965C94">
        <w:rPr>
          <w:rFonts w:ascii="微软雅黑" w:eastAsia="微软雅黑" w:hAnsi="微软雅黑" w:cs="微软雅黑"/>
          <w:spacing w:val="7"/>
          <w:lang w:eastAsia="zh-CN"/>
        </w:rPr>
        <w:t>季报看，全体A股营收、净利表现亮眼。整体来看，新质生产力对经济的支撑愈发明显，相关行业股价预计有较好表现。同时，上市</w:t>
      </w:r>
      <w:proofErr w:type="gramStart"/>
      <w:r w:rsidRPr="00965C94">
        <w:rPr>
          <w:rFonts w:ascii="微软雅黑" w:eastAsia="微软雅黑" w:hAnsi="微软雅黑" w:cs="微软雅黑"/>
          <w:spacing w:val="7"/>
          <w:lang w:eastAsia="zh-CN"/>
        </w:rPr>
        <w:t>公司财报已</w:t>
      </w:r>
      <w:proofErr w:type="gramEnd"/>
      <w:r w:rsidRPr="00965C94">
        <w:rPr>
          <w:rFonts w:ascii="微软雅黑" w:eastAsia="微软雅黑" w:hAnsi="微软雅黑" w:cs="微软雅黑"/>
          <w:spacing w:val="7"/>
          <w:lang w:eastAsia="zh-CN"/>
        </w:rPr>
        <w:t>披露完成，</w:t>
      </w:r>
      <w:proofErr w:type="gramStart"/>
      <w:r w:rsidRPr="00965C94">
        <w:rPr>
          <w:rFonts w:ascii="微软雅黑" w:eastAsia="微软雅黑" w:hAnsi="微软雅黑" w:cs="微软雅黑"/>
          <w:spacing w:val="7"/>
          <w:lang w:eastAsia="zh-CN"/>
        </w:rPr>
        <w:t>且最新一季财</w:t>
      </w:r>
      <w:proofErr w:type="gramEnd"/>
      <w:r w:rsidRPr="00965C94">
        <w:rPr>
          <w:rFonts w:ascii="微软雅黑" w:eastAsia="微软雅黑" w:hAnsi="微软雅黑" w:cs="微软雅黑"/>
          <w:spacing w:val="7"/>
          <w:lang w:eastAsia="zh-CN"/>
        </w:rPr>
        <w:t>报表现良好，后续市场将继续充分定价</w:t>
      </w:r>
      <w:proofErr w:type="gramStart"/>
      <w:r w:rsidRPr="00965C94">
        <w:rPr>
          <w:rFonts w:ascii="微软雅黑" w:eastAsia="微软雅黑" w:hAnsi="微软雅黑" w:cs="微软雅黑"/>
          <w:spacing w:val="7"/>
          <w:lang w:eastAsia="zh-CN"/>
        </w:rPr>
        <w:t>财报带来</w:t>
      </w:r>
      <w:proofErr w:type="gramEnd"/>
      <w:r w:rsidRPr="00965C94">
        <w:rPr>
          <w:rFonts w:ascii="微软雅黑" w:eastAsia="微软雅黑" w:hAnsi="微软雅黑" w:cs="微软雅黑"/>
          <w:spacing w:val="7"/>
          <w:lang w:eastAsia="zh-CN"/>
        </w:rPr>
        <w:t>的利多。此外，根据政治局会议的定调后续预计将出台更多更为详细的相关政策。最后，虽然地缘紧张局势有再度重燃的可能，但市场反应已明显钝化，且在人工智能浪潮下，A股牛市行情仍有进一步演绎的空间。</w:t>
      </w:r>
      <w:r w:rsidR="00A42B48">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5E0C34FF" w:rsidR="00A10388" w:rsidRDefault="00965C94" w:rsidP="00A10388">
      <w:pPr>
        <w:spacing w:before="120" w:line="190" w:lineRule="auto"/>
        <w:ind w:right="210" w:firstLine="420"/>
        <w:jc w:val="center"/>
        <w:rPr>
          <w:rFonts w:ascii="新宋体" w:eastAsia="新宋体" w:hAnsi="新宋体" w:hint="eastAsia"/>
          <w:lang w:eastAsia="zh-CN"/>
        </w:rPr>
      </w:pPr>
      <w:r w:rsidRPr="00C52924">
        <w:rPr>
          <w:rFonts w:ascii="宋体" w:eastAsia="宋体" w:hAnsi="宋体"/>
          <w:noProof/>
        </w:rPr>
        <w:drawing>
          <wp:inline distT="0" distB="0" distL="0" distR="0" wp14:anchorId="155A0A6F" wp14:editId="22B82834">
            <wp:extent cx="5274310" cy="1661857"/>
            <wp:effectExtent l="0" t="0" r="2540" b="0"/>
            <wp:docPr id="458494585" name="图片 458494585" descr="C:\Users\Administrator\xwechat_files\wxid_vkxlzo0vqu7s22_6f5b\temp\InputTemp\d8f28f98-e915-4fa4-a467-a02f4043f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d8f28f98-e915-4fa4-a467-a02f4043f69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1857"/>
                    </a:xfrm>
                    <a:prstGeom prst="rect">
                      <a:avLst/>
                    </a:prstGeom>
                    <a:noFill/>
                    <a:ln>
                      <a:noFill/>
                    </a:ln>
                  </pic:spPr>
                </pic:pic>
              </a:graphicData>
            </a:graphic>
          </wp:inline>
        </w:drawing>
      </w:r>
    </w:p>
    <w:p w14:paraId="0F993890" w14:textId="212BD931"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0B8F22F0" w:rsidR="00AC6ADE" w:rsidRDefault="00965C94" w:rsidP="00F51117">
      <w:pPr>
        <w:spacing w:before="103" w:line="256" w:lineRule="auto"/>
        <w:ind w:right="210" w:firstLine="468"/>
        <w:jc w:val="both"/>
        <w:rPr>
          <w:rFonts w:ascii="微软雅黑" w:eastAsia="微软雅黑" w:hAnsi="微软雅黑" w:cs="微软雅黑" w:hint="eastAsia"/>
          <w:spacing w:val="12"/>
          <w:lang w:eastAsia="zh-CN"/>
        </w:rPr>
      </w:pPr>
      <w:r w:rsidRPr="00965C94">
        <w:rPr>
          <w:rFonts w:ascii="微软雅黑" w:eastAsia="微软雅黑" w:hAnsi="微软雅黑" w:cs="微软雅黑"/>
          <w:spacing w:val="12"/>
          <w:lang w:eastAsia="zh-CN"/>
        </w:rPr>
        <w:t>隔夜COMEX铜震荡走势，报收6.125元/磅，涨跌幅-0.99%。国际方面，美联储-哈玛克：基准情景是利率将在较长时期内维持不变；柯林斯：希望调整FOMC声明措辞。国内方面，欧盟首次将中国划定为所谓“高风险国家”，并以此为由禁止对使用中国逆变器的项目提供资金支持。商务部新闻发言人表示，中方将认真评估欧方政策对中国企业利益和中欧</w:t>
      </w:r>
      <w:proofErr w:type="gramStart"/>
      <w:r w:rsidRPr="00965C94">
        <w:rPr>
          <w:rFonts w:ascii="微软雅黑" w:eastAsia="微软雅黑" w:hAnsi="微软雅黑" w:cs="微软雅黑"/>
          <w:spacing w:val="12"/>
          <w:lang w:eastAsia="zh-CN"/>
        </w:rPr>
        <w:t>产供链的</w:t>
      </w:r>
      <w:proofErr w:type="gramEnd"/>
      <w:r w:rsidRPr="00965C94">
        <w:rPr>
          <w:rFonts w:ascii="微软雅黑" w:eastAsia="微软雅黑" w:hAnsi="微软雅黑" w:cs="微软雅黑"/>
          <w:spacing w:val="12"/>
          <w:lang w:eastAsia="zh-CN"/>
        </w:rPr>
        <w:t>影响，将采取措施维护中国企业正当合法权益。库存方面，截至2026年5月7日，COMEX铜库存为619866短吨，环比+1396短吨；LME铜库存为398325吨，环比+600吨；SHFE每日仓单92441吨，环比-558吨。美元美债方面，美元指数先跌后涨，在伊朗仍有限开放霍尔木兹海峡之后持续上扬，最终收涨0.26%，报98.26。美债收益率反弹，基准的</w:t>
      </w:r>
      <w:proofErr w:type="gramStart"/>
      <w:r w:rsidRPr="00965C94">
        <w:rPr>
          <w:rFonts w:ascii="微软雅黑" w:eastAsia="微软雅黑" w:hAnsi="微软雅黑" w:cs="微软雅黑"/>
          <w:spacing w:val="12"/>
          <w:lang w:eastAsia="zh-CN"/>
        </w:rPr>
        <w:t>10年期美债</w:t>
      </w:r>
      <w:proofErr w:type="gramEnd"/>
      <w:r w:rsidRPr="00965C94">
        <w:rPr>
          <w:rFonts w:ascii="微软雅黑" w:eastAsia="微软雅黑" w:hAnsi="微软雅黑" w:cs="微软雅黑"/>
          <w:spacing w:val="12"/>
          <w:lang w:eastAsia="zh-CN"/>
        </w:rPr>
        <w:t>收益率收报4.391%，对美联储政策利率敏感的</w:t>
      </w:r>
      <w:proofErr w:type="gramStart"/>
      <w:r w:rsidRPr="00965C94">
        <w:rPr>
          <w:rFonts w:ascii="微软雅黑" w:eastAsia="微软雅黑" w:hAnsi="微软雅黑" w:cs="微软雅黑"/>
          <w:spacing w:val="12"/>
          <w:lang w:eastAsia="zh-CN"/>
        </w:rPr>
        <w:t>2年期美债</w:t>
      </w:r>
      <w:proofErr w:type="gramEnd"/>
      <w:r w:rsidRPr="00965C94">
        <w:rPr>
          <w:rFonts w:ascii="微软雅黑" w:eastAsia="微软雅黑" w:hAnsi="微软雅黑" w:cs="微软雅黑"/>
          <w:spacing w:val="12"/>
          <w:lang w:eastAsia="zh-CN"/>
        </w:rPr>
        <w:t>收益率则收报3.913%。操作建议，</w:t>
      </w:r>
      <w:proofErr w:type="gramStart"/>
      <w:r w:rsidRPr="00965C94">
        <w:rPr>
          <w:rFonts w:ascii="微软雅黑" w:eastAsia="微软雅黑" w:hAnsi="微软雅黑" w:cs="微软雅黑"/>
          <w:spacing w:val="12"/>
          <w:lang w:eastAsia="zh-CN"/>
        </w:rPr>
        <w:t>纽</w:t>
      </w:r>
      <w:proofErr w:type="gramEnd"/>
      <w:r w:rsidRPr="00965C94">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F1C38EB" w:rsidR="00A02266" w:rsidRDefault="00965C94" w:rsidP="006B6996">
      <w:pPr>
        <w:spacing w:before="103" w:line="256" w:lineRule="auto"/>
        <w:ind w:right="210" w:firstLine="420"/>
        <w:jc w:val="center"/>
      </w:pPr>
      <w:r>
        <w:rPr>
          <w:noProof/>
        </w:rPr>
        <w:lastRenderedPageBreak/>
        <w:drawing>
          <wp:inline distT="0" distB="0" distL="0" distR="0" wp14:anchorId="08C07D4B" wp14:editId="5B936BA1">
            <wp:extent cx="5274310" cy="2630805"/>
            <wp:effectExtent l="0" t="0" r="2540" b="0"/>
            <wp:docPr id="391625684" name="图片 3916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30805"/>
                    </a:xfrm>
                    <a:prstGeom prst="rect">
                      <a:avLst/>
                    </a:prstGeom>
                  </pic:spPr>
                </pic:pic>
              </a:graphicData>
            </a:graphic>
          </wp:inline>
        </w:drawing>
      </w:r>
    </w:p>
    <w:p w14:paraId="7E3F135E" w14:textId="3E8F5F5A"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1F27FD10" w:rsidR="00394BD0" w:rsidRDefault="00965C94" w:rsidP="00B00DB4">
      <w:pPr>
        <w:spacing w:before="103" w:line="256" w:lineRule="auto"/>
        <w:ind w:right="210" w:firstLine="448"/>
        <w:jc w:val="both"/>
        <w:rPr>
          <w:rFonts w:ascii="微软雅黑" w:eastAsia="微软雅黑" w:hAnsi="微软雅黑" w:cs="微软雅黑" w:hint="eastAsia"/>
          <w:noProof/>
          <w:spacing w:val="7"/>
          <w:lang w:eastAsia="zh-CN"/>
        </w:rPr>
      </w:pPr>
      <w:r w:rsidRPr="00965C94">
        <w:rPr>
          <w:rFonts w:ascii="微软雅黑" w:eastAsia="微软雅黑" w:hAnsi="微软雅黑" w:cs="微软雅黑"/>
          <w:noProof/>
          <w:spacing w:val="7"/>
          <w:lang w:eastAsia="zh-CN"/>
        </w:rPr>
        <w:t>隔夜，国际贵金属期货普遍收涨，COMEX黄金期货涨0.04%报4696.00美元/盎司，COMEX白银期货涨2.09%报78.92美元/盎司。此前美方重申停火协议有效，确认对伊朗的进攻性军事行动已经结束，但隔夜美伊双方再度交火，特朗普警告伊朗尽快达成协议，否则将面临更猛烈打击行动，避险需求推动美元小幅反弹，贵金属市场高位回落。宏观数据方面，美国上周初请失业金人数小幅增长，但前一周续请失业金人数大幅回落，创2024年1月以来新低，美劳动力市场仍具韧性。此外，美国4月ISM服务业PMI小幅回落但仍显著高于荣枯分界线，物价指数维持于阶段高位水平，职位空缺数小幅回升，企业招聘率由阶段性低位企稳反弹，叠加3月美国零售数据强于市场预期，市场对于美联储年内重启降息的预期维持低位，或仍对金银价格走势构成较强压制。中国4月末黄金储备报7464万盎司，环比增加26万盎司，为连续第18个月增持黄金，波兰央行亦计划大幅扩增黄金储备，新兴国家央行逢低购金态势延续，中长期或提供价格底部支撑。操作上建议，逢低布局思路对待。技术面，伦敦金日线RSI中轴附上方偏强运行，关注上方阻力位4750、4800美元/盎司，下方强支撑4500美元/盎司；伦敦银关注上方阻力位80、82美元/盎司，下方强支撑75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206FDAA" w:rsidR="007A477E" w:rsidRDefault="00965C9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A2795">
        <w:rPr>
          <w:rFonts w:ascii="黑体" w:eastAsia="黑体" w:hAnsi="黑体"/>
          <w:noProof/>
          <w:sz w:val="22"/>
          <w:szCs w:val="22"/>
          <w:shd w:val="clear" w:color="auto" w:fill="FFFFFF"/>
          <w:lang w:bidi="ar"/>
        </w:rPr>
        <w:drawing>
          <wp:inline distT="0" distB="0" distL="0" distR="0" wp14:anchorId="313E2359" wp14:editId="37DED6D6">
            <wp:extent cx="4648200" cy="2362200"/>
            <wp:effectExtent l="0" t="0" r="0" b="0"/>
            <wp:docPr id="4192223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2362200"/>
                    </a:xfrm>
                    <a:prstGeom prst="rect">
                      <a:avLst/>
                    </a:prstGeom>
                    <a:noFill/>
                    <a:ln>
                      <a:noFill/>
                    </a:ln>
                  </pic:spPr>
                </pic:pic>
              </a:graphicData>
            </a:graphic>
          </wp:inline>
        </w:drawing>
      </w:r>
    </w:p>
    <w:p w14:paraId="5FD6CF71" w14:textId="32FAA7A9"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1B040D3" w14:textId="77777777" w:rsidR="00965C94" w:rsidRPr="00965C94" w:rsidRDefault="00965C94" w:rsidP="00965C94">
      <w:pPr>
        <w:spacing w:before="103" w:line="256" w:lineRule="auto"/>
        <w:ind w:right="210" w:firstLine="448"/>
        <w:jc w:val="both"/>
        <w:rPr>
          <w:rFonts w:ascii="微软雅黑" w:eastAsia="微软雅黑" w:hAnsi="微软雅黑" w:cs="微软雅黑"/>
          <w:noProof/>
          <w:spacing w:val="7"/>
          <w:lang w:eastAsia="zh-CN"/>
        </w:rPr>
      </w:pPr>
      <w:r w:rsidRPr="00965C94">
        <w:rPr>
          <w:rFonts w:ascii="微软雅黑" w:eastAsia="微软雅黑" w:hAnsi="微软雅黑" w:cs="微软雅黑" w:hint="eastAsia"/>
          <w:noProof/>
          <w:spacing w:val="7"/>
          <w:lang w:eastAsia="zh-CN"/>
        </w:rPr>
        <w:t>洲际交易所</w:t>
      </w:r>
      <w:r w:rsidRPr="00965C94">
        <w:rPr>
          <w:rFonts w:ascii="微软雅黑" w:eastAsia="微软雅黑" w:hAnsi="微软雅黑" w:cs="微软雅黑"/>
          <w:noProof/>
          <w:spacing w:val="7"/>
          <w:lang w:eastAsia="zh-CN"/>
        </w:rPr>
        <w:t>(ICE)</w:t>
      </w:r>
      <w:r w:rsidRPr="00965C94">
        <w:rPr>
          <w:rFonts w:ascii="微软雅黑" w:eastAsia="微软雅黑" w:hAnsi="微软雅黑" w:cs="微软雅黑" w:hint="eastAsia"/>
          <w:noProof/>
          <w:spacing w:val="7"/>
          <w:lang w:eastAsia="zh-CN"/>
        </w:rPr>
        <w:t>原糖期货周四下跌，受能源价格下跌走势拖累。</w:t>
      </w:r>
      <w:r w:rsidRPr="00965C94">
        <w:rPr>
          <w:rFonts w:ascii="微软雅黑" w:eastAsia="微软雅黑" w:hAnsi="微软雅黑" w:cs="微软雅黑"/>
          <w:noProof/>
          <w:spacing w:val="7"/>
          <w:lang w:eastAsia="zh-CN"/>
        </w:rPr>
        <w:t>ICE</w:t>
      </w:r>
      <w:r w:rsidRPr="00965C94">
        <w:rPr>
          <w:rFonts w:ascii="微软雅黑" w:eastAsia="微软雅黑" w:hAnsi="微软雅黑" w:cs="微软雅黑" w:hint="eastAsia"/>
          <w:noProof/>
          <w:spacing w:val="7"/>
          <w:lang w:eastAsia="zh-CN"/>
        </w:rPr>
        <w:t>交投最活跃的</w:t>
      </w:r>
      <w:r w:rsidRPr="00965C94">
        <w:rPr>
          <w:rFonts w:ascii="微软雅黑" w:eastAsia="微软雅黑" w:hAnsi="微软雅黑" w:cs="微软雅黑"/>
          <w:noProof/>
          <w:spacing w:val="7"/>
          <w:lang w:eastAsia="zh-CN"/>
        </w:rPr>
        <w:t>7</w:t>
      </w:r>
      <w:r w:rsidRPr="00965C94">
        <w:rPr>
          <w:rFonts w:ascii="微软雅黑" w:eastAsia="微软雅黑" w:hAnsi="微软雅黑" w:cs="微软雅黑" w:hint="eastAsia"/>
          <w:noProof/>
          <w:spacing w:val="7"/>
          <w:lang w:eastAsia="zh-CN"/>
        </w:rPr>
        <w:t>月原糖期货收跌</w:t>
      </w:r>
      <w:r w:rsidRPr="00965C94">
        <w:rPr>
          <w:rFonts w:ascii="微软雅黑" w:eastAsia="微软雅黑" w:hAnsi="微软雅黑" w:cs="微软雅黑"/>
          <w:noProof/>
          <w:spacing w:val="7"/>
          <w:lang w:eastAsia="zh-CN"/>
        </w:rPr>
        <w:t>0.27</w:t>
      </w:r>
      <w:r w:rsidRPr="00965C94">
        <w:rPr>
          <w:rFonts w:ascii="微软雅黑" w:eastAsia="微软雅黑" w:hAnsi="微软雅黑" w:cs="微软雅黑" w:hint="eastAsia"/>
          <w:noProof/>
          <w:spacing w:val="7"/>
          <w:lang w:eastAsia="zh-CN"/>
        </w:rPr>
        <w:t>美分或</w:t>
      </w:r>
      <w:r w:rsidRPr="00965C94">
        <w:rPr>
          <w:rFonts w:ascii="微软雅黑" w:eastAsia="微软雅黑" w:hAnsi="微软雅黑" w:cs="微软雅黑"/>
          <w:noProof/>
          <w:spacing w:val="7"/>
          <w:lang w:eastAsia="zh-CN"/>
        </w:rPr>
        <w:t>1.82%</w:t>
      </w:r>
      <w:r w:rsidRPr="00965C94">
        <w:rPr>
          <w:rFonts w:ascii="微软雅黑" w:eastAsia="微软雅黑" w:hAnsi="微软雅黑" w:cs="微软雅黑" w:hint="eastAsia"/>
          <w:noProof/>
          <w:spacing w:val="7"/>
          <w:lang w:eastAsia="zh-CN"/>
        </w:rPr>
        <w:t>，结算价报每磅</w:t>
      </w:r>
      <w:r w:rsidRPr="00965C94">
        <w:rPr>
          <w:rFonts w:ascii="微软雅黑" w:eastAsia="微软雅黑" w:hAnsi="微软雅黑" w:cs="微软雅黑"/>
          <w:noProof/>
          <w:spacing w:val="7"/>
          <w:lang w:eastAsia="zh-CN"/>
        </w:rPr>
        <w:t>14.54</w:t>
      </w:r>
      <w:r w:rsidRPr="00965C94">
        <w:rPr>
          <w:rFonts w:ascii="微软雅黑" w:eastAsia="微软雅黑" w:hAnsi="微软雅黑" w:cs="微软雅黑" w:hint="eastAsia"/>
          <w:noProof/>
          <w:spacing w:val="7"/>
          <w:lang w:eastAsia="zh-CN"/>
        </w:rPr>
        <w:t>美分。</w:t>
      </w:r>
    </w:p>
    <w:p w14:paraId="01B3932E" w14:textId="77777777" w:rsidR="00965C94" w:rsidRPr="00965C94" w:rsidRDefault="00965C94" w:rsidP="00965C94">
      <w:pPr>
        <w:spacing w:before="103" w:line="256" w:lineRule="auto"/>
        <w:ind w:right="210" w:firstLine="448"/>
        <w:jc w:val="both"/>
        <w:rPr>
          <w:rFonts w:ascii="微软雅黑" w:eastAsia="微软雅黑" w:hAnsi="微软雅黑" w:cs="微软雅黑"/>
          <w:noProof/>
          <w:spacing w:val="7"/>
          <w:lang w:eastAsia="zh-CN"/>
        </w:rPr>
      </w:pPr>
      <w:r w:rsidRPr="00965C94">
        <w:rPr>
          <w:rFonts w:ascii="微软雅黑" w:eastAsia="微软雅黑" w:hAnsi="微软雅黑" w:cs="微软雅黑" w:hint="eastAsia"/>
          <w:noProof/>
          <w:spacing w:val="7"/>
          <w:lang w:eastAsia="zh-CN"/>
        </w:rPr>
        <w:t>国际方面，</w:t>
      </w:r>
      <w:r w:rsidRPr="00965C94">
        <w:rPr>
          <w:rFonts w:ascii="微软雅黑" w:eastAsia="微软雅黑" w:hAnsi="微软雅黑" w:cs="微软雅黑"/>
          <w:noProof/>
          <w:spacing w:val="7"/>
          <w:lang w:eastAsia="zh-CN"/>
        </w:rPr>
        <w:t>Conab</w:t>
      </w:r>
      <w:r w:rsidRPr="00965C94">
        <w:rPr>
          <w:rFonts w:ascii="微软雅黑" w:eastAsia="微软雅黑" w:hAnsi="微软雅黑" w:cs="微软雅黑" w:hint="eastAsia"/>
          <w:noProof/>
          <w:spacing w:val="7"/>
          <w:lang w:eastAsia="zh-CN"/>
        </w:rPr>
        <w:t>首期预测</w:t>
      </w:r>
      <w:r w:rsidRPr="00965C94">
        <w:rPr>
          <w:rFonts w:ascii="微软雅黑" w:eastAsia="微软雅黑" w:hAnsi="微软雅黑" w:cs="微软雅黑"/>
          <w:noProof/>
          <w:spacing w:val="7"/>
          <w:lang w:eastAsia="zh-CN"/>
        </w:rPr>
        <w:t>2026/27</w:t>
      </w:r>
      <w:r w:rsidRPr="00965C94">
        <w:rPr>
          <w:rFonts w:ascii="微软雅黑" w:eastAsia="微软雅黑" w:hAnsi="微软雅黑" w:cs="微软雅黑" w:hint="eastAsia"/>
          <w:noProof/>
          <w:spacing w:val="7"/>
          <w:lang w:eastAsia="zh-CN"/>
        </w:rPr>
        <w:t>年度甘蔗调查报告，得益于生产力提升及收割面积扩大预期，预测</w:t>
      </w:r>
      <w:r w:rsidRPr="00965C94">
        <w:rPr>
          <w:rFonts w:ascii="微软雅黑" w:eastAsia="微软雅黑" w:hAnsi="微软雅黑" w:cs="微软雅黑"/>
          <w:noProof/>
          <w:spacing w:val="7"/>
          <w:lang w:eastAsia="zh-CN"/>
        </w:rPr>
        <w:t>2026/27</w:t>
      </w:r>
      <w:r w:rsidRPr="00965C94">
        <w:rPr>
          <w:rFonts w:ascii="微软雅黑" w:eastAsia="微软雅黑" w:hAnsi="微软雅黑" w:cs="微软雅黑" w:hint="eastAsia"/>
          <w:noProof/>
          <w:spacing w:val="7"/>
          <w:lang w:eastAsia="zh-CN"/>
        </w:rPr>
        <w:t>年度巴西甘蔗产量将达到</w:t>
      </w:r>
      <w:r w:rsidRPr="00965C94">
        <w:rPr>
          <w:rFonts w:ascii="微软雅黑" w:eastAsia="微软雅黑" w:hAnsi="微软雅黑" w:cs="微软雅黑"/>
          <w:noProof/>
          <w:spacing w:val="7"/>
          <w:lang w:eastAsia="zh-CN"/>
        </w:rPr>
        <w:t>7.09</w:t>
      </w:r>
      <w:r w:rsidRPr="00965C94">
        <w:rPr>
          <w:rFonts w:ascii="微软雅黑" w:eastAsia="微软雅黑" w:hAnsi="微软雅黑" w:cs="微软雅黑" w:hint="eastAsia"/>
          <w:noProof/>
          <w:spacing w:val="7"/>
          <w:lang w:eastAsia="zh-CN"/>
        </w:rPr>
        <w:t>亿吨，较上一年度增长</w:t>
      </w:r>
      <w:r w:rsidRPr="00965C94">
        <w:rPr>
          <w:rFonts w:ascii="微软雅黑" w:eastAsia="微软雅黑" w:hAnsi="微软雅黑" w:cs="微软雅黑"/>
          <w:noProof/>
          <w:spacing w:val="7"/>
          <w:lang w:eastAsia="zh-CN"/>
        </w:rPr>
        <w:t>5.3%</w:t>
      </w:r>
      <w:r w:rsidRPr="00965C94">
        <w:rPr>
          <w:rFonts w:ascii="微软雅黑" w:eastAsia="微软雅黑" w:hAnsi="微软雅黑" w:cs="微软雅黑" w:hint="eastAsia"/>
          <w:noProof/>
          <w:spacing w:val="7"/>
          <w:lang w:eastAsia="zh-CN"/>
        </w:rPr>
        <w:t>。创下该机构统计史上第二高记录，仅次于</w:t>
      </w:r>
      <w:r w:rsidRPr="00965C94">
        <w:rPr>
          <w:rFonts w:ascii="微软雅黑" w:eastAsia="微软雅黑" w:hAnsi="微软雅黑" w:cs="微软雅黑"/>
          <w:noProof/>
          <w:spacing w:val="7"/>
          <w:lang w:eastAsia="zh-CN"/>
        </w:rPr>
        <w:t>2023/24</w:t>
      </w:r>
      <w:r w:rsidRPr="00965C94">
        <w:rPr>
          <w:rFonts w:ascii="微软雅黑" w:eastAsia="微软雅黑" w:hAnsi="微软雅黑" w:cs="微软雅黑" w:hint="eastAsia"/>
          <w:noProof/>
          <w:spacing w:val="7"/>
          <w:lang w:eastAsia="zh-CN"/>
        </w:rPr>
        <w:t>年度收成。不过甘蔗压榨量增加，但由于市场条件有利，生物燃料产量预计将大幅增长，巴西</w:t>
      </w:r>
      <w:r w:rsidRPr="00965C94">
        <w:rPr>
          <w:rFonts w:ascii="微软雅黑" w:eastAsia="微软雅黑" w:hAnsi="微软雅黑" w:cs="微软雅黑"/>
          <w:noProof/>
          <w:spacing w:val="7"/>
          <w:lang w:eastAsia="zh-CN"/>
        </w:rPr>
        <w:t>2026/27</w:t>
      </w:r>
      <w:r w:rsidRPr="00965C94">
        <w:rPr>
          <w:rFonts w:ascii="微软雅黑" w:eastAsia="微软雅黑" w:hAnsi="微软雅黑" w:cs="微软雅黑" w:hint="eastAsia"/>
          <w:noProof/>
          <w:spacing w:val="7"/>
          <w:lang w:eastAsia="zh-CN"/>
        </w:rPr>
        <w:t>年度糖产量下降</w:t>
      </w:r>
      <w:r w:rsidRPr="00965C94">
        <w:rPr>
          <w:rFonts w:ascii="微软雅黑" w:eastAsia="微软雅黑" w:hAnsi="微软雅黑" w:cs="微软雅黑"/>
          <w:noProof/>
          <w:spacing w:val="7"/>
          <w:lang w:eastAsia="zh-CN"/>
        </w:rPr>
        <w:t>0.5%</w:t>
      </w:r>
      <w:r w:rsidRPr="00965C94">
        <w:rPr>
          <w:rFonts w:ascii="微软雅黑" w:eastAsia="微软雅黑" w:hAnsi="微软雅黑" w:cs="微软雅黑" w:hint="eastAsia"/>
          <w:noProof/>
          <w:spacing w:val="7"/>
          <w:lang w:eastAsia="zh-CN"/>
        </w:rPr>
        <w:t>至</w:t>
      </w:r>
      <w:r w:rsidRPr="00965C94">
        <w:rPr>
          <w:rFonts w:ascii="微软雅黑" w:eastAsia="微软雅黑" w:hAnsi="微软雅黑" w:cs="微软雅黑"/>
          <w:noProof/>
          <w:spacing w:val="7"/>
          <w:lang w:eastAsia="zh-CN"/>
        </w:rPr>
        <w:t>4395</w:t>
      </w:r>
      <w:r w:rsidRPr="00965C94">
        <w:rPr>
          <w:rFonts w:ascii="微软雅黑" w:eastAsia="微软雅黑" w:hAnsi="微软雅黑" w:cs="微软雅黑" w:hint="eastAsia"/>
          <w:noProof/>
          <w:spacing w:val="7"/>
          <w:lang w:eastAsia="zh-CN"/>
        </w:rPr>
        <w:t>万吨。巴西乙醇产量将增长</w:t>
      </w:r>
      <w:r w:rsidRPr="00965C94">
        <w:rPr>
          <w:rFonts w:ascii="微软雅黑" w:eastAsia="微软雅黑" w:hAnsi="微软雅黑" w:cs="微软雅黑"/>
          <w:noProof/>
          <w:spacing w:val="7"/>
          <w:lang w:eastAsia="zh-CN"/>
        </w:rPr>
        <w:t>8.5%</w:t>
      </w:r>
      <w:r w:rsidRPr="00965C94">
        <w:rPr>
          <w:rFonts w:ascii="微软雅黑" w:eastAsia="微软雅黑" w:hAnsi="微软雅黑" w:cs="微软雅黑" w:hint="eastAsia"/>
          <w:noProof/>
          <w:spacing w:val="7"/>
          <w:lang w:eastAsia="zh-CN"/>
        </w:rPr>
        <w:t>至</w:t>
      </w:r>
      <w:r w:rsidRPr="00965C94">
        <w:rPr>
          <w:rFonts w:ascii="微软雅黑" w:eastAsia="微软雅黑" w:hAnsi="微软雅黑" w:cs="微软雅黑"/>
          <w:noProof/>
          <w:spacing w:val="7"/>
          <w:lang w:eastAsia="zh-CN"/>
        </w:rPr>
        <w:t>406.9</w:t>
      </w:r>
      <w:r w:rsidRPr="00965C94">
        <w:rPr>
          <w:rFonts w:ascii="微软雅黑" w:eastAsia="微软雅黑" w:hAnsi="微软雅黑" w:cs="微软雅黑" w:hint="eastAsia"/>
          <w:noProof/>
          <w:spacing w:val="7"/>
          <w:lang w:eastAsia="zh-CN"/>
        </w:rPr>
        <w:t>亿升。</w:t>
      </w:r>
    </w:p>
    <w:p w14:paraId="3F44DEBC" w14:textId="61220BD9" w:rsidR="00C27A84" w:rsidRDefault="00965C94" w:rsidP="00965C94">
      <w:pPr>
        <w:spacing w:before="103" w:line="256" w:lineRule="auto"/>
        <w:ind w:right="210" w:firstLine="448"/>
        <w:jc w:val="both"/>
        <w:rPr>
          <w:rFonts w:ascii="微软雅黑" w:eastAsia="微软雅黑" w:hAnsi="微软雅黑" w:cs="微软雅黑" w:hint="eastAsia"/>
          <w:noProof/>
          <w:spacing w:val="7"/>
          <w:lang w:eastAsia="zh-CN"/>
        </w:rPr>
      </w:pPr>
      <w:r w:rsidRPr="00965C94">
        <w:rPr>
          <w:rFonts w:ascii="微软雅黑" w:eastAsia="微软雅黑" w:hAnsi="微软雅黑" w:cs="微软雅黑" w:hint="eastAsia"/>
          <w:noProof/>
          <w:spacing w:val="7"/>
          <w:lang w:eastAsia="zh-CN"/>
        </w:rPr>
        <w:t>美糖主力价格关注上方压力</w:t>
      </w:r>
      <w:r w:rsidRPr="00965C94">
        <w:rPr>
          <w:rFonts w:ascii="微软雅黑" w:eastAsia="微软雅黑" w:hAnsi="微软雅黑" w:cs="微软雅黑"/>
          <w:noProof/>
          <w:spacing w:val="7"/>
          <w:lang w:eastAsia="zh-CN"/>
        </w:rPr>
        <w:t>15.8</w:t>
      </w:r>
      <w:r w:rsidRPr="00965C94">
        <w:rPr>
          <w:rFonts w:ascii="微软雅黑" w:eastAsia="微软雅黑" w:hAnsi="微软雅黑" w:cs="微软雅黑" w:hint="eastAsia"/>
          <w:noProof/>
          <w:spacing w:val="7"/>
          <w:lang w:eastAsia="zh-CN"/>
        </w:rPr>
        <w:t>美分</w:t>
      </w:r>
      <w:r w:rsidRPr="00965C94">
        <w:rPr>
          <w:rFonts w:ascii="微软雅黑" w:eastAsia="微软雅黑" w:hAnsi="微软雅黑" w:cs="微软雅黑"/>
          <w:noProof/>
          <w:spacing w:val="7"/>
          <w:lang w:eastAsia="zh-CN"/>
        </w:rPr>
        <w:t>/</w:t>
      </w:r>
      <w:r w:rsidRPr="00965C94">
        <w:rPr>
          <w:rFonts w:ascii="微软雅黑" w:eastAsia="微软雅黑" w:hAnsi="微软雅黑" w:cs="微软雅黑" w:hint="eastAsia"/>
          <w:noProof/>
          <w:spacing w:val="7"/>
          <w:lang w:eastAsia="zh-CN"/>
        </w:rPr>
        <w:t>磅，下方支撑</w:t>
      </w:r>
      <w:r w:rsidRPr="00965C94">
        <w:rPr>
          <w:rFonts w:ascii="微软雅黑" w:eastAsia="微软雅黑" w:hAnsi="微软雅黑" w:cs="微软雅黑"/>
          <w:noProof/>
          <w:spacing w:val="7"/>
          <w:lang w:eastAsia="zh-CN"/>
        </w:rPr>
        <w:t>13.80</w:t>
      </w:r>
      <w:r w:rsidRPr="00965C94">
        <w:rPr>
          <w:rFonts w:ascii="微软雅黑" w:eastAsia="微软雅黑" w:hAnsi="微软雅黑" w:cs="微软雅黑" w:hint="eastAsia"/>
          <w:noProof/>
          <w:spacing w:val="7"/>
          <w:lang w:eastAsia="zh-CN"/>
        </w:rPr>
        <w:t>美分</w:t>
      </w:r>
      <w:r w:rsidRPr="00965C94">
        <w:rPr>
          <w:rFonts w:ascii="微软雅黑" w:eastAsia="微软雅黑" w:hAnsi="微软雅黑" w:cs="微软雅黑"/>
          <w:noProof/>
          <w:spacing w:val="7"/>
          <w:lang w:eastAsia="zh-CN"/>
        </w:rPr>
        <w:t>/</w:t>
      </w:r>
      <w:r w:rsidRPr="00965C94">
        <w:rPr>
          <w:rFonts w:ascii="微软雅黑" w:eastAsia="微软雅黑" w:hAnsi="微软雅黑" w:cs="微软雅黑" w:hint="eastAsia"/>
          <w:noProof/>
          <w:spacing w:val="7"/>
          <w:lang w:eastAsia="zh-CN"/>
        </w:rPr>
        <w:t>磅。建议</w:t>
      </w:r>
      <w:r w:rsidRPr="00965C94">
        <w:rPr>
          <w:rFonts w:ascii="微软雅黑" w:eastAsia="微软雅黑" w:hAnsi="微软雅黑" w:cs="微软雅黑"/>
          <w:noProof/>
          <w:spacing w:val="7"/>
          <w:lang w:eastAsia="zh-CN"/>
        </w:rPr>
        <w:t>7</w:t>
      </w:r>
      <w:r w:rsidRPr="00965C94">
        <w:rPr>
          <w:rFonts w:ascii="微软雅黑" w:eastAsia="微软雅黑" w:hAnsi="微软雅黑" w:cs="微软雅黑" w:hint="eastAsia"/>
          <w:noProof/>
          <w:spacing w:val="7"/>
          <w:lang w:eastAsia="zh-CN"/>
        </w:rPr>
        <w:t>月</w:t>
      </w:r>
      <w:r w:rsidRPr="00965C94">
        <w:rPr>
          <w:rFonts w:ascii="微软雅黑" w:eastAsia="微软雅黑" w:hAnsi="微软雅黑" w:cs="微软雅黑"/>
          <w:noProof/>
          <w:spacing w:val="7"/>
          <w:lang w:eastAsia="zh-CN"/>
        </w:rPr>
        <w:t xml:space="preserve"> ICE </w:t>
      </w:r>
      <w:r w:rsidRPr="00965C94">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F6608EA" w:rsidR="007A477E" w:rsidRPr="00786136" w:rsidRDefault="00965C94"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8FF86BC" wp14:editId="6D42475A">
            <wp:extent cx="5271770" cy="2194560"/>
            <wp:effectExtent l="0" t="0" r="5080" b="0"/>
            <wp:docPr id="75087082" name="图片 5" descr="QQ截图2026050807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QQ截图202605080759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94560"/>
                    </a:xfrm>
                    <a:prstGeom prst="rect">
                      <a:avLst/>
                    </a:prstGeom>
                    <a:noFill/>
                    <a:ln>
                      <a:noFill/>
                    </a:ln>
                  </pic:spPr>
                </pic:pic>
              </a:graphicData>
            </a:graphic>
          </wp:inline>
        </w:drawing>
      </w:r>
    </w:p>
    <w:p w14:paraId="09F4430E" w14:textId="4F5B6BBC"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71F272D" w14:textId="77777777" w:rsidR="00965C94" w:rsidRPr="00965C94" w:rsidRDefault="00965C94" w:rsidP="00965C94">
      <w:pPr>
        <w:spacing w:before="103" w:line="256" w:lineRule="auto"/>
        <w:ind w:right="210" w:firstLine="448"/>
        <w:jc w:val="both"/>
        <w:rPr>
          <w:rFonts w:ascii="微软雅黑" w:eastAsia="微软雅黑" w:hAnsi="微软雅黑" w:cs="微软雅黑"/>
          <w:noProof/>
          <w:spacing w:val="7"/>
          <w:lang w:eastAsia="zh-CN"/>
        </w:rPr>
      </w:pPr>
      <w:r w:rsidRPr="00965C94">
        <w:rPr>
          <w:rFonts w:ascii="微软雅黑" w:eastAsia="微软雅黑" w:hAnsi="微软雅黑" w:cs="微软雅黑" w:hint="eastAsia"/>
          <w:noProof/>
          <w:spacing w:val="7"/>
          <w:lang w:eastAsia="zh-CN"/>
        </w:rPr>
        <w:t>洲际交易所</w:t>
      </w:r>
      <w:r w:rsidRPr="00965C94">
        <w:rPr>
          <w:rFonts w:ascii="微软雅黑" w:eastAsia="微软雅黑" w:hAnsi="微软雅黑" w:cs="微软雅黑"/>
          <w:noProof/>
          <w:spacing w:val="7"/>
          <w:lang w:eastAsia="zh-CN"/>
        </w:rPr>
        <w:t>(ICE)</w:t>
      </w:r>
      <w:r w:rsidRPr="00965C94">
        <w:rPr>
          <w:rFonts w:ascii="微软雅黑" w:eastAsia="微软雅黑" w:hAnsi="微软雅黑" w:cs="微软雅黑" w:hint="eastAsia"/>
          <w:noProof/>
          <w:spacing w:val="7"/>
          <w:lang w:eastAsia="zh-CN"/>
        </w:rPr>
        <w:t>棉花期货周四收低，受棉花种植面积增加的预期拖累，这引发了市场对供应增加的担忧。</w:t>
      </w:r>
      <w:r w:rsidRPr="00965C94">
        <w:rPr>
          <w:rFonts w:ascii="微软雅黑" w:eastAsia="微软雅黑" w:hAnsi="微软雅黑" w:cs="微软雅黑"/>
          <w:noProof/>
          <w:spacing w:val="7"/>
          <w:lang w:eastAsia="zh-CN"/>
        </w:rPr>
        <w:t>ICE 7</w:t>
      </w:r>
      <w:r w:rsidRPr="00965C94">
        <w:rPr>
          <w:rFonts w:ascii="微软雅黑" w:eastAsia="微软雅黑" w:hAnsi="微软雅黑" w:cs="微软雅黑" w:hint="eastAsia"/>
          <w:noProof/>
          <w:spacing w:val="7"/>
          <w:lang w:eastAsia="zh-CN"/>
        </w:rPr>
        <w:t>月棉花期货合约收跌</w:t>
      </w:r>
      <w:r w:rsidRPr="00965C94">
        <w:rPr>
          <w:rFonts w:ascii="微软雅黑" w:eastAsia="微软雅黑" w:hAnsi="微软雅黑" w:cs="微软雅黑"/>
          <w:noProof/>
          <w:spacing w:val="7"/>
          <w:lang w:eastAsia="zh-CN"/>
        </w:rPr>
        <w:t>1.05</w:t>
      </w:r>
      <w:r w:rsidRPr="00965C94">
        <w:rPr>
          <w:rFonts w:ascii="微软雅黑" w:eastAsia="微软雅黑" w:hAnsi="微软雅黑" w:cs="微软雅黑" w:hint="eastAsia"/>
          <w:noProof/>
          <w:spacing w:val="7"/>
          <w:lang w:eastAsia="zh-CN"/>
        </w:rPr>
        <w:t>美分，或</w:t>
      </w:r>
      <w:r w:rsidRPr="00965C94">
        <w:rPr>
          <w:rFonts w:ascii="微软雅黑" w:eastAsia="微软雅黑" w:hAnsi="微软雅黑" w:cs="微软雅黑"/>
          <w:noProof/>
          <w:spacing w:val="7"/>
          <w:lang w:eastAsia="zh-CN"/>
        </w:rPr>
        <w:t>1.25%</w:t>
      </w:r>
      <w:r w:rsidRPr="00965C94">
        <w:rPr>
          <w:rFonts w:ascii="微软雅黑" w:eastAsia="微软雅黑" w:hAnsi="微软雅黑" w:cs="微软雅黑" w:hint="eastAsia"/>
          <w:noProof/>
          <w:spacing w:val="7"/>
          <w:lang w:eastAsia="zh-CN"/>
        </w:rPr>
        <w:t>，结算价报每磅</w:t>
      </w:r>
      <w:r w:rsidRPr="00965C94">
        <w:rPr>
          <w:rFonts w:ascii="微软雅黑" w:eastAsia="微软雅黑" w:hAnsi="微软雅黑" w:cs="微软雅黑"/>
          <w:noProof/>
          <w:spacing w:val="7"/>
          <w:lang w:eastAsia="zh-CN"/>
        </w:rPr>
        <w:t>83.0</w:t>
      </w:r>
      <w:r w:rsidRPr="00965C94">
        <w:rPr>
          <w:rFonts w:ascii="微软雅黑" w:eastAsia="微软雅黑" w:hAnsi="微软雅黑" w:cs="微软雅黑" w:hint="eastAsia"/>
          <w:noProof/>
          <w:spacing w:val="7"/>
          <w:lang w:eastAsia="zh-CN"/>
        </w:rPr>
        <w:t>分。</w:t>
      </w:r>
    </w:p>
    <w:p w14:paraId="712EB672" w14:textId="77777777" w:rsidR="00965C94" w:rsidRPr="00965C94" w:rsidRDefault="00965C94" w:rsidP="00965C94">
      <w:pPr>
        <w:spacing w:before="103" w:line="256" w:lineRule="auto"/>
        <w:ind w:right="210" w:firstLine="448"/>
        <w:jc w:val="both"/>
        <w:rPr>
          <w:rFonts w:ascii="微软雅黑" w:eastAsia="微软雅黑" w:hAnsi="微软雅黑" w:cs="微软雅黑"/>
          <w:noProof/>
          <w:spacing w:val="7"/>
          <w:lang w:eastAsia="zh-CN"/>
        </w:rPr>
      </w:pPr>
      <w:r w:rsidRPr="00965C94">
        <w:rPr>
          <w:rFonts w:ascii="微软雅黑" w:eastAsia="微软雅黑" w:hAnsi="微软雅黑" w:cs="微软雅黑" w:hint="eastAsia"/>
          <w:noProof/>
          <w:spacing w:val="7"/>
          <w:lang w:eastAsia="zh-CN"/>
        </w:rPr>
        <w:t>国际方面，据美国农业部</w:t>
      </w:r>
      <w:r w:rsidRPr="00965C94">
        <w:rPr>
          <w:rFonts w:ascii="微软雅黑" w:eastAsia="微软雅黑" w:hAnsi="微软雅黑" w:cs="微软雅黑"/>
          <w:noProof/>
          <w:spacing w:val="7"/>
          <w:lang w:eastAsia="zh-CN"/>
        </w:rPr>
        <w:t>(USDA)</w:t>
      </w:r>
      <w:r w:rsidRPr="00965C94">
        <w:rPr>
          <w:rFonts w:ascii="微软雅黑" w:eastAsia="微软雅黑" w:hAnsi="微软雅黑" w:cs="微软雅黑" w:hint="eastAsia"/>
          <w:noProof/>
          <w:spacing w:val="7"/>
          <w:lang w:eastAsia="zh-CN"/>
        </w:rPr>
        <w:t>首份作物生长报告显示</w:t>
      </w:r>
      <w:r w:rsidRPr="00965C94">
        <w:rPr>
          <w:rFonts w:ascii="微软雅黑" w:eastAsia="微软雅黑" w:hAnsi="微软雅黑" w:cs="微软雅黑"/>
          <w:noProof/>
          <w:spacing w:val="7"/>
          <w:lang w:eastAsia="zh-CN"/>
        </w:rPr>
        <w:t xml:space="preserve"> </w:t>
      </w:r>
      <w:r w:rsidRPr="00965C94">
        <w:rPr>
          <w:rFonts w:ascii="微软雅黑" w:eastAsia="微软雅黑" w:hAnsi="微软雅黑" w:cs="微软雅黑" w:hint="eastAsia"/>
          <w:noProof/>
          <w:spacing w:val="7"/>
          <w:lang w:eastAsia="zh-CN"/>
        </w:rPr>
        <w:t>，截至</w:t>
      </w:r>
      <w:r w:rsidRPr="00965C94">
        <w:rPr>
          <w:rFonts w:ascii="微软雅黑" w:eastAsia="微软雅黑" w:hAnsi="微软雅黑" w:cs="微软雅黑"/>
          <w:noProof/>
          <w:spacing w:val="7"/>
          <w:lang w:eastAsia="zh-CN"/>
        </w:rPr>
        <w:t>2026</w:t>
      </w:r>
      <w:r w:rsidRPr="00965C94">
        <w:rPr>
          <w:rFonts w:ascii="微软雅黑" w:eastAsia="微软雅黑" w:hAnsi="微软雅黑" w:cs="微软雅黑" w:hint="eastAsia"/>
          <w:noProof/>
          <w:spacing w:val="7"/>
          <w:lang w:eastAsia="zh-CN"/>
        </w:rPr>
        <w:t>年</w:t>
      </w:r>
      <w:r w:rsidRPr="00965C94">
        <w:rPr>
          <w:rFonts w:ascii="微软雅黑" w:eastAsia="微软雅黑" w:hAnsi="微软雅黑" w:cs="微软雅黑"/>
          <w:noProof/>
          <w:spacing w:val="7"/>
          <w:lang w:eastAsia="zh-CN"/>
        </w:rPr>
        <w:t>5</w:t>
      </w:r>
      <w:r w:rsidRPr="00965C94">
        <w:rPr>
          <w:rFonts w:ascii="微软雅黑" w:eastAsia="微软雅黑" w:hAnsi="微软雅黑" w:cs="微软雅黑" w:hint="eastAsia"/>
          <w:noProof/>
          <w:spacing w:val="7"/>
          <w:lang w:eastAsia="zh-CN"/>
        </w:rPr>
        <w:t>月</w:t>
      </w:r>
      <w:r w:rsidRPr="00965C94">
        <w:rPr>
          <w:rFonts w:ascii="微软雅黑" w:eastAsia="微软雅黑" w:hAnsi="微软雅黑" w:cs="微软雅黑"/>
          <w:noProof/>
          <w:spacing w:val="7"/>
          <w:lang w:eastAsia="zh-CN"/>
        </w:rPr>
        <w:t>3</w:t>
      </w:r>
      <w:r w:rsidRPr="00965C94">
        <w:rPr>
          <w:rFonts w:ascii="微软雅黑" w:eastAsia="微软雅黑" w:hAnsi="微软雅黑" w:cs="微软雅黑" w:hint="eastAsia"/>
          <w:noProof/>
          <w:spacing w:val="7"/>
          <w:lang w:eastAsia="zh-CN"/>
        </w:rPr>
        <w:t>日当周，美国棉花种植率为</w:t>
      </w:r>
      <w:r w:rsidRPr="00965C94">
        <w:rPr>
          <w:rFonts w:ascii="微软雅黑" w:eastAsia="微软雅黑" w:hAnsi="微软雅黑" w:cs="微软雅黑"/>
          <w:noProof/>
          <w:spacing w:val="7"/>
          <w:lang w:eastAsia="zh-CN"/>
        </w:rPr>
        <w:t>21%</w:t>
      </w:r>
      <w:r w:rsidRPr="00965C94">
        <w:rPr>
          <w:rFonts w:ascii="微软雅黑" w:eastAsia="微软雅黑" w:hAnsi="微软雅黑" w:cs="微软雅黑" w:hint="eastAsia"/>
          <w:noProof/>
          <w:spacing w:val="7"/>
          <w:lang w:eastAsia="zh-CN"/>
        </w:rPr>
        <w:t>，较去年同期（</w:t>
      </w:r>
      <w:r w:rsidRPr="00965C94">
        <w:rPr>
          <w:rFonts w:ascii="微软雅黑" w:eastAsia="微软雅黑" w:hAnsi="微软雅黑" w:cs="微软雅黑"/>
          <w:noProof/>
          <w:spacing w:val="7"/>
          <w:lang w:eastAsia="zh-CN"/>
        </w:rPr>
        <w:t>20%</w:t>
      </w:r>
      <w:r w:rsidRPr="00965C94">
        <w:rPr>
          <w:rFonts w:ascii="微软雅黑" w:eastAsia="微软雅黑" w:hAnsi="微软雅黑" w:cs="微软雅黑" w:hint="eastAsia"/>
          <w:noProof/>
          <w:spacing w:val="7"/>
          <w:lang w:eastAsia="zh-CN"/>
        </w:rPr>
        <w:t>）增加</w:t>
      </w:r>
      <w:r w:rsidRPr="00965C94">
        <w:rPr>
          <w:rFonts w:ascii="微软雅黑" w:eastAsia="微软雅黑" w:hAnsi="微软雅黑" w:cs="微软雅黑"/>
          <w:noProof/>
          <w:spacing w:val="7"/>
          <w:lang w:eastAsia="zh-CN"/>
        </w:rPr>
        <w:t>1%</w:t>
      </w:r>
      <w:r w:rsidRPr="00965C94">
        <w:rPr>
          <w:rFonts w:ascii="微软雅黑" w:eastAsia="微软雅黑" w:hAnsi="微软雅黑" w:cs="微软雅黑" w:hint="eastAsia"/>
          <w:noProof/>
          <w:spacing w:val="7"/>
          <w:lang w:eastAsia="zh-CN"/>
        </w:rPr>
        <w:t>，较五年同期均值（</w:t>
      </w:r>
      <w:r w:rsidRPr="00965C94">
        <w:rPr>
          <w:rFonts w:ascii="微软雅黑" w:eastAsia="微软雅黑" w:hAnsi="微软雅黑" w:cs="微软雅黑"/>
          <w:noProof/>
          <w:spacing w:val="7"/>
          <w:lang w:eastAsia="zh-CN"/>
        </w:rPr>
        <w:t>19%</w:t>
      </w:r>
      <w:r w:rsidRPr="00965C94">
        <w:rPr>
          <w:rFonts w:ascii="微软雅黑" w:eastAsia="微软雅黑" w:hAnsi="微软雅黑" w:cs="微软雅黑" w:hint="eastAsia"/>
          <w:noProof/>
          <w:spacing w:val="7"/>
          <w:lang w:eastAsia="zh-CN"/>
        </w:rPr>
        <w:t>）增加</w:t>
      </w:r>
      <w:r w:rsidRPr="00965C94">
        <w:rPr>
          <w:rFonts w:ascii="微软雅黑" w:eastAsia="微软雅黑" w:hAnsi="微软雅黑" w:cs="微软雅黑"/>
          <w:noProof/>
          <w:spacing w:val="7"/>
          <w:lang w:eastAsia="zh-CN"/>
        </w:rPr>
        <w:t>2%</w:t>
      </w:r>
      <w:r w:rsidRPr="00965C94">
        <w:rPr>
          <w:rFonts w:ascii="微软雅黑" w:eastAsia="微软雅黑" w:hAnsi="微软雅黑" w:cs="微软雅黑" w:hint="eastAsia"/>
          <w:noProof/>
          <w:spacing w:val="7"/>
          <w:lang w:eastAsia="zh-CN"/>
        </w:rPr>
        <w:t>。</w:t>
      </w:r>
    </w:p>
    <w:p w14:paraId="722F5E7C" w14:textId="281A3019" w:rsidR="00944987" w:rsidRPr="00944987" w:rsidRDefault="00965C94" w:rsidP="00965C94">
      <w:pPr>
        <w:spacing w:before="103" w:line="256" w:lineRule="auto"/>
        <w:ind w:right="210" w:firstLine="448"/>
        <w:jc w:val="both"/>
        <w:rPr>
          <w:rFonts w:ascii="微软雅黑" w:eastAsia="微软雅黑" w:hAnsi="微软雅黑" w:cs="微软雅黑" w:hint="eastAsia"/>
          <w:noProof/>
          <w:spacing w:val="7"/>
          <w:lang w:eastAsia="zh-CN"/>
        </w:rPr>
      </w:pPr>
      <w:r w:rsidRPr="00965C94">
        <w:rPr>
          <w:rFonts w:ascii="微软雅黑" w:eastAsia="微软雅黑" w:hAnsi="微软雅黑" w:cs="微软雅黑" w:hint="eastAsia"/>
          <w:noProof/>
          <w:spacing w:val="7"/>
          <w:lang w:eastAsia="zh-CN"/>
        </w:rPr>
        <w:t>美棉主力价格关注上方压力</w:t>
      </w:r>
      <w:r w:rsidRPr="00965C94">
        <w:rPr>
          <w:rFonts w:ascii="微软雅黑" w:eastAsia="微软雅黑" w:hAnsi="微软雅黑" w:cs="微软雅黑"/>
          <w:noProof/>
          <w:spacing w:val="7"/>
          <w:lang w:eastAsia="zh-CN"/>
        </w:rPr>
        <w:t>90</w:t>
      </w:r>
      <w:r w:rsidRPr="00965C94">
        <w:rPr>
          <w:rFonts w:ascii="微软雅黑" w:eastAsia="微软雅黑" w:hAnsi="微软雅黑" w:cs="微软雅黑" w:hint="eastAsia"/>
          <w:noProof/>
          <w:spacing w:val="7"/>
          <w:lang w:eastAsia="zh-CN"/>
        </w:rPr>
        <w:t>美分</w:t>
      </w:r>
      <w:r w:rsidRPr="00965C94">
        <w:rPr>
          <w:rFonts w:ascii="微软雅黑" w:eastAsia="微软雅黑" w:hAnsi="微软雅黑" w:cs="微软雅黑"/>
          <w:noProof/>
          <w:spacing w:val="7"/>
          <w:lang w:eastAsia="zh-CN"/>
        </w:rPr>
        <w:t>/</w:t>
      </w:r>
      <w:r w:rsidRPr="00965C94">
        <w:rPr>
          <w:rFonts w:ascii="微软雅黑" w:eastAsia="微软雅黑" w:hAnsi="微软雅黑" w:cs="微软雅黑" w:hint="eastAsia"/>
          <w:noProof/>
          <w:spacing w:val="7"/>
          <w:lang w:eastAsia="zh-CN"/>
        </w:rPr>
        <w:t>磅，下方支撑</w:t>
      </w:r>
      <w:r w:rsidRPr="00965C94">
        <w:rPr>
          <w:rFonts w:ascii="微软雅黑" w:eastAsia="微软雅黑" w:hAnsi="微软雅黑" w:cs="微软雅黑"/>
          <w:noProof/>
          <w:spacing w:val="7"/>
          <w:lang w:eastAsia="zh-CN"/>
        </w:rPr>
        <w:t>75</w:t>
      </w:r>
      <w:r w:rsidRPr="00965C94">
        <w:rPr>
          <w:rFonts w:ascii="微软雅黑" w:eastAsia="微软雅黑" w:hAnsi="微软雅黑" w:cs="微软雅黑" w:hint="eastAsia"/>
          <w:noProof/>
          <w:spacing w:val="7"/>
          <w:lang w:eastAsia="zh-CN"/>
        </w:rPr>
        <w:t>美分</w:t>
      </w:r>
      <w:r w:rsidRPr="00965C94">
        <w:rPr>
          <w:rFonts w:ascii="微软雅黑" w:eastAsia="微软雅黑" w:hAnsi="微软雅黑" w:cs="微软雅黑"/>
          <w:noProof/>
          <w:spacing w:val="7"/>
          <w:lang w:eastAsia="zh-CN"/>
        </w:rPr>
        <w:t>/</w:t>
      </w:r>
      <w:r w:rsidRPr="00965C94">
        <w:rPr>
          <w:rFonts w:ascii="微软雅黑" w:eastAsia="微软雅黑" w:hAnsi="微软雅黑" w:cs="微软雅黑" w:hint="eastAsia"/>
          <w:noProof/>
          <w:spacing w:val="7"/>
          <w:lang w:eastAsia="zh-CN"/>
        </w:rPr>
        <w:t>磅。建议</w:t>
      </w:r>
      <w:r w:rsidRPr="00965C94">
        <w:rPr>
          <w:rFonts w:ascii="微软雅黑" w:eastAsia="微软雅黑" w:hAnsi="微软雅黑" w:cs="微软雅黑"/>
          <w:noProof/>
          <w:spacing w:val="7"/>
          <w:lang w:eastAsia="zh-CN"/>
        </w:rPr>
        <w:t xml:space="preserve"> ICE 7</w:t>
      </w:r>
      <w:r w:rsidRPr="00965C94">
        <w:rPr>
          <w:rFonts w:ascii="微软雅黑" w:eastAsia="微软雅黑" w:hAnsi="微软雅黑" w:cs="微软雅黑" w:hint="eastAsia"/>
          <w:noProof/>
          <w:spacing w:val="7"/>
          <w:lang w:eastAsia="zh-CN"/>
        </w:rPr>
        <w:t>月期棉短期逢回调买入多单思路对待</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4946715A" w:rsidR="00C24CC6" w:rsidRDefault="00965C94"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7D88C442" wp14:editId="383F3E35">
            <wp:extent cx="5303520" cy="2194560"/>
            <wp:effectExtent l="0" t="0" r="0" b="0"/>
            <wp:docPr id="2039258221" name="图片 6" descr="QQ截图2026050808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QQ截图20260508080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94560"/>
                    </a:xfrm>
                    <a:prstGeom prst="rect">
                      <a:avLst/>
                    </a:prstGeom>
                    <a:noFill/>
                    <a:ln>
                      <a:noFill/>
                    </a:ln>
                  </pic:spPr>
                </pic:pic>
              </a:graphicData>
            </a:graphic>
          </wp:inline>
        </w:drawing>
      </w:r>
    </w:p>
    <w:p w14:paraId="603C6A61" w14:textId="34B3FE15"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CCD33" w14:textId="77777777" w:rsidR="00376F4E" w:rsidRDefault="00376F4E">
      <w:pPr>
        <w:ind w:right="210" w:firstLine="420"/>
      </w:pPr>
      <w:r>
        <w:separator/>
      </w:r>
    </w:p>
  </w:endnote>
  <w:endnote w:type="continuationSeparator" w:id="0">
    <w:p w14:paraId="161386F7" w14:textId="77777777" w:rsidR="00376F4E" w:rsidRDefault="00376F4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1CF96" w14:textId="77777777" w:rsidR="00376F4E" w:rsidRDefault="00376F4E">
      <w:pPr>
        <w:ind w:right="210" w:firstLine="420"/>
      </w:pPr>
      <w:r>
        <w:separator/>
      </w:r>
    </w:p>
  </w:footnote>
  <w:footnote w:type="continuationSeparator" w:id="0">
    <w:p w14:paraId="2C96ED95" w14:textId="77777777" w:rsidR="00376F4E" w:rsidRDefault="00376F4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728</Words>
  <Characters>4155</Characters>
  <Application>Microsoft Office Word</Application>
  <DocSecurity>0</DocSecurity>
  <Lines>34</Lines>
  <Paragraphs>9</Paragraphs>
  <ScaleCrop>false</ScaleCrop>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2026-05-08T01:11:00Z</dcterms:created>
  <dcterms:modified xsi:type="dcterms:W3CDTF">2026-05-08T01:11:00Z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