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9C56B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DB4FF3">
        <w:rPr>
          <w:rFonts w:ascii="微软雅黑" w:eastAsia="微软雅黑" w:hAnsi="微软雅黑" w:cs="微软雅黑" w:hint="eastAsia"/>
          <w:b/>
          <w:bCs/>
          <w:color w:val="005D97"/>
          <w:spacing w:val="-22"/>
          <w:sz w:val="48"/>
          <w:szCs w:val="48"/>
          <w:lang w:eastAsia="zh-CN"/>
        </w:rPr>
        <w:t>1</w:t>
      </w:r>
      <w:r w:rsidR="00116B4A">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45460F7D" w:rsidR="007B3E0B" w:rsidRDefault="00116B4A"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116B4A">
        <w:rPr>
          <w:rFonts w:ascii="微软雅黑" w:eastAsia="微软雅黑" w:hAnsi="微软雅黑" w:cs="微软雅黑"/>
          <w:spacing w:val="12"/>
          <w:lang w:eastAsia="zh-CN"/>
        </w:rPr>
        <w:t>美国三大股指收盘涨跌不一，道指涨0.11%报49760.56点，</w:t>
      </w:r>
      <w:proofErr w:type="gramStart"/>
      <w:r w:rsidRPr="00116B4A">
        <w:rPr>
          <w:rFonts w:ascii="微软雅黑" w:eastAsia="微软雅黑" w:hAnsi="微软雅黑" w:cs="微软雅黑"/>
          <w:spacing w:val="12"/>
          <w:lang w:eastAsia="zh-CN"/>
        </w:rPr>
        <w:t>标普</w:t>
      </w:r>
      <w:proofErr w:type="gramEnd"/>
      <w:r w:rsidRPr="00116B4A">
        <w:rPr>
          <w:rFonts w:ascii="微软雅黑" w:eastAsia="微软雅黑" w:hAnsi="微软雅黑" w:cs="微软雅黑"/>
          <w:spacing w:val="12"/>
          <w:lang w:eastAsia="zh-CN"/>
        </w:rPr>
        <w:t>500指数跌0.16%报7400.96点，</w:t>
      </w:r>
      <w:proofErr w:type="gramStart"/>
      <w:r w:rsidRPr="00116B4A">
        <w:rPr>
          <w:rFonts w:ascii="微软雅黑" w:eastAsia="微软雅黑" w:hAnsi="微软雅黑" w:cs="微软雅黑"/>
          <w:spacing w:val="12"/>
          <w:lang w:eastAsia="zh-CN"/>
        </w:rPr>
        <w:t>纳指跌</w:t>
      </w:r>
      <w:proofErr w:type="gramEnd"/>
      <w:r w:rsidRPr="00116B4A">
        <w:rPr>
          <w:rFonts w:ascii="微软雅黑" w:eastAsia="微软雅黑" w:hAnsi="微软雅黑" w:cs="微软雅黑"/>
          <w:spacing w:val="12"/>
          <w:lang w:eastAsia="zh-CN"/>
        </w:rPr>
        <w:t>0.71%报26088.2点。美元指数涨0.35%报98.28，非美货币多数下跌，欧元兑美元跌0.35%报1.1741，英镑兑美元跌0.52%报1.3540，澳元兑美元跌0.13%报0.7240，美元兑日元涨0.25%报157.6100，美元兑加元涨0.14%报1.3698，美元兑</w:t>
      </w:r>
      <w:proofErr w:type="gramStart"/>
      <w:r w:rsidRPr="00116B4A">
        <w:rPr>
          <w:rFonts w:ascii="微软雅黑" w:eastAsia="微软雅黑" w:hAnsi="微软雅黑" w:cs="微软雅黑"/>
          <w:spacing w:val="12"/>
          <w:lang w:eastAsia="zh-CN"/>
        </w:rPr>
        <w:t>瑞郎涨</w:t>
      </w:r>
      <w:proofErr w:type="gramEnd"/>
      <w:r w:rsidRPr="00116B4A">
        <w:rPr>
          <w:rFonts w:ascii="微软雅黑" w:eastAsia="微软雅黑" w:hAnsi="微软雅黑" w:cs="微软雅黑"/>
          <w:spacing w:val="12"/>
          <w:lang w:eastAsia="zh-CN"/>
        </w:rPr>
        <w:t>0.31%报0.7805，离岸人民币对美元涨10个基点报6.7910。国际贵金属期货收盘涨跌不一，COMEX黄金期货跌0.13%报4722.60美元/盎司，COMEX白银期货涨1.46%报87.20美元/盎司。</w:t>
      </w:r>
      <w:proofErr w:type="gramStart"/>
      <w:r w:rsidRPr="00116B4A">
        <w:rPr>
          <w:rFonts w:ascii="微软雅黑" w:eastAsia="微软雅黑" w:hAnsi="微软雅黑" w:cs="微软雅黑"/>
          <w:spacing w:val="12"/>
          <w:lang w:eastAsia="zh-CN"/>
        </w:rPr>
        <w:t>美油主力</w:t>
      </w:r>
      <w:proofErr w:type="gramEnd"/>
      <w:r w:rsidRPr="00116B4A">
        <w:rPr>
          <w:rFonts w:ascii="微软雅黑" w:eastAsia="微软雅黑" w:hAnsi="微软雅黑" w:cs="微软雅黑"/>
          <w:spacing w:val="12"/>
          <w:lang w:eastAsia="zh-CN"/>
        </w:rPr>
        <w:t>合约收涨4.06%，报102.05美元/桶；</w:t>
      </w:r>
      <w:proofErr w:type="gramStart"/>
      <w:r w:rsidRPr="00116B4A">
        <w:rPr>
          <w:rFonts w:ascii="微软雅黑" w:eastAsia="微软雅黑" w:hAnsi="微软雅黑" w:cs="微软雅黑"/>
          <w:spacing w:val="12"/>
          <w:lang w:eastAsia="zh-CN"/>
        </w:rPr>
        <w:t>布油主力</w:t>
      </w:r>
      <w:proofErr w:type="gramEnd"/>
      <w:r w:rsidRPr="00116B4A">
        <w:rPr>
          <w:rFonts w:ascii="微软雅黑" w:eastAsia="微软雅黑" w:hAnsi="微软雅黑" w:cs="微软雅黑"/>
          <w:spacing w:val="12"/>
          <w:lang w:eastAsia="zh-CN"/>
        </w:rPr>
        <w:t>合约涨3.34%，报107.69美元/桶。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sidR="00DB4FF3">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0.47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9376BB">
        <w:rPr>
          <w:rFonts w:ascii="微软雅黑" w:eastAsia="微软雅黑" w:hAnsi="微软雅黑" w:cs="微软雅黑" w:hint="eastAsia"/>
          <w:spacing w:val="12"/>
          <w:lang w:eastAsia="zh-CN"/>
        </w:rPr>
        <w:t>4.</w:t>
      </w:r>
      <w:r w:rsidR="00DB4FF3">
        <w:rPr>
          <w:rFonts w:ascii="微软雅黑" w:eastAsia="微软雅黑" w:hAnsi="微软雅黑" w:cs="微软雅黑" w:hint="eastAsia"/>
          <w:spacing w:val="12"/>
          <w:lang w:eastAsia="zh-CN"/>
        </w:rPr>
        <w:t>9</w:t>
      </w:r>
      <w:r>
        <w:rPr>
          <w:rFonts w:ascii="微软雅黑" w:eastAsia="微软雅黑" w:hAnsi="微软雅黑" w:cs="微软雅黑" w:hint="eastAsia"/>
          <w:spacing w:val="12"/>
          <w:lang w:eastAsia="zh-CN"/>
        </w:rPr>
        <w:t>8</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跌1.81</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DB4FF3">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6.18</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92C34D8" w:rsidR="00557736" w:rsidRPr="0022448B" w:rsidRDefault="001F6BA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6E70CA9" wp14:editId="09AD9DB3">
            <wp:extent cx="6221023" cy="4274599"/>
            <wp:effectExtent l="0" t="0" r="8890" b="0"/>
            <wp:docPr id="17856349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916" cy="428139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0AF33E43" w:rsidR="00B539F7" w:rsidRPr="000F04E9"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116B4A" w:rsidRPr="00116B4A">
        <w:rPr>
          <w:rFonts w:ascii="微软雅黑" w:eastAsia="微软雅黑" w:hAnsi="微软雅黑" w:cs="微软雅黑"/>
          <w:color w:val="auto"/>
          <w:spacing w:val="4"/>
          <w:lang w:eastAsia="zh-CN"/>
        </w:rPr>
        <w:t>美国总统特朗普将于5月13日至15日对中国进行国事访问，白宫公布将随特朗普一同访华的商界领袖名单。在科技领域，访华美企代表包括特斯拉CEO马斯克、苹果CEO库克以及高通、美光等半导体企业负责人；在金融领域，有花旗、高盛、黑石等华尔街巨头负责人。此外，还有波音和嘉吉公司负责人。</w:t>
      </w:r>
      <w:r w:rsidRPr="000F04E9">
        <w:rPr>
          <w:rFonts w:ascii="微软雅黑" w:eastAsia="微软雅黑" w:hAnsi="微软雅黑" w:cs="微软雅黑" w:hint="eastAsia"/>
          <w:color w:val="auto"/>
          <w:spacing w:val="4"/>
          <w:lang w:eastAsia="zh-CN"/>
        </w:rPr>
        <w:t>】</w:t>
      </w:r>
    </w:p>
    <w:p w14:paraId="68EDC742" w14:textId="3C46294F" w:rsidR="00D16A8F"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lastRenderedPageBreak/>
        <w:t>【</w:t>
      </w:r>
      <w:r w:rsidR="00116B4A" w:rsidRPr="00116B4A">
        <w:rPr>
          <w:rFonts w:ascii="微软雅黑" w:eastAsia="微软雅黑" w:hAnsi="微软雅黑" w:cs="微软雅黑"/>
          <w:color w:val="auto"/>
          <w:spacing w:val="4"/>
          <w:lang w:eastAsia="zh-CN"/>
        </w:rPr>
        <w:t>美国政府内部人士透露，由于美伊谈判迟迟没有进展，美方如今比过去几周“更认真地考虑”恢复对伊朗的军事行动。美国总统特朗普称，与伊朗之间爆发的冲突无需急于解决，他确信能够阻止伊朗研发核武器。伊朗表示，核技术和铀浓缩问题不会被列入美伊谈判。若伊朗再次遭袭，伊朗应对手段可能是将浓缩铀丰度提升至90%。</w:t>
      </w:r>
      <w:r w:rsidRPr="000F04E9">
        <w:rPr>
          <w:rFonts w:ascii="微软雅黑" w:eastAsia="微软雅黑" w:hAnsi="微软雅黑" w:cs="微软雅黑" w:hint="eastAsia"/>
          <w:color w:val="auto"/>
          <w:spacing w:val="4"/>
          <w:lang w:eastAsia="zh-CN"/>
        </w:rPr>
        <w:t>】</w:t>
      </w:r>
    </w:p>
    <w:p w14:paraId="60061F47" w14:textId="14017E1E" w:rsidR="00DB4FF3" w:rsidRDefault="00DB4FF3" w:rsidP="00EE78C7">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116B4A" w:rsidRPr="00116B4A">
        <w:rPr>
          <w:rFonts w:ascii="微软雅黑" w:eastAsia="微软雅黑" w:hAnsi="微软雅黑" w:cs="微软雅黑"/>
          <w:color w:val="auto"/>
          <w:spacing w:val="4"/>
          <w:lang w:eastAsia="zh-CN"/>
        </w:rPr>
        <w:t>伊朗已通过巴基斯坦调解人向美方传达五项先决条件，包括结束在黎巴嫩在内各条战线的战争、解冻伊被冻结资金、赔偿战争损失、承认伊对霍尔木兹海峡的主权。伊朗外交部发言人巴加埃表示，结束战事和解除对霍尔木兹海峡的封锁是同美国进行任何谈判的先决条件。</w:t>
      </w:r>
      <w:r>
        <w:rPr>
          <w:rFonts w:ascii="微软雅黑" w:eastAsia="微软雅黑" w:hAnsi="微软雅黑" w:cs="微软雅黑" w:hint="eastAsia"/>
          <w:color w:val="auto"/>
          <w:spacing w:val="4"/>
          <w:lang w:eastAsia="zh-CN"/>
        </w:rPr>
        <w:t>】</w:t>
      </w:r>
    </w:p>
    <w:p w14:paraId="22230CBF" w14:textId="7B29A92E" w:rsidR="00116B4A" w:rsidRPr="000F04E9"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116B4A">
        <w:rPr>
          <w:rFonts w:ascii="微软雅黑" w:eastAsia="微软雅黑" w:hAnsi="微软雅黑" w:cs="微软雅黑"/>
          <w:color w:val="auto"/>
          <w:spacing w:val="4"/>
          <w:lang w:eastAsia="zh-CN"/>
        </w:rPr>
        <w:t>美国参议院确认凯文·沃什出任美联储理事，任期14年。这被视为其成为下一任美联储主席的重要一步。参议院随后将启动沃什担任美联储主席的确认程序，相关程序性投票最快可能于5月13日完成。鲍威尔的美联储主席任期将于5月15日结束。</w:t>
      </w:r>
      <w:r>
        <w:rPr>
          <w:rFonts w:ascii="微软雅黑" w:eastAsia="微软雅黑" w:hAnsi="微软雅黑" w:cs="微软雅黑" w:hint="eastAsia"/>
          <w:color w:val="auto"/>
          <w:spacing w:val="4"/>
          <w:lang w:eastAsia="zh-CN"/>
        </w:rPr>
        <w:t>】</w:t>
      </w:r>
    </w:p>
    <w:p w14:paraId="7762039C" w14:textId="7739991C" w:rsidR="008A04B9" w:rsidRDefault="008A04B9" w:rsidP="008A04B9">
      <w:pPr>
        <w:spacing w:before="102" w:line="257" w:lineRule="auto"/>
        <w:ind w:right="210" w:firstLine="436"/>
        <w:jc w:val="both"/>
        <w:rPr>
          <w:rFonts w:ascii="微软雅黑" w:eastAsia="微软雅黑" w:hAnsi="微软雅黑" w:cs="微软雅黑"/>
          <w:color w:val="auto"/>
          <w:spacing w:val="4"/>
          <w:lang w:eastAsia="zh-CN"/>
        </w:rPr>
      </w:pPr>
      <w:r w:rsidRPr="000F04E9">
        <w:rPr>
          <w:rFonts w:ascii="微软雅黑" w:eastAsia="微软雅黑" w:hAnsi="微软雅黑" w:cs="微软雅黑" w:hint="eastAsia"/>
          <w:color w:val="auto"/>
          <w:spacing w:val="4"/>
          <w:lang w:eastAsia="zh-CN"/>
        </w:rPr>
        <w:t>【</w:t>
      </w:r>
      <w:r w:rsidR="00116B4A" w:rsidRPr="00116B4A">
        <w:rPr>
          <w:rFonts w:ascii="微软雅黑" w:eastAsia="微软雅黑" w:hAnsi="微软雅黑" w:cs="微软雅黑"/>
          <w:color w:val="auto"/>
          <w:spacing w:val="4"/>
          <w:lang w:eastAsia="zh-CN"/>
        </w:rPr>
        <w:t>美国通胀压力重燃，进一步挤压美联储年内降息空间。美国4月CPI同比上涨3.8%，超出市场预期的3.7%，创2023年5月以来新高；核心CPI同比上涨2.8%，超出预期的2.7%，并创2025年9月以来新高。</w:t>
      </w:r>
      <w:r w:rsidRPr="000F04E9">
        <w:rPr>
          <w:rFonts w:ascii="微软雅黑" w:eastAsia="微软雅黑" w:hAnsi="微软雅黑" w:cs="微软雅黑" w:hint="eastAsia"/>
          <w:color w:val="auto"/>
          <w:spacing w:val="4"/>
          <w:lang w:eastAsia="zh-CN"/>
        </w:rPr>
        <w:t>】</w:t>
      </w:r>
    </w:p>
    <w:p w14:paraId="1188263E" w14:textId="11F01693" w:rsidR="00116B4A" w:rsidRDefault="00116B4A" w:rsidP="008A04B9">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116B4A">
        <w:rPr>
          <w:rFonts w:ascii="微软雅黑" w:eastAsia="微软雅黑" w:hAnsi="微软雅黑" w:cs="微软雅黑"/>
          <w:color w:val="auto"/>
          <w:spacing w:val="4"/>
          <w:lang w:eastAsia="zh-CN"/>
        </w:rPr>
        <w:t>日本央行4月会议纪要显示，多位政策委员在会议上主张尽早加息，其中一名委员直言6月存在加息可能。在4月份会议上，日本央行维持利率在0.75%不变，但大幅上调了通胀预期。</w:t>
      </w:r>
      <w:r>
        <w:rPr>
          <w:rFonts w:ascii="微软雅黑" w:eastAsia="微软雅黑" w:hAnsi="微软雅黑" w:cs="微软雅黑" w:hint="eastAsia"/>
          <w:color w:val="auto"/>
          <w:spacing w:val="4"/>
          <w:lang w:eastAsia="zh-CN"/>
        </w:rPr>
        <w:t>】</w:t>
      </w:r>
    </w:p>
    <w:p w14:paraId="2AD13D32" w14:textId="1EC3874C" w:rsidR="00116B4A" w:rsidRPr="000F04E9" w:rsidRDefault="00116B4A" w:rsidP="008A04B9">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116B4A">
        <w:rPr>
          <w:rFonts w:ascii="微软雅黑" w:eastAsia="微软雅黑" w:hAnsi="微软雅黑" w:cs="微软雅黑"/>
          <w:color w:val="auto"/>
          <w:spacing w:val="4"/>
          <w:lang w:eastAsia="zh-CN"/>
        </w:rPr>
        <w:t>英国首相斯塔默遭遇“逼宫”危机。英国执政党工党日前在地方选举中遭遇惨败后，80多名工党议员和多名内阁成员要求斯塔默辞职或提出辞职时间表。同时，已有超过100名工党议员签署声明支持斯塔默留任。不过，斯塔默已多次表示不会辞职。</w:t>
      </w:r>
      <w:r>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116B4A" w:rsidRPr="006318FC" w14:paraId="5B8E297F" w14:textId="77777777" w:rsidTr="009119B8">
        <w:trPr>
          <w:trHeight w:val="652"/>
        </w:trPr>
        <w:tc>
          <w:tcPr>
            <w:tcW w:w="1701" w:type="dxa"/>
          </w:tcPr>
          <w:bookmarkEnd w:id="0"/>
          <w:p w14:paraId="4567D2AE" w14:textId="01413E93" w:rsidR="00116B4A" w:rsidRPr="00DB4FF3"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2026/5/13</w:t>
            </w:r>
          </w:p>
        </w:tc>
        <w:tc>
          <w:tcPr>
            <w:tcW w:w="1314" w:type="dxa"/>
          </w:tcPr>
          <w:p w14:paraId="3B0A4895" w14:textId="6D9D5EFE" w:rsidR="00116B4A" w:rsidRPr="0025412C"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07:50</w:t>
            </w:r>
          </w:p>
        </w:tc>
        <w:tc>
          <w:tcPr>
            <w:tcW w:w="6344" w:type="dxa"/>
          </w:tcPr>
          <w:p w14:paraId="148F6123" w14:textId="364BF861" w:rsidR="00116B4A" w:rsidRPr="00E15A36"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日本 3 月贸易帐</w:t>
            </w:r>
          </w:p>
        </w:tc>
      </w:tr>
      <w:tr w:rsidR="00116B4A" w:rsidRPr="006318FC" w14:paraId="11459514" w14:textId="77777777" w:rsidTr="00257AE9">
        <w:trPr>
          <w:trHeight w:val="620"/>
        </w:trPr>
        <w:tc>
          <w:tcPr>
            <w:tcW w:w="1701" w:type="dxa"/>
            <w:shd w:val="clear" w:color="auto" w:fill="DAE3F4" w:themeFill="accent1" w:themeFillTint="33"/>
          </w:tcPr>
          <w:p w14:paraId="336E77A1" w14:textId="09E02CF7" w:rsidR="00116B4A" w:rsidRPr="00257AE9"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2026/5/13</w:t>
            </w:r>
          </w:p>
        </w:tc>
        <w:tc>
          <w:tcPr>
            <w:tcW w:w="1314" w:type="dxa"/>
            <w:shd w:val="clear" w:color="auto" w:fill="DAE3F4" w:themeFill="accent1" w:themeFillTint="33"/>
          </w:tcPr>
          <w:p w14:paraId="2FF031BB" w14:textId="69642A72" w:rsidR="00116B4A" w:rsidRPr="0025412C"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16:00</w:t>
            </w:r>
          </w:p>
        </w:tc>
        <w:tc>
          <w:tcPr>
            <w:tcW w:w="6344" w:type="dxa"/>
            <w:shd w:val="clear" w:color="auto" w:fill="DAE3F4" w:themeFill="accent1" w:themeFillTint="33"/>
          </w:tcPr>
          <w:p w14:paraId="2CB0AF66" w14:textId="6B547A76" w:rsidR="00116B4A" w:rsidRPr="00653A5D"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IEA 公布月度原油市场报告</w:t>
            </w:r>
          </w:p>
        </w:tc>
      </w:tr>
      <w:tr w:rsidR="00116B4A" w:rsidRPr="006318FC" w14:paraId="6909C618" w14:textId="77777777" w:rsidTr="00257AE9">
        <w:trPr>
          <w:trHeight w:val="652"/>
        </w:trPr>
        <w:tc>
          <w:tcPr>
            <w:tcW w:w="1701" w:type="dxa"/>
          </w:tcPr>
          <w:p w14:paraId="5D2365DD" w14:textId="70D000D0" w:rsidR="00116B4A" w:rsidRPr="00257AE9"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2026/5/13</w:t>
            </w:r>
          </w:p>
        </w:tc>
        <w:tc>
          <w:tcPr>
            <w:tcW w:w="1314" w:type="dxa"/>
          </w:tcPr>
          <w:p w14:paraId="3207B1F8" w14:textId="55202F75" w:rsidR="00116B4A" w:rsidRPr="001C51A4"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17:00</w:t>
            </w:r>
          </w:p>
        </w:tc>
        <w:tc>
          <w:tcPr>
            <w:tcW w:w="6344" w:type="dxa"/>
          </w:tcPr>
          <w:p w14:paraId="6C433309" w14:textId="72767C46" w:rsidR="00116B4A" w:rsidRPr="00257AE9"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欧元区第一季度 GDP 年率修正值</w:t>
            </w:r>
          </w:p>
        </w:tc>
      </w:tr>
      <w:tr w:rsidR="00116B4A" w:rsidRPr="006318FC" w14:paraId="5ADDDF6C" w14:textId="77777777" w:rsidTr="00257AE9">
        <w:trPr>
          <w:trHeight w:val="620"/>
        </w:trPr>
        <w:tc>
          <w:tcPr>
            <w:tcW w:w="1701" w:type="dxa"/>
            <w:shd w:val="clear" w:color="auto" w:fill="DAE3F4" w:themeFill="accent1" w:themeFillTint="33"/>
          </w:tcPr>
          <w:p w14:paraId="63129765" w14:textId="2BED8FB1" w:rsidR="00116B4A" w:rsidRPr="00DB4FF3"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2026/5/13</w:t>
            </w:r>
          </w:p>
        </w:tc>
        <w:tc>
          <w:tcPr>
            <w:tcW w:w="1314" w:type="dxa"/>
            <w:shd w:val="clear" w:color="auto" w:fill="DAE3F4" w:themeFill="accent1" w:themeFillTint="33"/>
          </w:tcPr>
          <w:p w14:paraId="5B46F7E6" w14:textId="018BFBEF" w:rsidR="00116B4A" w:rsidRPr="009A23B2"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4CA11635" w14:textId="454F293A" w:rsidR="00116B4A" w:rsidRPr="000F04E9" w:rsidRDefault="00116B4A" w:rsidP="00116B4A">
            <w:pPr>
              <w:spacing w:before="230" w:line="191" w:lineRule="auto"/>
              <w:ind w:right="210"/>
              <w:jc w:val="center"/>
              <w:rPr>
                <w:rFonts w:ascii="微软雅黑" w:eastAsia="微软雅黑" w:hAnsi="微软雅黑" w:cs="微软雅黑" w:hint="eastAsia"/>
                <w:b/>
                <w:bCs/>
                <w:spacing w:val="3"/>
                <w:sz w:val="19"/>
                <w:szCs w:val="19"/>
                <w:lang w:eastAsia="zh-CN"/>
              </w:rPr>
            </w:pPr>
            <w:r w:rsidRPr="00116B4A">
              <w:rPr>
                <w:rFonts w:ascii="微软雅黑" w:eastAsia="微软雅黑" w:hAnsi="微软雅黑" w:cs="微软雅黑"/>
                <w:b/>
                <w:bCs/>
                <w:spacing w:val="3"/>
                <w:sz w:val="19"/>
                <w:szCs w:val="19"/>
                <w:lang w:eastAsia="zh-CN"/>
              </w:rPr>
              <w:t>美国 4 月 PPI</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9053F8C" w14:textId="77777777" w:rsidR="00A73A77" w:rsidRPr="00A73A77" w:rsidRDefault="00A73A77" w:rsidP="00A73A77">
      <w:pPr>
        <w:spacing w:before="103" w:line="256" w:lineRule="auto"/>
        <w:ind w:right="210" w:firstLineChars="200" w:firstLine="448"/>
        <w:rPr>
          <w:rFonts w:ascii="微软雅黑" w:eastAsia="微软雅黑" w:hAnsi="微软雅黑" w:cs="微软雅黑"/>
          <w:spacing w:val="7"/>
          <w:lang w:eastAsia="zh-CN"/>
        </w:rPr>
      </w:pPr>
      <w:r w:rsidRPr="00A73A77">
        <w:rPr>
          <w:rFonts w:ascii="微软雅黑" w:eastAsia="微软雅黑" w:hAnsi="微软雅黑" w:cs="微软雅黑" w:hint="eastAsia"/>
          <w:spacing w:val="7"/>
          <w:lang w:eastAsia="zh-CN"/>
        </w:rPr>
        <w:t>隔夜，美元指数涨</w:t>
      </w:r>
      <w:r w:rsidRPr="00A73A77">
        <w:rPr>
          <w:rFonts w:ascii="微软雅黑" w:eastAsia="微软雅黑" w:hAnsi="微软雅黑" w:cs="微软雅黑"/>
          <w:spacing w:val="7"/>
          <w:lang w:eastAsia="zh-CN"/>
        </w:rPr>
        <w:t>0.35%</w:t>
      </w:r>
      <w:r w:rsidRPr="00A73A77">
        <w:rPr>
          <w:rFonts w:ascii="微软雅黑" w:eastAsia="微软雅黑" w:hAnsi="微软雅黑" w:cs="微软雅黑" w:hint="eastAsia"/>
          <w:spacing w:val="7"/>
          <w:lang w:eastAsia="zh-CN"/>
        </w:rPr>
        <w:t>报</w:t>
      </w:r>
      <w:r w:rsidRPr="00A73A77">
        <w:rPr>
          <w:rFonts w:ascii="微软雅黑" w:eastAsia="微软雅黑" w:hAnsi="微软雅黑" w:cs="微软雅黑"/>
          <w:spacing w:val="7"/>
          <w:lang w:eastAsia="zh-CN"/>
        </w:rPr>
        <w:t>98.28</w:t>
      </w:r>
      <w:r w:rsidRPr="00A73A77">
        <w:rPr>
          <w:rFonts w:ascii="微软雅黑" w:eastAsia="微软雅黑" w:hAnsi="微软雅黑" w:cs="微软雅黑" w:hint="eastAsia"/>
          <w:spacing w:val="7"/>
          <w:lang w:eastAsia="zh-CN"/>
        </w:rPr>
        <w:t>，非美货币多数下跌，欧元兑美元跌</w:t>
      </w:r>
      <w:r w:rsidRPr="00A73A77">
        <w:rPr>
          <w:rFonts w:ascii="微软雅黑" w:eastAsia="微软雅黑" w:hAnsi="微软雅黑" w:cs="微软雅黑"/>
          <w:spacing w:val="7"/>
          <w:lang w:eastAsia="zh-CN"/>
        </w:rPr>
        <w:t>0.35%</w:t>
      </w:r>
      <w:r w:rsidRPr="00A73A77">
        <w:rPr>
          <w:rFonts w:ascii="微软雅黑" w:eastAsia="微软雅黑" w:hAnsi="微软雅黑" w:cs="微软雅黑" w:hint="eastAsia"/>
          <w:spacing w:val="7"/>
          <w:lang w:eastAsia="zh-CN"/>
        </w:rPr>
        <w:t>报</w:t>
      </w:r>
      <w:r w:rsidRPr="00A73A77">
        <w:rPr>
          <w:rFonts w:ascii="微软雅黑" w:eastAsia="微软雅黑" w:hAnsi="微软雅黑" w:cs="微软雅黑"/>
          <w:spacing w:val="7"/>
          <w:lang w:eastAsia="zh-CN"/>
        </w:rPr>
        <w:t>1.1741</w:t>
      </w:r>
      <w:r w:rsidRPr="00A73A77">
        <w:rPr>
          <w:rFonts w:ascii="微软雅黑" w:eastAsia="微软雅黑" w:hAnsi="微软雅黑" w:cs="微软雅黑" w:hint="eastAsia"/>
          <w:spacing w:val="7"/>
          <w:lang w:eastAsia="zh-CN"/>
        </w:rPr>
        <w:t>，英镑兑美元跌</w:t>
      </w:r>
      <w:r w:rsidRPr="00A73A77">
        <w:rPr>
          <w:rFonts w:ascii="微软雅黑" w:eastAsia="微软雅黑" w:hAnsi="微软雅黑" w:cs="微软雅黑"/>
          <w:spacing w:val="7"/>
          <w:lang w:eastAsia="zh-CN"/>
        </w:rPr>
        <w:t>0.52%</w:t>
      </w:r>
      <w:r w:rsidRPr="00A73A77">
        <w:rPr>
          <w:rFonts w:ascii="微软雅黑" w:eastAsia="微软雅黑" w:hAnsi="微软雅黑" w:cs="微软雅黑" w:hint="eastAsia"/>
          <w:spacing w:val="7"/>
          <w:lang w:eastAsia="zh-CN"/>
        </w:rPr>
        <w:t>报</w:t>
      </w:r>
      <w:r w:rsidRPr="00A73A77">
        <w:rPr>
          <w:rFonts w:ascii="微软雅黑" w:eastAsia="微软雅黑" w:hAnsi="微软雅黑" w:cs="微软雅黑"/>
          <w:spacing w:val="7"/>
          <w:lang w:eastAsia="zh-CN"/>
        </w:rPr>
        <w:t>1.3540</w:t>
      </w:r>
      <w:r w:rsidRPr="00A73A77">
        <w:rPr>
          <w:rFonts w:ascii="微软雅黑" w:eastAsia="微软雅黑" w:hAnsi="微软雅黑" w:cs="微软雅黑" w:hint="eastAsia"/>
          <w:spacing w:val="7"/>
          <w:lang w:eastAsia="zh-CN"/>
        </w:rPr>
        <w:t>，美元兑日元涨</w:t>
      </w:r>
      <w:r w:rsidRPr="00A73A77">
        <w:rPr>
          <w:rFonts w:ascii="微软雅黑" w:eastAsia="微软雅黑" w:hAnsi="微软雅黑" w:cs="微软雅黑"/>
          <w:spacing w:val="7"/>
          <w:lang w:eastAsia="zh-CN"/>
        </w:rPr>
        <w:t>0.25%</w:t>
      </w:r>
      <w:r w:rsidRPr="00A73A77">
        <w:rPr>
          <w:rFonts w:ascii="微软雅黑" w:eastAsia="微软雅黑" w:hAnsi="微软雅黑" w:cs="微软雅黑" w:hint="eastAsia"/>
          <w:spacing w:val="7"/>
          <w:lang w:eastAsia="zh-CN"/>
        </w:rPr>
        <w:t>报</w:t>
      </w:r>
      <w:r w:rsidRPr="00A73A77">
        <w:rPr>
          <w:rFonts w:ascii="微软雅黑" w:eastAsia="微软雅黑" w:hAnsi="微软雅黑" w:cs="微软雅黑"/>
          <w:spacing w:val="7"/>
          <w:lang w:eastAsia="zh-CN"/>
        </w:rPr>
        <w:t>157.6100</w:t>
      </w:r>
      <w:r w:rsidRPr="00A73A77">
        <w:rPr>
          <w:rFonts w:ascii="微软雅黑" w:eastAsia="微软雅黑" w:hAnsi="微软雅黑" w:cs="微软雅黑" w:hint="eastAsia"/>
          <w:spacing w:val="7"/>
          <w:lang w:eastAsia="zh-CN"/>
        </w:rPr>
        <w:t>。</w:t>
      </w:r>
    </w:p>
    <w:p w14:paraId="4963B11B" w14:textId="77777777" w:rsidR="00A73A77" w:rsidRPr="00A73A77" w:rsidRDefault="00A73A77" w:rsidP="00A73A77">
      <w:pPr>
        <w:spacing w:before="103" w:line="256" w:lineRule="auto"/>
        <w:ind w:right="210" w:firstLineChars="200" w:firstLine="448"/>
        <w:rPr>
          <w:rFonts w:ascii="微软雅黑" w:eastAsia="微软雅黑" w:hAnsi="微软雅黑" w:cs="微软雅黑"/>
          <w:spacing w:val="7"/>
          <w:lang w:eastAsia="zh-CN"/>
        </w:rPr>
      </w:pPr>
      <w:r w:rsidRPr="00A73A77">
        <w:rPr>
          <w:rFonts w:ascii="微软雅黑" w:eastAsia="微软雅黑" w:hAnsi="微软雅黑" w:cs="微软雅黑" w:hint="eastAsia"/>
          <w:spacing w:val="7"/>
          <w:lang w:eastAsia="zh-CN"/>
        </w:rPr>
        <w:t>美国</w:t>
      </w:r>
      <w:r w:rsidRPr="00A73A77">
        <w:rPr>
          <w:rFonts w:ascii="微软雅黑" w:eastAsia="微软雅黑" w:hAnsi="微软雅黑" w:cs="微软雅黑"/>
          <w:spacing w:val="7"/>
          <w:lang w:eastAsia="zh-CN"/>
        </w:rPr>
        <w:t>4</w:t>
      </w:r>
      <w:r w:rsidRPr="00A73A77">
        <w:rPr>
          <w:rFonts w:ascii="微软雅黑" w:eastAsia="微软雅黑" w:hAnsi="微软雅黑" w:cs="微软雅黑" w:hint="eastAsia"/>
          <w:spacing w:val="7"/>
          <w:lang w:eastAsia="zh-CN"/>
        </w:rPr>
        <w:t>月</w:t>
      </w:r>
      <w:r w:rsidRPr="00A73A77">
        <w:rPr>
          <w:rFonts w:ascii="微软雅黑" w:eastAsia="微软雅黑" w:hAnsi="微软雅黑" w:cs="微软雅黑"/>
          <w:spacing w:val="7"/>
          <w:lang w:eastAsia="zh-CN"/>
        </w:rPr>
        <w:t>CPI</w:t>
      </w:r>
      <w:r w:rsidRPr="00A73A77">
        <w:rPr>
          <w:rFonts w:ascii="微软雅黑" w:eastAsia="微软雅黑" w:hAnsi="微软雅黑" w:cs="微软雅黑" w:hint="eastAsia"/>
          <w:spacing w:val="7"/>
          <w:lang w:eastAsia="zh-CN"/>
        </w:rPr>
        <w:t>同比增速抬升至</w:t>
      </w:r>
      <w:r w:rsidRPr="00A73A77">
        <w:rPr>
          <w:rFonts w:ascii="微软雅黑" w:eastAsia="微软雅黑" w:hAnsi="微软雅黑" w:cs="微软雅黑"/>
          <w:spacing w:val="7"/>
          <w:lang w:eastAsia="zh-CN"/>
        </w:rPr>
        <w:t>3.8%</w:t>
      </w:r>
      <w:r w:rsidRPr="00A73A77">
        <w:rPr>
          <w:rFonts w:ascii="微软雅黑" w:eastAsia="微软雅黑" w:hAnsi="微软雅黑" w:cs="微软雅黑" w:hint="eastAsia"/>
          <w:spacing w:val="7"/>
          <w:lang w:eastAsia="zh-CN"/>
        </w:rPr>
        <w:t>，创</w:t>
      </w:r>
      <w:r w:rsidRPr="00A73A77">
        <w:rPr>
          <w:rFonts w:ascii="微软雅黑" w:eastAsia="微软雅黑" w:hAnsi="微软雅黑" w:cs="微软雅黑"/>
          <w:spacing w:val="7"/>
          <w:lang w:eastAsia="zh-CN"/>
        </w:rPr>
        <w:t>2023</w:t>
      </w:r>
      <w:r w:rsidRPr="00A73A77">
        <w:rPr>
          <w:rFonts w:ascii="微软雅黑" w:eastAsia="微软雅黑" w:hAnsi="微软雅黑" w:cs="微软雅黑" w:hint="eastAsia"/>
          <w:spacing w:val="7"/>
          <w:lang w:eastAsia="zh-CN"/>
        </w:rPr>
        <w:t>年</w:t>
      </w:r>
      <w:r w:rsidRPr="00A73A77">
        <w:rPr>
          <w:rFonts w:ascii="微软雅黑" w:eastAsia="微软雅黑" w:hAnsi="微软雅黑" w:cs="微软雅黑"/>
          <w:spacing w:val="7"/>
          <w:lang w:eastAsia="zh-CN"/>
        </w:rPr>
        <w:t>5</w:t>
      </w:r>
      <w:r w:rsidRPr="00A73A77">
        <w:rPr>
          <w:rFonts w:ascii="微软雅黑" w:eastAsia="微软雅黑" w:hAnsi="微软雅黑" w:cs="微软雅黑" w:hint="eastAsia"/>
          <w:spacing w:val="7"/>
          <w:lang w:eastAsia="zh-CN"/>
        </w:rPr>
        <w:t>月以来新高，略高于市场预期。美伊战争引发的原油冲击持续推高物价水平，能源分项仍为本轮数据主要推手，同比增速录得</w:t>
      </w:r>
      <w:r w:rsidRPr="00A73A77">
        <w:rPr>
          <w:rFonts w:ascii="微软雅黑" w:eastAsia="微软雅黑" w:hAnsi="微软雅黑" w:cs="微软雅黑"/>
          <w:spacing w:val="7"/>
          <w:lang w:eastAsia="zh-CN"/>
        </w:rPr>
        <w:t>17.9%</w:t>
      </w:r>
      <w:r w:rsidRPr="00A73A77">
        <w:rPr>
          <w:rFonts w:ascii="微软雅黑" w:eastAsia="微软雅黑" w:hAnsi="微软雅黑" w:cs="微软雅黑" w:hint="eastAsia"/>
          <w:spacing w:val="7"/>
          <w:lang w:eastAsia="zh-CN"/>
        </w:rPr>
        <w:t>，为</w:t>
      </w:r>
      <w:r w:rsidRPr="00A73A77">
        <w:rPr>
          <w:rFonts w:ascii="微软雅黑" w:eastAsia="微软雅黑" w:hAnsi="微软雅黑" w:cs="微软雅黑"/>
          <w:spacing w:val="7"/>
          <w:lang w:eastAsia="zh-CN"/>
        </w:rPr>
        <w:t>2022</w:t>
      </w:r>
      <w:r w:rsidRPr="00A73A77">
        <w:rPr>
          <w:rFonts w:ascii="微软雅黑" w:eastAsia="微软雅黑" w:hAnsi="微软雅黑" w:cs="微软雅黑" w:hint="eastAsia"/>
          <w:spacing w:val="7"/>
          <w:lang w:eastAsia="zh-CN"/>
        </w:rPr>
        <w:t>年</w:t>
      </w:r>
      <w:r w:rsidRPr="00A73A77">
        <w:rPr>
          <w:rFonts w:ascii="微软雅黑" w:eastAsia="微软雅黑" w:hAnsi="微软雅黑" w:cs="微软雅黑"/>
          <w:spacing w:val="7"/>
          <w:lang w:eastAsia="zh-CN"/>
        </w:rPr>
        <w:t>9</w:t>
      </w:r>
      <w:r w:rsidRPr="00A73A77">
        <w:rPr>
          <w:rFonts w:ascii="微软雅黑" w:eastAsia="微软雅黑" w:hAnsi="微软雅黑" w:cs="微软雅黑" w:hint="eastAsia"/>
          <w:spacing w:val="7"/>
          <w:lang w:eastAsia="zh-CN"/>
        </w:rPr>
        <w:t>月以来</w:t>
      </w:r>
      <w:r w:rsidRPr="00A73A77">
        <w:rPr>
          <w:rFonts w:ascii="微软雅黑" w:eastAsia="微软雅黑" w:hAnsi="微软雅黑" w:cs="微软雅黑" w:hint="eastAsia"/>
          <w:spacing w:val="7"/>
          <w:lang w:eastAsia="zh-CN"/>
        </w:rPr>
        <w:lastRenderedPageBreak/>
        <w:t>最大涨幅，住房和食品通胀同步上行，核心通胀同比亦超出市场预期。数据公布后，美元指数及</w:t>
      </w:r>
      <w:proofErr w:type="gramStart"/>
      <w:r w:rsidRPr="00A73A77">
        <w:rPr>
          <w:rFonts w:ascii="微软雅黑" w:eastAsia="微软雅黑" w:hAnsi="微软雅黑" w:cs="微软雅黑" w:hint="eastAsia"/>
          <w:spacing w:val="7"/>
          <w:lang w:eastAsia="zh-CN"/>
        </w:rPr>
        <w:t>长端美债</w:t>
      </w:r>
      <w:proofErr w:type="gramEnd"/>
      <w:r w:rsidRPr="00A73A77">
        <w:rPr>
          <w:rFonts w:ascii="微软雅黑" w:eastAsia="微软雅黑" w:hAnsi="微软雅黑" w:cs="微软雅黑" w:hint="eastAsia"/>
          <w:spacing w:val="7"/>
          <w:lang w:eastAsia="zh-CN"/>
        </w:rPr>
        <w:t>收益率同步走高，美联储年内降息预期继续受到压制。美国参议院确认凯文沃什出任美联储理事，为后续正式出任美联储主席做铺垫。地缘方面，美伊谈判再度陷入僵局，特朗普表示当前停火协议仍然有效但极其脆弱，地缘尾部风险重新升温，避险资金回流推动美元短线反弹。展望后市，地缘避险需求及鹰派联储基调提供潜在支撑，但若美伊停火提前达成，亦可能导致美元显著回落，短期美元走势或仍以区间震荡为主。</w:t>
      </w:r>
    </w:p>
    <w:p w14:paraId="502379A4" w14:textId="108E2B15" w:rsidR="002760F0" w:rsidRPr="002760F0" w:rsidRDefault="00A73A77" w:rsidP="00A73A77">
      <w:pPr>
        <w:spacing w:before="103" w:line="256" w:lineRule="auto"/>
        <w:ind w:right="210" w:firstLineChars="200" w:firstLine="448"/>
        <w:rPr>
          <w:rFonts w:ascii="微软雅黑" w:eastAsia="微软雅黑" w:hAnsi="微软雅黑" w:cs="微软雅黑" w:hint="eastAsia"/>
          <w:spacing w:val="7"/>
          <w:lang w:eastAsia="zh-CN"/>
        </w:rPr>
      </w:pPr>
      <w:r w:rsidRPr="00A73A77">
        <w:rPr>
          <w:rFonts w:ascii="微软雅黑" w:eastAsia="微软雅黑" w:hAnsi="微软雅黑" w:cs="微软雅黑" w:hint="eastAsia"/>
          <w:spacing w:val="7"/>
          <w:lang w:eastAsia="zh-CN"/>
        </w:rPr>
        <w:t>非美方面，前期油价高位回落一度带动欧央行紧缩预期边际收敛，但在美伊局势反复、输入型通胀压力仍未完全消退的背景下，市场对欧央行年内政策路径分歧有所加剧，能源价格高企与外需不确定性继续压制企业预期，消费者及企业信心指数表现偏弱。日本央行近期展开货币干预，短线对日元形成支撑，前期日央行虽维持利率按兵不动，但内部政策分歧显著加剧，能源价格风险推动后续加息预期边际上行。展望后市，美伊停火预期反复摇摆，美元受避险需求提</w:t>
      </w:r>
      <w:proofErr w:type="gramStart"/>
      <w:r w:rsidRPr="00A73A77">
        <w:rPr>
          <w:rFonts w:ascii="微软雅黑" w:eastAsia="微软雅黑" w:hAnsi="微软雅黑" w:cs="微软雅黑" w:hint="eastAsia"/>
          <w:spacing w:val="7"/>
          <w:lang w:eastAsia="zh-CN"/>
        </w:rPr>
        <w:t>振持续</w:t>
      </w:r>
      <w:proofErr w:type="gramEnd"/>
      <w:r w:rsidRPr="00A73A77">
        <w:rPr>
          <w:rFonts w:ascii="微软雅黑" w:eastAsia="微软雅黑" w:hAnsi="微软雅黑" w:cs="微软雅黑" w:hint="eastAsia"/>
          <w:spacing w:val="7"/>
          <w:lang w:eastAsia="zh-CN"/>
        </w:rPr>
        <w:t>偏强运行，非美货币短期内或延续震荡拉锯走势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DC4E27B" w:rsidR="007A477E" w:rsidRDefault="00A73A77"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Pr>
          <w:rFonts w:ascii="黑体" w:eastAsia="黑体" w:hAnsi="黑体" w:cs="黑体" w:hint="eastAsia"/>
          <w:noProof/>
          <w:color w:val="2C3E50"/>
          <w:sz w:val="24"/>
          <w:shd w:val="clear" w:color="auto" w:fill="FFFFFF"/>
          <w:lang w:bidi="ar"/>
        </w:rPr>
        <w:drawing>
          <wp:inline distT="0" distB="0" distL="114300" distR="114300" wp14:anchorId="05318585" wp14:editId="57DBE41B">
            <wp:extent cx="4699000" cy="2248535"/>
            <wp:effectExtent l="0" t="0" r="6350" b="18415"/>
            <wp:docPr id="3" name="图片 3" descr="177863309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8633090356"/>
                    <pic:cNvPicPr>
                      <a:picLocks noChangeAspect="1"/>
                    </pic:cNvPicPr>
                  </pic:nvPicPr>
                  <pic:blipFill>
                    <a:blip r:embed="rId14"/>
                    <a:stretch>
                      <a:fillRect/>
                    </a:stretch>
                  </pic:blipFill>
                  <pic:spPr>
                    <a:xfrm>
                      <a:off x="0" y="0"/>
                      <a:ext cx="4699000" cy="2248535"/>
                    </a:xfrm>
                    <a:prstGeom prst="rect">
                      <a:avLst/>
                    </a:prstGeom>
                  </pic:spPr>
                </pic:pic>
              </a:graphicData>
            </a:graphic>
          </wp:inline>
        </w:drawing>
      </w:r>
    </w:p>
    <w:p w14:paraId="7DEA6408" w14:textId="5D503C7E"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0EA59EF" w14:textId="50B68801" w:rsidR="00D673DE" w:rsidRPr="00D673DE" w:rsidRDefault="00A73A77" w:rsidP="00D673DE">
      <w:pPr>
        <w:spacing w:before="103" w:line="256" w:lineRule="auto"/>
        <w:ind w:right="210" w:firstLine="448"/>
        <w:rPr>
          <w:rFonts w:ascii="微软雅黑" w:eastAsia="微软雅黑" w:hAnsi="微软雅黑" w:cs="微软雅黑" w:hint="eastAsia"/>
          <w:spacing w:val="7"/>
          <w:lang w:eastAsia="zh-CN"/>
        </w:rPr>
      </w:pPr>
      <w:r w:rsidRPr="00A73A77">
        <w:rPr>
          <w:rFonts w:ascii="微软雅黑" w:eastAsia="微软雅黑" w:hAnsi="微软雅黑" w:cs="微软雅黑"/>
          <w:spacing w:val="7"/>
          <w:lang w:eastAsia="zh-CN"/>
        </w:rPr>
        <w:t>截至5月12日，</w:t>
      </w:r>
      <w:proofErr w:type="gramStart"/>
      <w:r w:rsidRPr="00A73A77">
        <w:rPr>
          <w:rFonts w:ascii="微软雅黑" w:eastAsia="微软雅黑" w:hAnsi="微软雅黑" w:cs="微软雅黑"/>
          <w:spacing w:val="7"/>
          <w:lang w:eastAsia="zh-CN"/>
        </w:rPr>
        <w:t>标普</w:t>
      </w:r>
      <w:proofErr w:type="gramEnd"/>
      <w:r w:rsidRPr="00A73A77">
        <w:rPr>
          <w:rFonts w:ascii="微软雅黑" w:eastAsia="微软雅黑" w:hAnsi="微软雅黑" w:cs="微软雅黑"/>
          <w:spacing w:val="7"/>
          <w:lang w:eastAsia="zh-CN"/>
        </w:rPr>
        <w:t>500指数下跌0.16%至7400.96点；</w:t>
      </w:r>
      <w:proofErr w:type="gramStart"/>
      <w:r w:rsidRPr="00A73A77">
        <w:rPr>
          <w:rFonts w:ascii="微软雅黑" w:eastAsia="微软雅黑" w:hAnsi="微软雅黑" w:cs="微软雅黑"/>
          <w:spacing w:val="7"/>
          <w:lang w:eastAsia="zh-CN"/>
        </w:rPr>
        <w:t>迷你标普</w:t>
      </w:r>
      <w:proofErr w:type="gramEnd"/>
      <w:r w:rsidRPr="00A73A77">
        <w:rPr>
          <w:rFonts w:ascii="微软雅黑" w:eastAsia="微软雅黑" w:hAnsi="微软雅黑" w:cs="微软雅黑"/>
          <w:spacing w:val="7"/>
          <w:lang w:eastAsia="zh-CN"/>
        </w:rPr>
        <w:t>500主力合约下跌0.2%至7420.5点。经济数据上，美国4月CPI同比上涨3.8%，超出市场预期的3.7%，创2023年5月以来新高；核心CPI同比上涨2.8%，超出预期的2.7%，并创2025年9月以来新高。油价高企带来的滞胀冲击愈发明显。数据公布后，市场对美联储于今年12月加息的预期明显上升，对美股产生明显压力。地缘局势上，美伊局势面临战端重启的风险，对于战争的担忧，使得油价持续处于高位，且仍在逐步上涨。整体来看，通胀上行令市场对美联储加息预期出现强化，同时，美伊局势仍在不断油价，市场对通胀前景抱有担忧。上述因素或令美股短期承压</w:t>
      </w:r>
      <w:r w:rsidR="00D673DE" w:rsidRPr="00D673DE">
        <w:rPr>
          <w:rFonts w:ascii="微软雅黑" w:eastAsia="微软雅黑" w:hAnsi="微软雅黑" w:cs="微软雅黑"/>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CE8B119" w:rsidR="007A477E" w:rsidRPr="00EE7376" w:rsidRDefault="00A73A77" w:rsidP="006B6996">
      <w:pPr>
        <w:spacing w:before="103" w:line="256" w:lineRule="auto"/>
        <w:ind w:right="210" w:firstLine="420"/>
        <w:jc w:val="center"/>
        <w:rPr>
          <w:rFonts w:ascii="微软雅黑" w:eastAsia="微软雅黑" w:hAnsi="微软雅黑" w:cs="微软雅黑" w:hint="eastAsia"/>
          <w:spacing w:val="7"/>
          <w:lang w:eastAsia="zh-CN"/>
        </w:rPr>
      </w:pPr>
      <w:r w:rsidRPr="00B873CB">
        <w:rPr>
          <w:rFonts w:ascii="Helvetica" w:hAnsi="Helvetica" w:cs="Helvetica"/>
          <w:noProof/>
          <w:shd w:val="clear" w:color="auto" w:fill="FFFFFF"/>
        </w:rPr>
        <w:lastRenderedPageBreak/>
        <w:drawing>
          <wp:inline distT="0" distB="0" distL="0" distR="0" wp14:anchorId="55DED343" wp14:editId="3E1E2F55">
            <wp:extent cx="5274310" cy="1659838"/>
            <wp:effectExtent l="0" t="0" r="2540" b="0"/>
            <wp:docPr id="1652311691" name="图片 1652311691" descr="C:\Users\Administrator\xwechat_files\wxid_vkxlzo0vqu7s22_6f5b\temp\InputTemp\f2a763bc-be4e-4f5f-8f90-3dcb1a99a0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f2a763bc-be4e-4f5f-8f90-3dcb1a99a08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59838"/>
                    </a:xfrm>
                    <a:prstGeom prst="rect">
                      <a:avLst/>
                    </a:prstGeom>
                    <a:noFill/>
                    <a:ln>
                      <a:noFill/>
                    </a:ln>
                  </pic:spPr>
                </pic:pic>
              </a:graphicData>
            </a:graphic>
          </wp:inline>
        </w:drawing>
      </w:r>
    </w:p>
    <w:p w14:paraId="11BC8174" w14:textId="72590571"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3B1C83A9" w:rsidR="00B51D3C" w:rsidRDefault="00A73A77" w:rsidP="000511AA">
      <w:pPr>
        <w:spacing w:before="103" w:line="256" w:lineRule="auto"/>
        <w:ind w:right="210" w:firstLine="448"/>
        <w:jc w:val="both"/>
        <w:rPr>
          <w:rFonts w:ascii="微软雅黑" w:eastAsia="微软雅黑" w:hAnsi="微软雅黑" w:cs="微软雅黑" w:hint="eastAsia"/>
          <w:spacing w:val="7"/>
          <w:lang w:eastAsia="zh-CN"/>
        </w:rPr>
      </w:pPr>
      <w:r w:rsidRPr="00A73A77">
        <w:rPr>
          <w:rFonts w:ascii="微软雅黑" w:eastAsia="微软雅黑" w:hAnsi="微软雅黑" w:cs="微软雅黑"/>
          <w:spacing w:val="7"/>
          <w:lang w:eastAsia="zh-CN"/>
        </w:rPr>
        <w:t>截至5月12日，富时中国A50指数上涨0.42%至15976.57；新交所富时A50期指主力合约上涨0.6%至15975。海外方面，美国4月CPI、核心CPI增速均超预期大幅上行，油价带来的滞胀风险逐步显现。数据公布后，市场对美联储于今年12月加息的预期明显上升。隔夜美元指数走强，但离岸人民币兑美元仍呈现升值态势。国内方面，经济基本面，1-4月进出口数据显示，高新技术产品及机电产品出口强势领跑。4月通胀数据显示，油价带来的输入性</w:t>
      </w:r>
      <w:proofErr w:type="gramStart"/>
      <w:r w:rsidRPr="00A73A77">
        <w:rPr>
          <w:rFonts w:ascii="微软雅黑" w:eastAsia="微软雅黑" w:hAnsi="微软雅黑" w:cs="微软雅黑"/>
          <w:spacing w:val="7"/>
          <w:lang w:eastAsia="zh-CN"/>
        </w:rPr>
        <w:t>通胀较</w:t>
      </w:r>
      <w:proofErr w:type="gramEnd"/>
      <w:r w:rsidRPr="00A73A77">
        <w:rPr>
          <w:rFonts w:ascii="微软雅黑" w:eastAsia="微软雅黑" w:hAnsi="微软雅黑" w:cs="微软雅黑"/>
          <w:spacing w:val="7"/>
          <w:lang w:eastAsia="zh-CN"/>
        </w:rPr>
        <w:t>3月更加明显，石油相关行业PPI同环比均录得两位数涨幅。PPI-CPI剪刀差转正。消息面，美国总统特朗普将于5月13日-15日访华，市场期待本次中美元首互动能够放宽对中国高科技业的限制。整体来看，新质生产力对经济的支撑愈发明显，相关行业股价预计有较好表现。同时，市场普遍预期本次特朗普访华将对中美贸易关系起到进一步修复。最后，虽然，美联储加息预期升温带动美元指数上涨，但在强劲的经济基本面支撑下，人民币并未走贬，加上人工智能浪潮，A股牛市行情仍有进一步演绎的空间</w:t>
      </w:r>
      <w:r w:rsidR="00965C94" w:rsidRPr="00965C94">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31992819" w:rsidR="00A10388" w:rsidRDefault="00A73A77" w:rsidP="00A10388">
      <w:pPr>
        <w:spacing w:before="120" w:line="190" w:lineRule="auto"/>
        <w:ind w:right="210" w:firstLine="420"/>
        <w:jc w:val="center"/>
        <w:rPr>
          <w:rFonts w:ascii="新宋体" w:eastAsia="新宋体" w:hAnsi="新宋体" w:hint="eastAsia"/>
          <w:lang w:eastAsia="zh-CN"/>
        </w:rPr>
      </w:pPr>
      <w:r w:rsidRPr="00B873CB">
        <w:rPr>
          <w:rFonts w:ascii="宋体" w:eastAsia="宋体" w:hAnsi="宋体"/>
          <w:noProof/>
        </w:rPr>
        <w:drawing>
          <wp:inline distT="0" distB="0" distL="0" distR="0" wp14:anchorId="5BA4269D" wp14:editId="191B0F14">
            <wp:extent cx="5274310" cy="1656633"/>
            <wp:effectExtent l="0" t="0" r="2540" b="1270"/>
            <wp:docPr id="2" name="图片 2" descr="C:\Users\Administrator\xwechat_files\wxid_vkxlzo0vqu7s22_6f5b\temp\InputTemp\888251ed-7874-4651-a339-d7fc1113c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888251ed-7874-4651-a339-d7fc1113ce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56633"/>
                    </a:xfrm>
                    <a:prstGeom prst="rect">
                      <a:avLst/>
                    </a:prstGeom>
                    <a:noFill/>
                    <a:ln>
                      <a:noFill/>
                    </a:ln>
                  </pic:spPr>
                </pic:pic>
              </a:graphicData>
            </a:graphic>
          </wp:inline>
        </w:drawing>
      </w:r>
    </w:p>
    <w:p w14:paraId="0F993890" w14:textId="212BD931"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C47D3AE" w:rsidR="00AC6ADE" w:rsidRDefault="00A73A77" w:rsidP="00F51117">
      <w:pPr>
        <w:spacing w:before="103" w:line="256" w:lineRule="auto"/>
        <w:ind w:right="210" w:firstLine="468"/>
        <w:jc w:val="both"/>
        <w:rPr>
          <w:rFonts w:ascii="微软雅黑" w:eastAsia="微软雅黑" w:hAnsi="微软雅黑" w:cs="微软雅黑" w:hint="eastAsia"/>
          <w:spacing w:val="12"/>
          <w:lang w:eastAsia="zh-CN"/>
        </w:rPr>
      </w:pPr>
      <w:r w:rsidRPr="00A73A77">
        <w:rPr>
          <w:rFonts w:ascii="微软雅黑" w:eastAsia="微软雅黑" w:hAnsi="微软雅黑" w:cs="微软雅黑"/>
          <w:spacing w:val="12"/>
          <w:lang w:eastAsia="zh-CN"/>
        </w:rPr>
        <w:t>隔夜COMEX铜震荡走强，报收6.6335元/磅，涨跌幅+2.68%。国际方面，美国通胀压力重燃，进一步</w:t>
      </w:r>
      <w:proofErr w:type="gramStart"/>
      <w:r w:rsidRPr="00A73A77">
        <w:rPr>
          <w:rFonts w:ascii="微软雅黑" w:eastAsia="微软雅黑" w:hAnsi="微软雅黑" w:cs="微软雅黑"/>
          <w:spacing w:val="12"/>
          <w:lang w:eastAsia="zh-CN"/>
        </w:rPr>
        <w:t>挤压美</w:t>
      </w:r>
      <w:proofErr w:type="gramEnd"/>
      <w:r w:rsidRPr="00A73A77">
        <w:rPr>
          <w:rFonts w:ascii="微软雅黑" w:eastAsia="微软雅黑" w:hAnsi="微软雅黑" w:cs="微软雅黑"/>
          <w:spacing w:val="12"/>
          <w:lang w:eastAsia="zh-CN"/>
        </w:rPr>
        <w:t>联储年内降息空间。美国4月CPI同比上涨3.8%，超出市场预期的3.7%，创2023年5月以来新高；核心CPI同比上涨2.8%，超出预期的2.7%，并创2025年9月以来新高。国内方面，美国总统特朗普将于5月13日至15日对中国进行国事访问，白宫公布将随特朗普一同访华的商界领袖名单。在科技领域，访华</w:t>
      </w:r>
      <w:proofErr w:type="gramStart"/>
      <w:r w:rsidRPr="00A73A77">
        <w:rPr>
          <w:rFonts w:ascii="微软雅黑" w:eastAsia="微软雅黑" w:hAnsi="微软雅黑" w:cs="微软雅黑"/>
          <w:spacing w:val="12"/>
          <w:lang w:eastAsia="zh-CN"/>
        </w:rPr>
        <w:t>美企代表</w:t>
      </w:r>
      <w:proofErr w:type="gramEnd"/>
      <w:r w:rsidRPr="00A73A77">
        <w:rPr>
          <w:rFonts w:ascii="微软雅黑" w:eastAsia="微软雅黑" w:hAnsi="微软雅黑" w:cs="微软雅黑"/>
          <w:spacing w:val="12"/>
          <w:lang w:eastAsia="zh-CN"/>
        </w:rPr>
        <w:t>包括特斯拉CEO马斯克、苹果CEO库克以及高通、美光等半导体企业负责</w:t>
      </w:r>
      <w:r w:rsidRPr="00A73A77">
        <w:rPr>
          <w:rFonts w:ascii="微软雅黑" w:eastAsia="微软雅黑" w:hAnsi="微软雅黑" w:cs="微软雅黑"/>
          <w:spacing w:val="12"/>
          <w:lang w:eastAsia="zh-CN"/>
        </w:rPr>
        <w:lastRenderedPageBreak/>
        <w:t>人；在金融领域，有花旗、高盛、黑石等华尔街巨头负责人。库存方面，截至2026年5月12日，COMEX铜库存为623005短吨，环比+1227短吨；LME铜库存为400000吨，环比-1000吨；SHFE每日仓单88547吨，环比-470吨。美元美债方面，美国4月CPI数据显示能源价格飙升推动整体通胀创下三年新高，美联储年内加息预期升温。与此同时，随着达成和平协议的希望减弱，美伊双方再度互放狠话。美元指数走高，创近一周新高，最终收涨0.37%，报98.29；基准的</w:t>
      </w:r>
      <w:proofErr w:type="gramStart"/>
      <w:r w:rsidRPr="00A73A77">
        <w:rPr>
          <w:rFonts w:ascii="微软雅黑" w:eastAsia="微软雅黑" w:hAnsi="微软雅黑" w:cs="微软雅黑"/>
          <w:spacing w:val="12"/>
          <w:lang w:eastAsia="zh-CN"/>
        </w:rPr>
        <w:t>10年期美债</w:t>
      </w:r>
      <w:proofErr w:type="gramEnd"/>
      <w:r w:rsidRPr="00A73A77">
        <w:rPr>
          <w:rFonts w:ascii="微软雅黑" w:eastAsia="微软雅黑" w:hAnsi="微软雅黑" w:cs="微软雅黑"/>
          <w:spacing w:val="12"/>
          <w:lang w:eastAsia="zh-CN"/>
        </w:rPr>
        <w:t>收益率收报4.457%，对美联储政策利率敏感的</w:t>
      </w:r>
      <w:proofErr w:type="gramStart"/>
      <w:r w:rsidRPr="00A73A77">
        <w:rPr>
          <w:rFonts w:ascii="微软雅黑" w:eastAsia="微软雅黑" w:hAnsi="微软雅黑" w:cs="微软雅黑"/>
          <w:spacing w:val="12"/>
          <w:lang w:eastAsia="zh-CN"/>
        </w:rPr>
        <w:t>2年期美债</w:t>
      </w:r>
      <w:proofErr w:type="gramEnd"/>
      <w:r w:rsidRPr="00A73A77">
        <w:rPr>
          <w:rFonts w:ascii="微软雅黑" w:eastAsia="微软雅黑" w:hAnsi="微软雅黑" w:cs="微软雅黑"/>
          <w:spacing w:val="12"/>
          <w:lang w:eastAsia="zh-CN"/>
        </w:rPr>
        <w:t>收益率则收报4.002%。操作建议，</w:t>
      </w:r>
      <w:proofErr w:type="gramStart"/>
      <w:r w:rsidRPr="00A73A77">
        <w:rPr>
          <w:rFonts w:ascii="微软雅黑" w:eastAsia="微软雅黑" w:hAnsi="微软雅黑" w:cs="微软雅黑"/>
          <w:spacing w:val="12"/>
          <w:lang w:eastAsia="zh-CN"/>
        </w:rPr>
        <w:t>纽</w:t>
      </w:r>
      <w:proofErr w:type="gramEnd"/>
      <w:r w:rsidRPr="00A73A77">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DF7AC55" w:rsidR="00A02266" w:rsidRDefault="00A73A77" w:rsidP="006B6996">
      <w:pPr>
        <w:spacing w:before="103" w:line="256" w:lineRule="auto"/>
        <w:ind w:right="210" w:firstLine="420"/>
        <w:jc w:val="center"/>
      </w:pPr>
      <w:r>
        <w:rPr>
          <w:noProof/>
        </w:rPr>
        <w:drawing>
          <wp:inline distT="0" distB="0" distL="0" distR="0" wp14:anchorId="019B14E5" wp14:editId="357D4AC4">
            <wp:extent cx="5274310" cy="2879090"/>
            <wp:effectExtent l="0" t="0" r="2540" b="0"/>
            <wp:docPr id="820277955" name="图片 82027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3E8F5F5A"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0D8FA2F" w:rsidR="00394BD0" w:rsidRDefault="00A73A77" w:rsidP="00B00DB4">
      <w:pPr>
        <w:spacing w:before="103" w:line="256" w:lineRule="auto"/>
        <w:ind w:right="210" w:firstLine="448"/>
        <w:jc w:val="both"/>
        <w:rPr>
          <w:rFonts w:ascii="微软雅黑" w:eastAsia="微软雅黑" w:hAnsi="微软雅黑" w:cs="微软雅黑" w:hint="eastAsia"/>
          <w:noProof/>
          <w:spacing w:val="7"/>
          <w:lang w:eastAsia="zh-CN"/>
        </w:rPr>
      </w:pPr>
      <w:r w:rsidRPr="00A73A77">
        <w:rPr>
          <w:rFonts w:ascii="微软雅黑" w:eastAsia="微软雅黑" w:hAnsi="微软雅黑" w:cs="微软雅黑"/>
          <w:noProof/>
          <w:spacing w:val="7"/>
          <w:lang w:eastAsia="zh-CN"/>
        </w:rPr>
        <w:t>隔夜，国际贵金属期货收盘涨跌不一，COMEX黄金期货跌0.13%报4722.60美元/盎司，COMEX白银期货涨1.46%报87.20美元/盎司。宏观数据方面，美国4月CPI同比增速抬升至3.8%，创2023年5月以来新高，略高于市场预期。美伊战争引发的原油冲击持续推高物价水平，能源分项仍为本轮数据主要推手，同比增速录得17.9%，为2022年9月以来最大涨幅，住房和食品通胀同步上行，核心通胀同比亦超出市场预期。数据公布后，美元指数及长端美债收益率同步走高，美联储年内降息预期继续受到压制，贵金属市场昨夜短线回落后企稳反弹。地缘方面，美伊谈判再度陷入僵局，特朗普表示当前停火协议仍然有效但极其脆弱，地缘尾部风险重新升温，金价短线仍受到油价及美元偏强运行压制。秘鲁发布能源危机紧急法令，其白银储量处于世界第一位，叠加AI用银需求预期具备韧性，银价走势较为坚挺，金银比持续走低。往前看，后市核心变量集中在美伊停火谈判、美元走势及沃什上任后的联储政策预期，当前市场对于战争再度全面爆发的定价明显转弱，边际提振黄金避险属性。中长期看，金价逢低配置价值仍存：美国财政扩张侵蚀美元信用，中国央行连续18个月增持黄金储备，新兴国家央行逢低购金为金价提供底部支撑。金银短期或维持宽幅震荡，上方受美元与实际利率制约，下方有中长线配置需求托底。操作上建议，逢低布局思路对待，注意风险控制</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lastRenderedPageBreak/>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39246AC" w:rsidR="007A477E" w:rsidRDefault="00A73A7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rFonts w:ascii="黑体" w:eastAsia="黑体" w:hAnsi="黑体" w:hint="eastAsia"/>
          <w:noProof/>
          <w:sz w:val="22"/>
          <w:szCs w:val="22"/>
          <w:shd w:val="clear" w:color="auto" w:fill="FFFFFF"/>
          <w:lang w:bidi="ar"/>
        </w:rPr>
        <w:drawing>
          <wp:inline distT="0" distB="0" distL="114300" distR="114300" wp14:anchorId="4DAE3AAE" wp14:editId="300E0B57">
            <wp:extent cx="4777740" cy="2263140"/>
            <wp:effectExtent l="0" t="0" r="3810" b="3810"/>
            <wp:docPr id="420375879" name="图片 420375879" descr="177863313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8633133417"/>
                    <pic:cNvPicPr>
                      <a:picLocks noChangeAspect="1"/>
                    </pic:cNvPicPr>
                  </pic:nvPicPr>
                  <pic:blipFill>
                    <a:blip r:embed="rId18"/>
                    <a:stretch>
                      <a:fillRect/>
                    </a:stretch>
                  </pic:blipFill>
                  <pic:spPr>
                    <a:xfrm>
                      <a:off x="0" y="0"/>
                      <a:ext cx="4777740" cy="2263140"/>
                    </a:xfrm>
                    <a:prstGeom prst="rect">
                      <a:avLst/>
                    </a:prstGeom>
                  </pic:spPr>
                </pic:pic>
              </a:graphicData>
            </a:graphic>
          </wp:inline>
        </w:drawing>
      </w:r>
    </w:p>
    <w:p w14:paraId="5FD6CF71" w14:textId="32FAA7A9"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D64A160" w14:textId="77777777" w:rsidR="00A73A77" w:rsidRPr="00A73A77" w:rsidRDefault="00B51D3C" w:rsidP="00A73A77">
      <w:pPr>
        <w:spacing w:before="103" w:line="256" w:lineRule="auto"/>
        <w:ind w:right="210" w:firstLine="448"/>
        <w:jc w:val="both"/>
        <w:rPr>
          <w:rFonts w:ascii="微软雅黑" w:eastAsia="微软雅黑" w:hAnsi="微软雅黑" w:cs="微软雅黑"/>
          <w:noProof/>
          <w:spacing w:val="7"/>
          <w:lang w:eastAsia="zh-CN"/>
        </w:rPr>
      </w:pPr>
      <w:r w:rsidRPr="00B51D3C">
        <w:rPr>
          <w:rFonts w:ascii="微软雅黑" w:eastAsia="微软雅黑" w:hAnsi="微软雅黑" w:cs="微软雅黑" w:hint="eastAsia"/>
          <w:noProof/>
          <w:spacing w:val="7"/>
          <w:lang w:eastAsia="zh-CN"/>
        </w:rPr>
        <w:t>洲</w:t>
      </w:r>
      <w:r w:rsidR="00A73A77" w:rsidRPr="00A73A77">
        <w:rPr>
          <w:rFonts w:ascii="微软雅黑" w:eastAsia="微软雅黑" w:hAnsi="微软雅黑" w:cs="微软雅黑" w:hint="eastAsia"/>
          <w:noProof/>
          <w:spacing w:val="7"/>
          <w:lang w:eastAsia="zh-CN"/>
        </w:rPr>
        <w:t>际交易所</w:t>
      </w:r>
      <w:r w:rsidR="00A73A77" w:rsidRPr="00A73A77">
        <w:rPr>
          <w:rFonts w:ascii="微软雅黑" w:eastAsia="微软雅黑" w:hAnsi="微软雅黑" w:cs="微软雅黑"/>
          <w:noProof/>
          <w:spacing w:val="7"/>
          <w:lang w:eastAsia="zh-CN"/>
        </w:rPr>
        <w:t>(ICE)</w:t>
      </w:r>
      <w:r w:rsidR="00A73A77" w:rsidRPr="00A73A77">
        <w:rPr>
          <w:rFonts w:ascii="微软雅黑" w:eastAsia="微软雅黑" w:hAnsi="微软雅黑" w:cs="微软雅黑" w:hint="eastAsia"/>
          <w:noProof/>
          <w:spacing w:val="7"/>
          <w:lang w:eastAsia="zh-CN"/>
        </w:rPr>
        <w:t>原糖期货周二收高，受供应短缺的预期提振。</w:t>
      </w:r>
      <w:r w:rsidR="00A73A77" w:rsidRPr="00A73A77">
        <w:rPr>
          <w:rFonts w:ascii="微软雅黑" w:eastAsia="微软雅黑" w:hAnsi="微软雅黑" w:cs="微软雅黑"/>
          <w:noProof/>
          <w:spacing w:val="7"/>
          <w:lang w:eastAsia="zh-CN"/>
        </w:rPr>
        <w:t>ICE</w:t>
      </w:r>
      <w:r w:rsidR="00A73A77" w:rsidRPr="00A73A77">
        <w:rPr>
          <w:rFonts w:ascii="微软雅黑" w:eastAsia="微软雅黑" w:hAnsi="微软雅黑" w:cs="微软雅黑" w:hint="eastAsia"/>
          <w:noProof/>
          <w:spacing w:val="7"/>
          <w:lang w:eastAsia="zh-CN"/>
        </w:rPr>
        <w:t>交投最活跃的</w:t>
      </w:r>
      <w:r w:rsidR="00A73A77" w:rsidRPr="00A73A77">
        <w:rPr>
          <w:rFonts w:ascii="微软雅黑" w:eastAsia="微软雅黑" w:hAnsi="微软雅黑" w:cs="微软雅黑"/>
          <w:noProof/>
          <w:spacing w:val="7"/>
          <w:lang w:eastAsia="zh-CN"/>
        </w:rPr>
        <w:t>7</w:t>
      </w:r>
      <w:r w:rsidR="00A73A77" w:rsidRPr="00A73A77">
        <w:rPr>
          <w:rFonts w:ascii="微软雅黑" w:eastAsia="微软雅黑" w:hAnsi="微软雅黑" w:cs="微软雅黑" w:hint="eastAsia"/>
          <w:noProof/>
          <w:spacing w:val="7"/>
          <w:lang w:eastAsia="zh-CN"/>
        </w:rPr>
        <w:t>月原糖期货收涨</w:t>
      </w:r>
      <w:r w:rsidR="00A73A77" w:rsidRPr="00A73A77">
        <w:rPr>
          <w:rFonts w:ascii="微软雅黑" w:eastAsia="微软雅黑" w:hAnsi="微软雅黑" w:cs="微软雅黑"/>
          <w:noProof/>
          <w:spacing w:val="7"/>
          <w:lang w:eastAsia="zh-CN"/>
        </w:rPr>
        <w:t>0.10</w:t>
      </w:r>
      <w:r w:rsidR="00A73A77" w:rsidRPr="00A73A77">
        <w:rPr>
          <w:rFonts w:ascii="微软雅黑" w:eastAsia="微软雅黑" w:hAnsi="微软雅黑" w:cs="微软雅黑" w:hint="eastAsia"/>
          <w:noProof/>
          <w:spacing w:val="7"/>
          <w:lang w:eastAsia="zh-CN"/>
        </w:rPr>
        <w:t>美分或</w:t>
      </w:r>
      <w:r w:rsidR="00A73A77" w:rsidRPr="00A73A77">
        <w:rPr>
          <w:rFonts w:ascii="微软雅黑" w:eastAsia="微软雅黑" w:hAnsi="微软雅黑" w:cs="微软雅黑"/>
          <w:noProof/>
          <w:spacing w:val="7"/>
          <w:lang w:eastAsia="zh-CN"/>
        </w:rPr>
        <w:t>0.67%</w:t>
      </w:r>
      <w:r w:rsidR="00A73A77" w:rsidRPr="00A73A77">
        <w:rPr>
          <w:rFonts w:ascii="微软雅黑" w:eastAsia="微软雅黑" w:hAnsi="微软雅黑" w:cs="微软雅黑" w:hint="eastAsia"/>
          <w:noProof/>
          <w:spacing w:val="7"/>
          <w:lang w:eastAsia="zh-CN"/>
        </w:rPr>
        <w:t>，结算价报每磅</w:t>
      </w:r>
      <w:r w:rsidR="00A73A77" w:rsidRPr="00A73A77">
        <w:rPr>
          <w:rFonts w:ascii="微软雅黑" w:eastAsia="微软雅黑" w:hAnsi="微软雅黑" w:cs="微软雅黑"/>
          <w:noProof/>
          <w:spacing w:val="7"/>
          <w:lang w:eastAsia="zh-CN"/>
        </w:rPr>
        <w:t>15.01</w:t>
      </w:r>
      <w:r w:rsidR="00A73A77" w:rsidRPr="00A73A77">
        <w:rPr>
          <w:rFonts w:ascii="微软雅黑" w:eastAsia="微软雅黑" w:hAnsi="微软雅黑" w:cs="微软雅黑" w:hint="eastAsia"/>
          <w:noProof/>
          <w:spacing w:val="7"/>
          <w:lang w:eastAsia="zh-CN"/>
        </w:rPr>
        <w:t>美分。</w:t>
      </w:r>
    </w:p>
    <w:p w14:paraId="488FCA7F" w14:textId="77777777" w:rsidR="00A73A77" w:rsidRPr="00A73A77" w:rsidRDefault="00A73A77" w:rsidP="00A73A77">
      <w:pPr>
        <w:spacing w:before="103" w:line="256" w:lineRule="auto"/>
        <w:ind w:right="210" w:firstLine="448"/>
        <w:jc w:val="both"/>
        <w:rPr>
          <w:rFonts w:ascii="微软雅黑" w:eastAsia="微软雅黑" w:hAnsi="微软雅黑" w:cs="微软雅黑"/>
          <w:noProof/>
          <w:spacing w:val="7"/>
          <w:lang w:eastAsia="zh-CN"/>
        </w:rPr>
      </w:pPr>
      <w:r w:rsidRPr="00A73A77">
        <w:rPr>
          <w:rFonts w:ascii="微软雅黑" w:eastAsia="微软雅黑" w:hAnsi="微软雅黑" w:cs="微软雅黑" w:hint="eastAsia"/>
          <w:noProof/>
          <w:spacing w:val="7"/>
          <w:lang w:eastAsia="zh-CN"/>
        </w:rPr>
        <w:t>国际方面，据巴西蔗糖工业协会</w:t>
      </w:r>
      <w:r w:rsidRPr="00A73A77">
        <w:rPr>
          <w:rFonts w:ascii="微软雅黑" w:eastAsia="微软雅黑" w:hAnsi="微软雅黑" w:cs="微软雅黑"/>
          <w:noProof/>
          <w:spacing w:val="7"/>
          <w:lang w:eastAsia="zh-CN"/>
        </w:rPr>
        <w:t>Unica</w:t>
      </w:r>
      <w:r w:rsidRPr="00A73A77">
        <w:rPr>
          <w:rFonts w:ascii="微软雅黑" w:eastAsia="微软雅黑" w:hAnsi="微软雅黑" w:cs="微软雅黑" w:hint="eastAsia"/>
          <w:noProof/>
          <w:spacing w:val="7"/>
          <w:lang w:eastAsia="zh-CN"/>
        </w:rPr>
        <w:t>称，</w:t>
      </w:r>
      <w:r w:rsidRPr="00A73A77">
        <w:rPr>
          <w:rFonts w:ascii="微软雅黑" w:eastAsia="微软雅黑" w:hAnsi="微软雅黑" w:cs="微软雅黑"/>
          <w:noProof/>
          <w:spacing w:val="7"/>
          <w:lang w:eastAsia="zh-CN"/>
        </w:rPr>
        <w:t>2026</w:t>
      </w:r>
      <w:r w:rsidRPr="00A73A77">
        <w:rPr>
          <w:rFonts w:ascii="微软雅黑" w:eastAsia="微软雅黑" w:hAnsi="微软雅黑" w:cs="微软雅黑" w:hint="eastAsia"/>
          <w:noProof/>
          <w:spacing w:val="7"/>
          <w:lang w:eastAsia="zh-CN"/>
        </w:rPr>
        <w:t>年中南部地区</w:t>
      </w:r>
      <w:r w:rsidRPr="00A73A77">
        <w:rPr>
          <w:rFonts w:ascii="微软雅黑" w:eastAsia="微软雅黑" w:hAnsi="微软雅黑" w:cs="微软雅黑"/>
          <w:noProof/>
          <w:spacing w:val="7"/>
          <w:lang w:eastAsia="zh-CN"/>
        </w:rPr>
        <w:t>4</w:t>
      </w:r>
      <w:r w:rsidRPr="00A73A77">
        <w:rPr>
          <w:rFonts w:ascii="微软雅黑" w:eastAsia="微软雅黑" w:hAnsi="微软雅黑" w:cs="微软雅黑" w:hint="eastAsia"/>
          <w:noProof/>
          <w:spacing w:val="7"/>
          <w:lang w:eastAsia="zh-CN"/>
        </w:rPr>
        <w:t>月上半月糖产量约为</w:t>
      </w:r>
      <w:r w:rsidRPr="00A73A77">
        <w:rPr>
          <w:rFonts w:ascii="微软雅黑" w:eastAsia="微软雅黑" w:hAnsi="微软雅黑" w:cs="微软雅黑"/>
          <w:noProof/>
          <w:spacing w:val="7"/>
          <w:lang w:eastAsia="zh-CN"/>
        </w:rPr>
        <w:t>64.7</w:t>
      </w:r>
      <w:r w:rsidRPr="00A73A77">
        <w:rPr>
          <w:rFonts w:ascii="微软雅黑" w:eastAsia="微软雅黑" w:hAnsi="微软雅黑" w:cs="微软雅黑" w:hint="eastAsia"/>
          <w:noProof/>
          <w:spacing w:val="7"/>
          <w:lang w:eastAsia="zh-CN"/>
        </w:rPr>
        <w:t>万吨，同比减少</w:t>
      </w:r>
      <w:r w:rsidRPr="00A73A77">
        <w:rPr>
          <w:rFonts w:ascii="微软雅黑" w:eastAsia="微软雅黑" w:hAnsi="微软雅黑" w:cs="微软雅黑"/>
          <w:noProof/>
          <w:spacing w:val="7"/>
          <w:lang w:eastAsia="zh-CN"/>
        </w:rPr>
        <w:t>11.94%</w:t>
      </w:r>
      <w:r w:rsidRPr="00A73A77">
        <w:rPr>
          <w:rFonts w:ascii="微软雅黑" w:eastAsia="微软雅黑" w:hAnsi="微软雅黑" w:cs="微软雅黑" w:hint="eastAsia"/>
          <w:noProof/>
          <w:spacing w:val="7"/>
          <w:lang w:eastAsia="zh-CN"/>
        </w:rPr>
        <w:t>；压榨甘蔗量为</w:t>
      </w:r>
      <w:r w:rsidRPr="00A73A77">
        <w:rPr>
          <w:rFonts w:ascii="微软雅黑" w:eastAsia="微软雅黑" w:hAnsi="微软雅黑" w:cs="微软雅黑"/>
          <w:noProof/>
          <w:spacing w:val="7"/>
          <w:lang w:eastAsia="zh-CN"/>
        </w:rPr>
        <w:t>1995.6</w:t>
      </w:r>
      <w:r w:rsidRPr="00A73A77">
        <w:rPr>
          <w:rFonts w:ascii="微软雅黑" w:eastAsia="微软雅黑" w:hAnsi="微软雅黑" w:cs="微软雅黑" w:hint="eastAsia"/>
          <w:noProof/>
          <w:spacing w:val="7"/>
          <w:lang w:eastAsia="zh-CN"/>
        </w:rPr>
        <w:t>万吨，较</w:t>
      </w:r>
      <w:r w:rsidRPr="00A73A77">
        <w:rPr>
          <w:rFonts w:ascii="微软雅黑" w:eastAsia="微软雅黑" w:hAnsi="微软雅黑" w:cs="微软雅黑"/>
          <w:noProof/>
          <w:spacing w:val="7"/>
          <w:lang w:eastAsia="zh-CN"/>
        </w:rPr>
        <w:t>2025/26</w:t>
      </w:r>
      <w:r w:rsidRPr="00A73A77">
        <w:rPr>
          <w:rFonts w:ascii="微软雅黑" w:eastAsia="微软雅黑" w:hAnsi="微软雅黑" w:cs="微软雅黑" w:hint="eastAsia"/>
          <w:noProof/>
          <w:spacing w:val="7"/>
          <w:lang w:eastAsia="zh-CN"/>
        </w:rPr>
        <w:t>年度同期相比增加</w:t>
      </w:r>
      <w:r w:rsidRPr="00A73A77">
        <w:rPr>
          <w:rFonts w:ascii="微软雅黑" w:eastAsia="微软雅黑" w:hAnsi="微软雅黑" w:cs="微软雅黑"/>
          <w:noProof/>
          <w:spacing w:val="7"/>
          <w:lang w:eastAsia="zh-CN"/>
        </w:rPr>
        <w:t>19.67%</w:t>
      </w:r>
      <w:r w:rsidRPr="00A73A77">
        <w:rPr>
          <w:rFonts w:ascii="微软雅黑" w:eastAsia="微软雅黑" w:hAnsi="微软雅黑" w:cs="微软雅黑" w:hint="eastAsia"/>
          <w:noProof/>
          <w:spacing w:val="7"/>
          <w:lang w:eastAsia="zh-CN"/>
        </w:rPr>
        <w:t>，同期，包括玉米乙醇在内，巴西中南部乙醇产量增加</w:t>
      </w:r>
      <w:r w:rsidRPr="00A73A77">
        <w:rPr>
          <w:rFonts w:ascii="微软雅黑" w:eastAsia="微软雅黑" w:hAnsi="微软雅黑" w:cs="微软雅黑"/>
          <w:noProof/>
          <w:spacing w:val="7"/>
          <w:lang w:eastAsia="zh-CN"/>
        </w:rPr>
        <w:t>33.3%</w:t>
      </w:r>
      <w:r w:rsidRPr="00A73A77">
        <w:rPr>
          <w:rFonts w:ascii="微软雅黑" w:eastAsia="微软雅黑" w:hAnsi="微软雅黑" w:cs="微软雅黑" w:hint="eastAsia"/>
          <w:noProof/>
          <w:spacing w:val="7"/>
          <w:lang w:eastAsia="zh-CN"/>
        </w:rPr>
        <w:t>至</w:t>
      </w:r>
      <w:r w:rsidRPr="00A73A77">
        <w:rPr>
          <w:rFonts w:ascii="微软雅黑" w:eastAsia="微软雅黑" w:hAnsi="微软雅黑" w:cs="微软雅黑"/>
          <w:noProof/>
          <w:spacing w:val="7"/>
          <w:lang w:eastAsia="zh-CN"/>
        </w:rPr>
        <w:t>12.3</w:t>
      </w:r>
      <w:r w:rsidRPr="00A73A77">
        <w:rPr>
          <w:rFonts w:ascii="微软雅黑" w:eastAsia="微软雅黑" w:hAnsi="微软雅黑" w:cs="微软雅黑" w:hint="eastAsia"/>
          <w:noProof/>
          <w:spacing w:val="7"/>
          <w:lang w:eastAsia="zh-CN"/>
        </w:rPr>
        <w:t>亿升。糖厂使用</w:t>
      </w:r>
      <w:r w:rsidRPr="00A73A77">
        <w:rPr>
          <w:rFonts w:ascii="微软雅黑" w:eastAsia="微软雅黑" w:hAnsi="微软雅黑" w:cs="微软雅黑"/>
          <w:noProof/>
          <w:spacing w:val="7"/>
          <w:lang w:eastAsia="zh-CN"/>
        </w:rPr>
        <w:t>32.3%</w:t>
      </w:r>
      <w:r w:rsidRPr="00A73A77">
        <w:rPr>
          <w:rFonts w:ascii="微软雅黑" w:eastAsia="微软雅黑" w:hAnsi="微软雅黑" w:cs="微软雅黑" w:hint="eastAsia"/>
          <w:noProof/>
          <w:spacing w:val="7"/>
          <w:lang w:eastAsia="zh-CN"/>
        </w:rPr>
        <w:t>的甘蔗用于榨糖，而去年同期为</w:t>
      </w:r>
      <w:r w:rsidRPr="00A73A77">
        <w:rPr>
          <w:rFonts w:ascii="微软雅黑" w:eastAsia="微软雅黑" w:hAnsi="微软雅黑" w:cs="微软雅黑"/>
          <w:noProof/>
          <w:spacing w:val="7"/>
          <w:lang w:eastAsia="zh-CN"/>
        </w:rPr>
        <w:t>44.71%</w:t>
      </w:r>
      <w:r w:rsidRPr="00A73A77">
        <w:rPr>
          <w:rFonts w:ascii="微软雅黑" w:eastAsia="微软雅黑" w:hAnsi="微软雅黑" w:cs="微软雅黑" w:hint="eastAsia"/>
          <w:noProof/>
          <w:spacing w:val="7"/>
          <w:lang w:eastAsia="zh-CN"/>
        </w:rPr>
        <w:t>，用于生产乙醇的甘蔗比例为</w:t>
      </w:r>
      <w:r w:rsidRPr="00A73A77">
        <w:rPr>
          <w:rFonts w:ascii="微软雅黑" w:eastAsia="微软雅黑" w:hAnsi="微软雅黑" w:cs="微软雅黑"/>
          <w:noProof/>
          <w:spacing w:val="7"/>
          <w:lang w:eastAsia="zh-CN"/>
        </w:rPr>
        <w:t>67.07%</w:t>
      </w:r>
      <w:r w:rsidRPr="00A73A77">
        <w:rPr>
          <w:rFonts w:ascii="微软雅黑" w:eastAsia="微软雅黑" w:hAnsi="微软雅黑" w:cs="微软雅黑" w:hint="eastAsia"/>
          <w:noProof/>
          <w:spacing w:val="7"/>
          <w:lang w:eastAsia="zh-CN"/>
        </w:rPr>
        <w:t>，而去年同期为</w:t>
      </w:r>
      <w:r w:rsidRPr="00A73A77">
        <w:rPr>
          <w:rFonts w:ascii="微软雅黑" w:eastAsia="微软雅黑" w:hAnsi="微软雅黑" w:cs="微软雅黑"/>
          <w:noProof/>
          <w:spacing w:val="7"/>
          <w:lang w:eastAsia="zh-CN"/>
        </w:rPr>
        <w:t>55.29%</w:t>
      </w:r>
      <w:r w:rsidRPr="00A73A77">
        <w:rPr>
          <w:rFonts w:ascii="微软雅黑" w:eastAsia="微软雅黑" w:hAnsi="微软雅黑" w:cs="微软雅黑" w:hint="eastAsia"/>
          <w:noProof/>
          <w:spacing w:val="7"/>
          <w:lang w:eastAsia="zh-CN"/>
        </w:rPr>
        <w:t>。</w:t>
      </w:r>
      <w:r w:rsidRPr="00A73A77">
        <w:rPr>
          <w:rFonts w:ascii="微软雅黑" w:eastAsia="微软雅黑" w:hAnsi="微软雅黑" w:cs="微软雅黑"/>
          <w:noProof/>
          <w:spacing w:val="7"/>
          <w:lang w:eastAsia="zh-CN"/>
        </w:rPr>
        <w:t>4</w:t>
      </w:r>
      <w:r w:rsidRPr="00A73A77">
        <w:rPr>
          <w:rFonts w:ascii="微软雅黑" w:eastAsia="微软雅黑" w:hAnsi="微软雅黑" w:cs="微软雅黑" w:hint="eastAsia"/>
          <w:noProof/>
          <w:spacing w:val="7"/>
          <w:lang w:eastAsia="zh-CN"/>
        </w:rPr>
        <w:t>月上半月巴西中南部地区糖产量同比下降明显，主要因为制糖比例下调。</w:t>
      </w:r>
    </w:p>
    <w:p w14:paraId="3F44DEBC" w14:textId="4F585642" w:rsidR="00C27A84" w:rsidRDefault="00A73A77" w:rsidP="00A73A77">
      <w:pPr>
        <w:spacing w:before="103" w:line="256" w:lineRule="auto"/>
        <w:ind w:right="210" w:firstLine="448"/>
        <w:jc w:val="both"/>
        <w:rPr>
          <w:rFonts w:ascii="微软雅黑" w:eastAsia="微软雅黑" w:hAnsi="微软雅黑" w:cs="微软雅黑" w:hint="eastAsia"/>
          <w:noProof/>
          <w:spacing w:val="7"/>
          <w:lang w:eastAsia="zh-CN"/>
        </w:rPr>
      </w:pPr>
      <w:r w:rsidRPr="00A73A77">
        <w:rPr>
          <w:rFonts w:ascii="微软雅黑" w:eastAsia="微软雅黑" w:hAnsi="微软雅黑" w:cs="微软雅黑" w:hint="eastAsia"/>
          <w:noProof/>
          <w:spacing w:val="7"/>
          <w:lang w:eastAsia="zh-CN"/>
        </w:rPr>
        <w:t>美糖主力价格关注上方压力</w:t>
      </w:r>
      <w:r w:rsidRPr="00A73A77">
        <w:rPr>
          <w:rFonts w:ascii="微软雅黑" w:eastAsia="微软雅黑" w:hAnsi="微软雅黑" w:cs="微软雅黑"/>
          <w:noProof/>
          <w:spacing w:val="7"/>
          <w:lang w:eastAsia="zh-CN"/>
        </w:rPr>
        <w:t>15.8</w:t>
      </w:r>
      <w:r w:rsidRPr="00A73A77">
        <w:rPr>
          <w:rFonts w:ascii="微软雅黑" w:eastAsia="微软雅黑" w:hAnsi="微软雅黑" w:cs="微软雅黑" w:hint="eastAsia"/>
          <w:noProof/>
          <w:spacing w:val="7"/>
          <w:lang w:eastAsia="zh-CN"/>
        </w:rPr>
        <w:t>美分</w:t>
      </w:r>
      <w:r w:rsidRPr="00A73A77">
        <w:rPr>
          <w:rFonts w:ascii="微软雅黑" w:eastAsia="微软雅黑" w:hAnsi="微软雅黑" w:cs="微软雅黑"/>
          <w:noProof/>
          <w:spacing w:val="7"/>
          <w:lang w:eastAsia="zh-CN"/>
        </w:rPr>
        <w:t>/</w:t>
      </w:r>
      <w:r w:rsidRPr="00A73A77">
        <w:rPr>
          <w:rFonts w:ascii="微软雅黑" w:eastAsia="微软雅黑" w:hAnsi="微软雅黑" w:cs="微软雅黑" w:hint="eastAsia"/>
          <w:noProof/>
          <w:spacing w:val="7"/>
          <w:lang w:eastAsia="zh-CN"/>
        </w:rPr>
        <w:t>磅，下方支撑</w:t>
      </w:r>
      <w:r w:rsidRPr="00A73A77">
        <w:rPr>
          <w:rFonts w:ascii="微软雅黑" w:eastAsia="微软雅黑" w:hAnsi="微软雅黑" w:cs="微软雅黑"/>
          <w:noProof/>
          <w:spacing w:val="7"/>
          <w:lang w:eastAsia="zh-CN"/>
        </w:rPr>
        <w:t>13.80</w:t>
      </w:r>
      <w:r w:rsidRPr="00A73A77">
        <w:rPr>
          <w:rFonts w:ascii="微软雅黑" w:eastAsia="微软雅黑" w:hAnsi="微软雅黑" w:cs="微软雅黑" w:hint="eastAsia"/>
          <w:noProof/>
          <w:spacing w:val="7"/>
          <w:lang w:eastAsia="zh-CN"/>
        </w:rPr>
        <w:t>美分</w:t>
      </w:r>
      <w:r w:rsidRPr="00A73A77">
        <w:rPr>
          <w:rFonts w:ascii="微软雅黑" w:eastAsia="微软雅黑" w:hAnsi="微软雅黑" w:cs="微软雅黑"/>
          <w:noProof/>
          <w:spacing w:val="7"/>
          <w:lang w:eastAsia="zh-CN"/>
        </w:rPr>
        <w:t>/</w:t>
      </w:r>
      <w:r w:rsidRPr="00A73A77">
        <w:rPr>
          <w:rFonts w:ascii="微软雅黑" w:eastAsia="微软雅黑" w:hAnsi="微软雅黑" w:cs="微软雅黑" w:hint="eastAsia"/>
          <w:noProof/>
          <w:spacing w:val="7"/>
          <w:lang w:eastAsia="zh-CN"/>
        </w:rPr>
        <w:t>磅。建议</w:t>
      </w:r>
      <w:r w:rsidRPr="00A73A77">
        <w:rPr>
          <w:rFonts w:ascii="微软雅黑" w:eastAsia="微软雅黑" w:hAnsi="微软雅黑" w:cs="微软雅黑"/>
          <w:noProof/>
          <w:spacing w:val="7"/>
          <w:lang w:eastAsia="zh-CN"/>
        </w:rPr>
        <w:t>7</w:t>
      </w:r>
      <w:r w:rsidRPr="00A73A77">
        <w:rPr>
          <w:rFonts w:ascii="微软雅黑" w:eastAsia="微软雅黑" w:hAnsi="微软雅黑" w:cs="微软雅黑" w:hint="eastAsia"/>
          <w:noProof/>
          <w:spacing w:val="7"/>
          <w:lang w:eastAsia="zh-CN"/>
        </w:rPr>
        <w:t>月</w:t>
      </w:r>
      <w:r w:rsidRPr="00A73A77">
        <w:rPr>
          <w:rFonts w:ascii="微软雅黑" w:eastAsia="微软雅黑" w:hAnsi="微软雅黑" w:cs="微软雅黑"/>
          <w:noProof/>
          <w:spacing w:val="7"/>
          <w:lang w:eastAsia="zh-CN"/>
        </w:rPr>
        <w:t xml:space="preserve"> ICE </w:t>
      </w:r>
      <w:r w:rsidRPr="00A73A77">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28EF6E3" w:rsidR="007A477E" w:rsidRPr="00786136" w:rsidRDefault="00A73A77"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1888998" wp14:editId="331DCBAA">
            <wp:extent cx="5271770" cy="2170430"/>
            <wp:effectExtent l="0" t="0" r="5080" b="1270"/>
            <wp:docPr id="2083573480" name="图片 5" descr="QQ截图2026051307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QQ截图202605130759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2170430"/>
                    </a:xfrm>
                    <a:prstGeom prst="rect">
                      <a:avLst/>
                    </a:prstGeom>
                    <a:noFill/>
                    <a:ln>
                      <a:noFill/>
                    </a:ln>
                  </pic:spPr>
                </pic:pic>
              </a:graphicData>
            </a:graphic>
          </wp:inline>
        </w:drawing>
      </w:r>
    </w:p>
    <w:p w14:paraId="09F4430E" w14:textId="4F5B6BBC"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0773B8C" w14:textId="77777777" w:rsidR="00A73A77" w:rsidRPr="00A73A77" w:rsidRDefault="00A73A77" w:rsidP="00A73A77">
      <w:pPr>
        <w:spacing w:before="103" w:line="256" w:lineRule="auto"/>
        <w:ind w:right="210" w:firstLine="448"/>
        <w:jc w:val="both"/>
        <w:rPr>
          <w:rFonts w:ascii="微软雅黑" w:eastAsia="微软雅黑" w:hAnsi="微软雅黑" w:cs="微软雅黑"/>
          <w:noProof/>
          <w:spacing w:val="7"/>
          <w:lang w:eastAsia="zh-CN"/>
        </w:rPr>
      </w:pPr>
      <w:r w:rsidRPr="00A73A77">
        <w:rPr>
          <w:rFonts w:ascii="微软雅黑" w:eastAsia="微软雅黑" w:hAnsi="微软雅黑" w:cs="微软雅黑" w:hint="eastAsia"/>
          <w:noProof/>
          <w:spacing w:val="7"/>
          <w:lang w:eastAsia="zh-CN"/>
        </w:rPr>
        <w:lastRenderedPageBreak/>
        <w:t>洲际交易所</w:t>
      </w:r>
      <w:r w:rsidRPr="00A73A77">
        <w:rPr>
          <w:rFonts w:ascii="微软雅黑" w:eastAsia="微软雅黑" w:hAnsi="微软雅黑" w:cs="微软雅黑"/>
          <w:noProof/>
          <w:spacing w:val="7"/>
          <w:lang w:eastAsia="zh-CN"/>
        </w:rPr>
        <w:t>(ICE)</w:t>
      </w:r>
      <w:r w:rsidRPr="00A73A77">
        <w:rPr>
          <w:rFonts w:ascii="微软雅黑" w:eastAsia="微软雅黑" w:hAnsi="微软雅黑" w:cs="微软雅黑" w:hint="eastAsia"/>
          <w:noProof/>
          <w:spacing w:val="7"/>
          <w:lang w:eastAsia="zh-CN"/>
        </w:rPr>
        <w:t>棉花期货周二回落，受美元走强令价格承压，但美国农业部月度供需报告发出偏多信号后，市场仍持于逾两年高位附近。</w:t>
      </w:r>
      <w:r w:rsidRPr="00A73A77">
        <w:rPr>
          <w:rFonts w:ascii="微软雅黑" w:eastAsia="微软雅黑" w:hAnsi="微软雅黑" w:cs="微软雅黑"/>
          <w:noProof/>
          <w:spacing w:val="7"/>
          <w:lang w:eastAsia="zh-CN"/>
        </w:rPr>
        <w:t>ICE 7</w:t>
      </w:r>
      <w:r w:rsidRPr="00A73A77">
        <w:rPr>
          <w:rFonts w:ascii="微软雅黑" w:eastAsia="微软雅黑" w:hAnsi="微软雅黑" w:cs="微软雅黑" w:hint="eastAsia"/>
          <w:noProof/>
          <w:spacing w:val="7"/>
          <w:lang w:eastAsia="zh-CN"/>
        </w:rPr>
        <w:t>月棉花期货合约收跌</w:t>
      </w:r>
      <w:r w:rsidRPr="00A73A77">
        <w:rPr>
          <w:rFonts w:ascii="微软雅黑" w:eastAsia="微软雅黑" w:hAnsi="微软雅黑" w:cs="微软雅黑"/>
          <w:noProof/>
          <w:spacing w:val="7"/>
          <w:lang w:eastAsia="zh-CN"/>
        </w:rPr>
        <w:t>1.45</w:t>
      </w:r>
      <w:r w:rsidRPr="00A73A77">
        <w:rPr>
          <w:rFonts w:ascii="微软雅黑" w:eastAsia="微软雅黑" w:hAnsi="微软雅黑" w:cs="微软雅黑" w:hint="eastAsia"/>
          <w:noProof/>
          <w:spacing w:val="7"/>
          <w:lang w:eastAsia="zh-CN"/>
        </w:rPr>
        <w:t>美分，或</w:t>
      </w:r>
      <w:r w:rsidRPr="00A73A77">
        <w:rPr>
          <w:rFonts w:ascii="微软雅黑" w:eastAsia="微软雅黑" w:hAnsi="微软雅黑" w:cs="微软雅黑"/>
          <w:noProof/>
          <w:spacing w:val="7"/>
          <w:lang w:eastAsia="zh-CN"/>
        </w:rPr>
        <w:t>1.65%</w:t>
      </w:r>
      <w:r w:rsidRPr="00A73A77">
        <w:rPr>
          <w:rFonts w:ascii="微软雅黑" w:eastAsia="微软雅黑" w:hAnsi="微软雅黑" w:cs="微软雅黑" w:hint="eastAsia"/>
          <w:noProof/>
          <w:spacing w:val="7"/>
          <w:lang w:eastAsia="zh-CN"/>
        </w:rPr>
        <w:t>，结算价报每磅</w:t>
      </w:r>
      <w:r w:rsidRPr="00A73A77">
        <w:rPr>
          <w:rFonts w:ascii="微软雅黑" w:eastAsia="微软雅黑" w:hAnsi="微软雅黑" w:cs="微软雅黑"/>
          <w:noProof/>
          <w:spacing w:val="7"/>
          <w:lang w:eastAsia="zh-CN"/>
        </w:rPr>
        <w:t>86.32</w:t>
      </w:r>
      <w:r w:rsidRPr="00A73A77">
        <w:rPr>
          <w:rFonts w:ascii="微软雅黑" w:eastAsia="微软雅黑" w:hAnsi="微软雅黑" w:cs="微软雅黑" w:hint="eastAsia"/>
          <w:noProof/>
          <w:spacing w:val="7"/>
          <w:lang w:eastAsia="zh-CN"/>
        </w:rPr>
        <w:t>分。</w:t>
      </w:r>
    </w:p>
    <w:p w14:paraId="722F5E7C" w14:textId="49342E6B" w:rsidR="00944987" w:rsidRPr="00944987" w:rsidRDefault="00A73A77" w:rsidP="00A73A77">
      <w:pPr>
        <w:spacing w:before="103" w:line="256" w:lineRule="auto"/>
        <w:ind w:right="210" w:firstLine="448"/>
        <w:jc w:val="both"/>
        <w:rPr>
          <w:rFonts w:ascii="微软雅黑" w:eastAsia="微软雅黑" w:hAnsi="微软雅黑" w:cs="微软雅黑" w:hint="eastAsia"/>
          <w:noProof/>
          <w:spacing w:val="7"/>
          <w:lang w:eastAsia="zh-CN"/>
        </w:rPr>
      </w:pPr>
      <w:r w:rsidRPr="00A73A77">
        <w:rPr>
          <w:rFonts w:ascii="微软雅黑" w:eastAsia="微软雅黑" w:hAnsi="微软雅黑" w:cs="微软雅黑" w:hint="eastAsia"/>
          <w:noProof/>
          <w:spacing w:val="7"/>
          <w:lang w:eastAsia="zh-CN"/>
        </w:rPr>
        <w:t>国际方面，据美国农业部</w:t>
      </w:r>
      <w:r w:rsidRPr="00A73A77">
        <w:rPr>
          <w:rFonts w:ascii="微软雅黑" w:eastAsia="微软雅黑" w:hAnsi="微软雅黑" w:cs="微软雅黑"/>
          <w:noProof/>
          <w:spacing w:val="7"/>
          <w:lang w:eastAsia="zh-CN"/>
        </w:rPr>
        <w:t>(USDA)</w:t>
      </w:r>
      <w:r w:rsidRPr="00A73A77">
        <w:rPr>
          <w:rFonts w:ascii="微软雅黑" w:eastAsia="微软雅黑" w:hAnsi="微软雅黑" w:cs="微软雅黑" w:hint="eastAsia"/>
          <w:noProof/>
          <w:spacing w:val="7"/>
          <w:lang w:eastAsia="zh-CN"/>
        </w:rPr>
        <w:t>报告显示，</w:t>
      </w:r>
      <w:r w:rsidRPr="00A73A77">
        <w:rPr>
          <w:rFonts w:ascii="微软雅黑" w:eastAsia="微软雅黑" w:hAnsi="微软雅黑" w:cs="微软雅黑"/>
          <w:noProof/>
          <w:spacing w:val="7"/>
          <w:lang w:eastAsia="zh-CN"/>
        </w:rPr>
        <w:t>4</w:t>
      </w:r>
      <w:r w:rsidRPr="00A73A77">
        <w:rPr>
          <w:rFonts w:ascii="微软雅黑" w:eastAsia="微软雅黑" w:hAnsi="微软雅黑" w:cs="微软雅黑" w:hint="eastAsia"/>
          <w:noProof/>
          <w:spacing w:val="7"/>
          <w:lang w:eastAsia="zh-CN"/>
        </w:rPr>
        <w:t>月</w:t>
      </w:r>
      <w:r w:rsidRPr="00A73A77">
        <w:rPr>
          <w:rFonts w:ascii="微软雅黑" w:eastAsia="微软雅黑" w:hAnsi="微软雅黑" w:cs="微软雅黑"/>
          <w:noProof/>
          <w:spacing w:val="7"/>
          <w:lang w:eastAsia="zh-CN"/>
        </w:rPr>
        <w:t>30</w:t>
      </w:r>
      <w:r w:rsidRPr="00A73A77">
        <w:rPr>
          <w:rFonts w:ascii="微软雅黑" w:eastAsia="微软雅黑" w:hAnsi="微软雅黑" w:cs="微软雅黑" w:hint="eastAsia"/>
          <w:noProof/>
          <w:spacing w:val="7"/>
          <w:lang w:eastAsia="zh-CN"/>
        </w:rPr>
        <w:t>日止当周，</w:t>
      </w:r>
      <w:r w:rsidRPr="00A73A77">
        <w:rPr>
          <w:rFonts w:ascii="微软雅黑" w:eastAsia="微软雅黑" w:hAnsi="微软雅黑" w:cs="微软雅黑"/>
          <w:noProof/>
          <w:spacing w:val="7"/>
          <w:lang w:eastAsia="zh-CN"/>
        </w:rPr>
        <w:t>2025/26</w:t>
      </w:r>
      <w:r w:rsidRPr="00A73A77">
        <w:rPr>
          <w:rFonts w:ascii="微软雅黑" w:eastAsia="微软雅黑" w:hAnsi="微软雅黑" w:cs="微软雅黑" w:hint="eastAsia"/>
          <w:noProof/>
          <w:spacing w:val="7"/>
          <w:lang w:eastAsia="zh-CN"/>
        </w:rPr>
        <w:t>年度美国陆地棉出口销售净增</w:t>
      </w:r>
      <w:r w:rsidRPr="00A73A77">
        <w:rPr>
          <w:rFonts w:ascii="微软雅黑" w:eastAsia="微软雅黑" w:hAnsi="微软雅黑" w:cs="微软雅黑"/>
          <w:noProof/>
          <w:spacing w:val="7"/>
          <w:lang w:eastAsia="zh-CN"/>
        </w:rPr>
        <w:t>12.33</w:t>
      </w:r>
      <w:r w:rsidRPr="00A73A77">
        <w:rPr>
          <w:rFonts w:ascii="微软雅黑" w:eastAsia="微软雅黑" w:hAnsi="微软雅黑" w:cs="微软雅黑" w:hint="eastAsia"/>
          <w:noProof/>
          <w:spacing w:val="7"/>
          <w:lang w:eastAsia="zh-CN"/>
        </w:rPr>
        <w:t>万包，较前周减少</w:t>
      </w:r>
      <w:r w:rsidRPr="00A73A77">
        <w:rPr>
          <w:rFonts w:ascii="微软雅黑" w:eastAsia="微软雅黑" w:hAnsi="微软雅黑" w:cs="微软雅黑"/>
          <w:noProof/>
          <w:spacing w:val="7"/>
          <w:lang w:eastAsia="zh-CN"/>
        </w:rPr>
        <w:t>24%</w:t>
      </w:r>
      <w:r w:rsidRPr="00A73A77">
        <w:rPr>
          <w:rFonts w:ascii="微软雅黑" w:eastAsia="微软雅黑" w:hAnsi="微软雅黑" w:cs="微软雅黑" w:hint="eastAsia"/>
          <w:noProof/>
          <w:spacing w:val="7"/>
          <w:lang w:eastAsia="zh-CN"/>
        </w:rPr>
        <w:t>，较前四周均值减少</w:t>
      </w:r>
      <w:r w:rsidRPr="00A73A77">
        <w:rPr>
          <w:rFonts w:ascii="微软雅黑" w:eastAsia="微软雅黑" w:hAnsi="微软雅黑" w:cs="微软雅黑"/>
          <w:noProof/>
          <w:spacing w:val="7"/>
          <w:lang w:eastAsia="zh-CN"/>
        </w:rPr>
        <w:t>35%</w:t>
      </w:r>
      <w:r w:rsidRPr="00A73A77">
        <w:rPr>
          <w:rFonts w:ascii="微软雅黑" w:eastAsia="微软雅黑" w:hAnsi="微软雅黑" w:cs="微软雅黑" w:hint="eastAsia"/>
          <w:noProof/>
          <w:spacing w:val="7"/>
          <w:lang w:eastAsia="zh-CN"/>
        </w:rPr>
        <w:t>。</w:t>
      </w:r>
      <w:r w:rsidRPr="00A73A77">
        <w:rPr>
          <w:rFonts w:ascii="微软雅黑" w:eastAsia="微软雅黑" w:hAnsi="微软雅黑" w:cs="微软雅黑"/>
          <w:noProof/>
          <w:spacing w:val="7"/>
          <w:lang w:eastAsia="zh-CN"/>
        </w:rPr>
        <w:t>2025/26</w:t>
      </w:r>
      <w:r w:rsidRPr="00A73A77">
        <w:rPr>
          <w:rFonts w:ascii="微软雅黑" w:eastAsia="微软雅黑" w:hAnsi="微软雅黑" w:cs="微软雅黑" w:hint="eastAsia"/>
          <w:noProof/>
          <w:spacing w:val="7"/>
          <w:lang w:eastAsia="zh-CN"/>
        </w:rPr>
        <w:t>年度美国陆地棉出口装运量</w:t>
      </w:r>
      <w:r w:rsidRPr="00A73A77">
        <w:rPr>
          <w:rFonts w:ascii="微软雅黑" w:eastAsia="微软雅黑" w:hAnsi="微软雅黑" w:cs="微软雅黑"/>
          <w:noProof/>
          <w:spacing w:val="7"/>
          <w:lang w:eastAsia="zh-CN"/>
        </w:rPr>
        <w:t>32.75</w:t>
      </w:r>
      <w:r w:rsidRPr="00A73A77">
        <w:rPr>
          <w:rFonts w:ascii="微软雅黑" w:eastAsia="微软雅黑" w:hAnsi="微软雅黑" w:cs="微软雅黑" w:hint="eastAsia"/>
          <w:noProof/>
          <w:spacing w:val="7"/>
          <w:lang w:eastAsia="zh-CN"/>
        </w:rPr>
        <w:t>万包，较前周减少</w:t>
      </w:r>
      <w:r w:rsidRPr="00A73A77">
        <w:rPr>
          <w:rFonts w:ascii="微软雅黑" w:eastAsia="微软雅黑" w:hAnsi="微软雅黑" w:cs="微软雅黑"/>
          <w:noProof/>
          <w:spacing w:val="7"/>
          <w:lang w:eastAsia="zh-CN"/>
        </w:rPr>
        <w:t>15%</w:t>
      </w:r>
      <w:r w:rsidRPr="00A73A77">
        <w:rPr>
          <w:rFonts w:ascii="微软雅黑" w:eastAsia="微软雅黑" w:hAnsi="微软雅黑" w:cs="微软雅黑" w:hint="eastAsia"/>
          <w:noProof/>
          <w:spacing w:val="7"/>
          <w:lang w:eastAsia="zh-CN"/>
        </w:rPr>
        <w:t>，较前四周平均水平减少</w:t>
      </w:r>
      <w:r w:rsidRPr="00A73A77">
        <w:rPr>
          <w:rFonts w:ascii="微软雅黑" w:eastAsia="微软雅黑" w:hAnsi="微软雅黑" w:cs="微软雅黑"/>
          <w:noProof/>
          <w:spacing w:val="7"/>
          <w:lang w:eastAsia="zh-CN"/>
        </w:rPr>
        <w:t>1%</w:t>
      </w:r>
      <w:r w:rsidRPr="00A73A77">
        <w:rPr>
          <w:rFonts w:ascii="微软雅黑" w:eastAsia="微软雅黑" w:hAnsi="微软雅黑" w:cs="微软雅黑" w:hint="eastAsia"/>
          <w:noProof/>
          <w:spacing w:val="7"/>
          <w:lang w:eastAsia="zh-CN"/>
        </w:rPr>
        <w:t>。当周美国棉花出口签约量、装船量环比均减少</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C0DB0A3" w:rsidR="00C24CC6" w:rsidRDefault="00A73A77"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3F4CF578" wp14:editId="2095EFD0">
            <wp:extent cx="5271770" cy="2106930"/>
            <wp:effectExtent l="0" t="0" r="5080" b="7620"/>
            <wp:docPr id="1046575017" name="图片 6" descr="QQ截图2026051307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QQ截图202605130759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06930"/>
                    </a:xfrm>
                    <a:prstGeom prst="rect">
                      <a:avLst/>
                    </a:prstGeom>
                    <a:noFill/>
                    <a:ln>
                      <a:noFill/>
                    </a:ln>
                  </pic:spPr>
                </pic:pic>
              </a:graphicData>
            </a:graphic>
          </wp:inline>
        </w:drawing>
      </w:r>
    </w:p>
    <w:p w14:paraId="603C6A61" w14:textId="34B3FE15"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lastRenderedPageBreak/>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A5EFA" w14:textId="77777777" w:rsidR="005D141A" w:rsidRDefault="005D141A">
      <w:pPr>
        <w:ind w:right="210" w:firstLine="420"/>
      </w:pPr>
      <w:r>
        <w:separator/>
      </w:r>
    </w:p>
  </w:endnote>
  <w:endnote w:type="continuationSeparator" w:id="0">
    <w:p w14:paraId="526FC3C9" w14:textId="77777777" w:rsidR="005D141A" w:rsidRDefault="005D141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223CE" w14:textId="77777777" w:rsidR="005D141A" w:rsidRDefault="005D141A">
      <w:pPr>
        <w:ind w:right="210" w:firstLine="420"/>
      </w:pPr>
      <w:r>
        <w:separator/>
      </w:r>
    </w:p>
  </w:footnote>
  <w:footnote w:type="continuationSeparator" w:id="0">
    <w:p w14:paraId="2C181F07" w14:textId="77777777" w:rsidR="005D141A" w:rsidRDefault="005D141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795</Words>
  <Characters>4532</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2026-05-13T01:20:00Z</dcterms:created>
  <dcterms:modified xsi:type="dcterms:W3CDTF">2026-05-13T01:20:00Z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