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7D897041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291822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DB4FF3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BD659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4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7EEFB9F4" w14:textId="3A39778D" w:rsidR="007B3E0B" w:rsidRDefault="00BD6596" w:rsidP="00426F5F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BD6596">
        <w:rPr>
          <w:rFonts w:ascii="微软雅黑" w:eastAsia="微软雅黑" w:hAnsi="微软雅黑" w:cs="微软雅黑"/>
          <w:spacing w:val="12"/>
          <w:lang w:eastAsia="zh-CN"/>
        </w:rPr>
        <w:t>美国三大股指收盘涨跌不一，道指跌0.14%报49693.2点，</w:t>
      </w:r>
      <w:proofErr w:type="gramStart"/>
      <w:r w:rsidRPr="00BD6596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BD6596">
        <w:rPr>
          <w:rFonts w:ascii="微软雅黑" w:eastAsia="微软雅黑" w:hAnsi="微软雅黑" w:cs="微软雅黑"/>
          <w:spacing w:val="12"/>
          <w:lang w:eastAsia="zh-CN"/>
        </w:rPr>
        <w:t>500指数涨0.58%报7444.25点，</w:t>
      </w:r>
      <w:proofErr w:type="gramStart"/>
      <w:r w:rsidRPr="00BD6596">
        <w:rPr>
          <w:rFonts w:ascii="微软雅黑" w:eastAsia="微软雅黑" w:hAnsi="微软雅黑" w:cs="微软雅黑"/>
          <w:spacing w:val="12"/>
          <w:lang w:eastAsia="zh-CN"/>
        </w:rPr>
        <w:t>纳指涨</w:t>
      </w:r>
      <w:proofErr w:type="gramEnd"/>
      <w:r w:rsidRPr="00BD6596">
        <w:rPr>
          <w:rFonts w:ascii="微软雅黑" w:eastAsia="微软雅黑" w:hAnsi="微软雅黑" w:cs="微软雅黑"/>
          <w:spacing w:val="12"/>
          <w:lang w:eastAsia="zh-CN"/>
        </w:rPr>
        <w:t>1.2%报26402.34点。</w:t>
      </w:r>
      <w:r w:rsidR="00C849BE" w:rsidRPr="00C849BE">
        <w:rPr>
          <w:rFonts w:ascii="微软雅黑" w:eastAsia="微软雅黑" w:hAnsi="微软雅黑" w:cs="微软雅黑"/>
          <w:b/>
          <w:bCs/>
          <w:spacing w:val="12"/>
          <w:lang w:eastAsia="zh-CN"/>
        </w:rPr>
        <w:t>美</w:t>
      </w:r>
      <w:r w:rsidR="00C849BE" w:rsidRPr="00C849BE">
        <w:rPr>
          <w:rFonts w:ascii="微软雅黑" w:eastAsia="微软雅黑" w:hAnsi="微软雅黑" w:cs="微软雅黑"/>
          <w:spacing w:val="12"/>
          <w:lang w:eastAsia="zh-CN"/>
        </w:rPr>
        <w:t>元指数涨0.20%报98.48，非美货币涨跌不一，欧元兑美元跌0.23%报1.1714，英镑兑美元跌0.12%报1.3524，澳元兑美元涨0.26%报0.7258，美元兑日元涨0.18%报157.8925，美元兑加元涨0.07%报1.3707，美元兑</w:t>
      </w:r>
      <w:proofErr w:type="gramStart"/>
      <w:r w:rsidR="00C849BE" w:rsidRPr="00C849BE">
        <w:rPr>
          <w:rFonts w:ascii="微软雅黑" w:eastAsia="微软雅黑" w:hAnsi="微软雅黑" w:cs="微软雅黑"/>
          <w:spacing w:val="12"/>
          <w:lang w:eastAsia="zh-CN"/>
        </w:rPr>
        <w:t>瑞郎涨</w:t>
      </w:r>
      <w:proofErr w:type="gramEnd"/>
      <w:r w:rsidR="00C849BE" w:rsidRPr="00C849BE">
        <w:rPr>
          <w:rFonts w:ascii="微软雅黑" w:eastAsia="微软雅黑" w:hAnsi="微软雅黑" w:cs="微软雅黑"/>
          <w:spacing w:val="12"/>
          <w:lang w:eastAsia="zh-CN"/>
        </w:rPr>
        <w:t>0.18%报0.7820，离岸人民币对美元涨36个基点报6.7873。国际贵金属期货普遍收涨，COMEX黄金期货涨0.22%报4697.10美元/盎司，COMEX白银期货涨3.00%报88.16美元/盎司。</w:t>
      </w:r>
      <w:proofErr w:type="gramStart"/>
      <w:r w:rsidR="00C849BE" w:rsidRPr="00C849BE">
        <w:rPr>
          <w:rFonts w:ascii="微软雅黑" w:eastAsia="微软雅黑" w:hAnsi="微软雅黑" w:cs="微软雅黑"/>
          <w:spacing w:val="12"/>
          <w:lang w:eastAsia="zh-CN"/>
        </w:rPr>
        <w:t>美油主力合约收跌</w:t>
      </w:r>
      <w:proofErr w:type="gramEnd"/>
      <w:r w:rsidR="00C849BE" w:rsidRPr="00C849BE">
        <w:rPr>
          <w:rFonts w:ascii="微软雅黑" w:eastAsia="微软雅黑" w:hAnsi="微软雅黑" w:cs="微软雅黑"/>
          <w:spacing w:val="12"/>
          <w:lang w:eastAsia="zh-CN"/>
        </w:rPr>
        <w:t>1.15%，报101.0美元/桶；</w:t>
      </w:r>
      <w:proofErr w:type="gramStart"/>
      <w:r w:rsidR="00C849BE" w:rsidRPr="00C849BE">
        <w:rPr>
          <w:rFonts w:ascii="微软雅黑" w:eastAsia="微软雅黑" w:hAnsi="微软雅黑" w:cs="微软雅黑"/>
          <w:spacing w:val="12"/>
          <w:lang w:eastAsia="zh-CN"/>
        </w:rPr>
        <w:t>布油主力</w:t>
      </w:r>
      <w:proofErr w:type="gramEnd"/>
      <w:r w:rsidR="00C849BE" w:rsidRPr="00C849BE">
        <w:rPr>
          <w:rFonts w:ascii="微软雅黑" w:eastAsia="微软雅黑" w:hAnsi="微软雅黑" w:cs="微软雅黑"/>
          <w:spacing w:val="12"/>
          <w:lang w:eastAsia="zh-CN"/>
        </w:rPr>
        <w:t>合约跌1.90%，报105.72美元/桶。</w:t>
      </w:r>
      <w:r w:rsidR="007B3E0B" w:rsidRPr="00426F5F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426F5F">
        <w:rPr>
          <w:rFonts w:ascii="微软雅黑" w:eastAsia="微软雅黑" w:hAnsi="微软雅黑" w:cs="微软雅黑" w:hint="eastAsia"/>
          <w:spacing w:val="12"/>
          <w:lang w:eastAsia="zh-CN"/>
        </w:rPr>
        <w:t>原糖主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力合约</w:t>
      </w:r>
      <w:r w:rsidR="00DB4FF3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="00C849BE">
        <w:rPr>
          <w:rFonts w:ascii="微软雅黑" w:eastAsia="微软雅黑" w:hAnsi="微软雅黑" w:cs="微软雅黑" w:hint="eastAsia"/>
          <w:spacing w:val="12"/>
          <w:lang w:eastAsia="zh-CN"/>
        </w:rPr>
        <w:t>2.53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1</w:t>
      </w:r>
      <w:r w:rsidR="00C849BE">
        <w:rPr>
          <w:rFonts w:ascii="微软雅黑" w:eastAsia="微软雅黑" w:hAnsi="微软雅黑" w:cs="微软雅黑" w:hint="eastAsia"/>
          <w:spacing w:val="12"/>
          <w:lang w:eastAsia="zh-CN"/>
        </w:rPr>
        <w:t>5.39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/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C849BE">
        <w:rPr>
          <w:rFonts w:ascii="微软雅黑" w:eastAsia="微软雅黑" w:hAnsi="微软雅黑" w:cs="微软雅黑" w:hint="eastAsia"/>
          <w:spacing w:val="12"/>
          <w:lang w:eastAsia="zh-CN"/>
        </w:rPr>
        <w:t>涨0.82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C849BE">
        <w:rPr>
          <w:rFonts w:ascii="微软雅黑" w:eastAsia="微软雅黑" w:hAnsi="微软雅黑" w:cs="微软雅黑" w:hint="eastAsia"/>
          <w:spacing w:val="12"/>
          <w:lang w:eastAsia="zh-CN"/>
        </w:rPr>
        <w:t>87.03/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D931740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3A62B074" w:rsidR="00557736" w:rsidRPr="0022448B" w:rsidRDefault="00C849BE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39CD6F65" wp14:editId="634E9220">
            <wp:extent cx="5735956" cy="3787608"/>
            <wp:effectExtent l="0" t="0" r="0" b="3810"/>
            <wp:docPr id="86128160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32" cy="3790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7535C52D" w14:textId="3E70F721" w:rsidR="00B539F7" w:rsidRPr="00C849BE" w:rsidRDefault="00B539F7" w:rsidP="00B539F7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E96B67"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  <w:t>【</w:t>
      </w:r>
      <w:r w:rsidR="00C849BE" w:rsidRPr="00C849BE">
        <w:rPr>
          <w:rFonts w:ascii="微软雅黑" w:eastAsia="微软雅黑" w:hAnsi="微软雅黑" w:cs="微软雅黑"/>
          <w:color w:val="auto"/>
          <w:spacing w:val="4"/>
          <w:lang w:eastAsia="zh-CN"/>
        </w:rPr>
        <w:t>美国总统特朗普5月13日晚乘专机抵达北京，开始对中国进行为期3天的国事访问。AI芯片龙头英伟达CEO黄仁勋在最后一刻受邀加入访华代表团。外交部发言人郭嘉昆表示，中方愿同美方一道，秉持平等、尊重、互惠的精神，扩大合作，管控分歧，为变乱交织的世界注入更多的稳定性和确定性。</w:t>
      </w:r>
      <w:r w:rsidRPr="00C849B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8EDC742" w14:textId="797D5934" w:rsidR="00D16A8F" w:rsidRPr="00C849BE" w:rsidRDefault="00B539F7" w:rsidP="00EE78C7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C849B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C849BE" w:rsidRPr="00C849BE">
        <w:rPr>
          <w:rFonts w:ascii="微软雅黑" w:eastAsia="微软雅黑" w:hAnsi="微软雅黑" w:cs="微软雅黑"/>
          <w:color w:val="auto"/>
          <w:spacing w:val="4"/>
          <w:lang w:eastAsia="zh-CN"/>
        </w:rPr>
        <w:t>美国参议院正式批准凯文·沃什出任美联储主席。参议院此前已批准沃什担任美联储理事，为期14年。随着本次主席任命获得通过，沃什将在完成白宫相关签署程序后正式履职，接替任期将于5月15日结束的现任主席鲍威尔。</w:t>
      </w:r>
      <w:r w:rsidRPr="00C849B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0061F47" w14:textId="389CDD0F" w:rsidR="00DB4FF3" w:rsidRPr="00C849BE" w:rsidRDefault="00DB4FF3" w:rsidP="00EE78C7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C849B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C849BE" w:rsidRPr="00C849BE">
        <w:rPr>
          <w:rFonts w:ascii="微软雅黑" w:eastAsia="微软雅黑" w:hAnsi="微软雅黑" w:cs="微软雅黑"/>
          <w:color w:val="auto"/>
          <w:spacing w:val="4"/>
          <w:lang w:eastAsia="zh-CN"/>
        </w:rPr>
        <w:t>美国4月PPI同比上涨6%，创2022年12月以来最高水平，核心PPI同比上涨5.2%，均远超市场预期。能源与运输成本双双攀升，服务业通胀创四年高位。PPI通胀意外“爆表”令美联储加息预期升温，市场预计年内加息25个基点的概率已升至约50%。</w:t>
      </w:r>
      <w:r w:rsidRPr="00C849B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2230CBF" w14:textId="2889172E" w:rsidR="00116B4A" w:rsidRPr="00C849BE" w:rsidRDefault="00116B4A" w:rsidP="00EE78C7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C849B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C849BE" w:rsidRPr="00C849BE">
        <w:rPr>
          <w:rFonts w:ascii="微软雅黑" w:eastAsia="微软雅黑" w:hAnsi="微软雅黑" w:cs="微软雅黑"/>
          <w:color w:val="auto"/>
          <w:spacing w:val="4"/>
          <w:lang w:eastAsia="zh-CN"/>
        </w:rPr>
        <w:t>美国长期国债市场拉响“警报”。美国财政部完成250亿美元30年期国债标售，最终得标利率为5.046%。这是美国财政部自2007年8月以来首次发行票息达到5%的30年期国债。30年期美债收益率被视为全球金融市场最关键的长期利率锚之一。</w:t>
      </w:r>
      <w:r w:rsidRPr="00C849B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762039C" w14:textId="4C80C598" w:rsidR="008A04B9" w:rsidRPr="00C849BE" w:rsidRDefault="008A04B9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C849B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C849BE" w:rsidRPr="00C849BE">
        <w:rPr>
          <w:rFonts w:ascii="微软雅黑" w:eastAsia="微软雅黑" w:hAnsi="微软雅黑" w:cs="微软雅黑"/>
          <w:color w:val="auto"/>
          <w:spacing w:val="4"/>
          <w:lang w:eastAsia="zh-CN"/>
        </w:rPr>
        <w:t>欧洲央行管委科赫尔表示，欧洲央行必须在6月制定货币政策时决定是加息还是维持利率不变。欧洲央行管委雷恩警告称，受伊朗战争和能源价格上涨影响，相关数据开始显示出滞胀迹象。</w:t>
      </w:r>
      <w:r w:rsidRPr="00C849B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188263E" w14:textId="02B6055E" w:rsidR="00116B4A" w:rsidRPr="00C849BE" w:rsidRDefault="00116B4A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C849B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C849BE" w:rsidRPr="00C849BE">
        <w:rPr>
          <w:rFonts w:ascii="微软雅黑" w:eastAsia="微软雅黑" w:hAnsi="微软雅黑" w:cs="微软雅黑"/>
          <w:color w:val="auto"/>
          <w:spacing w:val="4"/>
          <w:lang w:eastAsia="zh-CN"/>
        </w:rPr>
        <w:t>经济合作与发展组织（OECD）在最新日本经济调查报告中表示，随着国内需求强劲支撑经济抵御外部冲击，预计日本央行的短期政策利率将在2027年底前从当前的0.75%逐步升至2%。</w:t>
      </w:r>
      <w:r w:rsidRPr="00C849B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AD13D32" w14:textId="3B425A70" w:rsidR="00116B4A" w:rsidRPr="000F04E9" w:rsidRDefault="00116B4A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C849B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C849BE" w:rsidRPr="00C849BE">
        <w:rPr>
          <w:rFonts w:ascii="微软雅黑" w:eastAsia="微软雅黑" w:hAnsi="微软雅黑" w:cs="微软雅黑"/>
          <w:color w:val="auto"/>
          <w:spacing w:val="4"/>
          <w:lang w:eastAsia="zh-CN"/>
        </w:rPr>
        <w:t>由于英国工党在地方选举中惨败，英国首相斯塔默连日来陷入执政危机。英国卫生大臣斯特里廷身边人士称，斯特里廷已准备辞职竞选工党党首。苏格兰民族党表示，将在英国议会推进不信任动议，以决定首相斯塔默的去留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C6C6D3A" w14:textId="77777777" w:rsidR="00BB0447" w:rsidRDefault="00BB0447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653A5D" w:rsidRPr="00653A5D" w14:paraId="1D7AD70B" w14:textId="77777777" w:rsidTr="002B6785">
        <w:trPr>
          <w:trHeight w:val="620"/>
        </w:trPr>
        <w:tc>
          <w:tcPr>
            <w:tcW w:w="2865" w:type="dxa"/>
            <w:shd w:val="clear" w:color="auto" w:fill="3D85C1"/>
          </w:tcPr>
          <w:p w14:paraId="30572D81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</w:rPr>
            </w:pPr>
            <w:bookmarkStart w:id="0" w:name="_Hlk185920439"/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B797499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</w:rPr>
            </w:pPr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数据</w:t>
            </w:r>
            <w:proofErr w:type="spellEnd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/</w:t>
            </w:r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C849BE" w:rsidRPr="006318FC" w14:paraId="5B8E297F" w14:textId="77777777" w:rsidTr="009119B8">
        <w:trPr>
          <w:trHeight w:val="652"/>
        </w:trPr>
        <w:tc>
          <w:tcPr>
            <w:tcW w:w="1701" w:type="dxa"/>
          </w:tcPr>
          <w:bookmarkEnd w:id="0"/>
          <w:p w14:paraId="4567D2AE" w14:textId="612B0D1E" w:rsidR="00C849BE" w:rsidRPr="00DB4FF3" w:rsidRDefault="00C849BE" w:rsidP="00C849B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C849B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2026/5/14</w:t>
            </w:r>
          </w:p>
        </w:tc>
        <w:tc>
          <w:tcPr>
            <w:tcW w:w="1314" w:type="dxa"/>
          </w:tcPr>
          <w:p w14:paraId="3B0A4895" w14:textId="38CCC62A" w:rsidR="00C849BE" w:rsidRPr="0025412C" w:rsidRDefault="00C849BE" w:rsidP="00C849B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C849B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14:00</w:t>
            </w:r>
          </w:p>
        </w:tc>
        <w:tc>
          <w:tcPr>
            <w:tcW w:w="6344" w:type="dxa"/>
          </w:tcPr>
          <w:p w14:paraId="148F6123" w14:textId="6D4B379D" w:rsidR="00C849BE" w:rsidRPr="00E15A36" w:rsidRDefault="00C849BE" w:rsidP="00C849B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C849B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英国第一季度 GDP 初值</w:t>
            </w:r>
          </w:p>
        </w:tc>
      </w:tr>
      <w:tr w:rsidR="00C849BE" w:rsidRPr="006318FC" w14:paraId="11459514" w14:textId="77777777" w:rsidTr="00257AE9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36E77A1" w14:textId="49EF3134" w:rsidR="00C849BE" w:rsidRPr="00257AE9" w:rsidRDefault="00C849BE" w:rsidP="00C849B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C849B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2026/5/14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2FF031BB" w14:textId="4691F40E" w:rsidR="00C849BE" w:rsidRPr="0025412C" w:rsidRDefault="00C849BE" w:rsidP="00C849B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C849B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2CB0AF66" w14:textId="231687AC" w:rsidR="00C849BE" w:rsidRPr="00653A5D" w:rsidRDefault="00C849BE" w:rsidP="00C849B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C849B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美国至 5 月 9 日当周初请失业</w:t>
            </w:r>
            <w:proofErr w:type="gramStart"/>
            <w:r w:rsidRPr="00C849B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金人数</w:t>
            </w:r>
            <w:proofErr w:type="gramEnd"/>
          </w:p>
        </w:tc>
      </w:tr>
      <w:tr w:rsidR="00C849BE" w:rsidRPr="006318FC" w14:paraId="6909C618" w14:textId="77777777" w:rsidTr="00257AE9">
        <w:trPr>
          <w:trHeight w:val="652"/>
        </w:trPr>
        <w:tc>
          <w:tcPr>
            <w:tcW w:w="1701" w:type="dxa"/>
          </w:tcPr>
          <w:p w14:paraId="5D2365DD" w14:textId="344B8C7F" w:rsidR="00C849BE" w:rsidRPr="00257AE9" w:rsidRDefault="00C849BE" w:rsidP="00C849B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C849B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2026/5/14</w:t>
            </w:r>
          </w:p>
        </w:tc>
        <w:tc>
          <w:tcPr>
            <w:tcW w:w="1314" w:type="dxa"/>
          </w:tcPr>
          <w:p w14:paraId="3207B1F8" w14:textId="77786100" w:rsidR="00C849BE" w:rsidRPr="001C51A4" w:rsidRDefault="00C849BE" w:rsidP="00C849B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C849B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20:30</w:t>
            </w:r>
          </w:p>
        </w:tc>
        <w:tc>
          <w:tcPr>
            <w:tcW w:w="6344" w:type="dxa"/>
          </w:tcPr>
          <w:p w14:paraId="6C433309" w14:textId="566EE6C3" w:rsidR="00C849BE" w:rsidRPr="00257AE9" w:rsidRDefault="00C849BE" w:rsidP="00C849B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C849B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美国 4 月零售销售</w:t>
            </w:r>
          </w:p>
        </w:tc>
      </w:tr>
      <w:tr w:rsidR="00C849BE" w:rsidRPr="006318FC" w14:paraId="5ADDDF6C" w14:textId="77777777" w:rsidTr="00257AE9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63129765" w14:textId="78394FC0" w:rsidR="00C849BE" w:rsidRPr="00DB4FF3" w:rsidRDefault="00C849BE" w:rsidP="00C849B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C849B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2026/5/14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B46F7E6" w14:textId="33DB5435" w:rsidR="00C849BE" w:rsidRPr="009A23B2" w:rsidRDefault="00C849BE" w:rsidP="00C849B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  <w:t>——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4CA11635" w14:textId="0E35ADCF" w:rsidR="00C849BE" w:rsidRPr="000F04E9" w:rsidRDefault="00C849BE" w:rsidP="00C849B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C849B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美国总统特朗普对中国进行国事访问。</w:t>
            </w:r>
          </w:p>
        </w:tc>
      </w:tr>
    </w:tbl>
    <w:p w14:paraId="61DAEED5" w14:textId="77777777" w:rsidR="00904B93" w:rsidRPr="00653A5D" w:rsidRDefault="00904B93" w:rsidP="006E4A37">
      <w:pPr>
        <w:spacing w:before="102" w:line="257" w:lineRule="auto"/>
        <w:ind w:right="210" w:firstLine="392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48099B96" w14:textId="77777777" w:rsidR="0089419C" w:rsidRPr="0089419C" w:rsidRDefault="0089419C" w:rsidP="0089419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0.20%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98.48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，非美货币涨跌不一，欧元兑美元跌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0.23%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1.1714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0.12%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1.3524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0.18%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157.8925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3A2A55B" w14:textId="77777777" w:rsidR="0089419C" w:rsidRPr="0089419C" w:rsidRDefault="0089419C" w:rsidP="0089419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宏观数据方面，美国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同比涨幅攀升至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6%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，为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2022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月以来最高，核心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亦升至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5.2%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，均远超预期。能源与运输成本同步上行，服务业通胀创近四年新高，表明价格压力正向更广领域扩散。数据公布后，市场对美联储进一步收紧政策的预期明显升温，利率期货隐含年内加息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个基点的概率升至约</w:t>
      </w:r>
      <w:r w:rsidRPr="0089419C">
        <w:rPr>
          <w:rFonts w:ascii="微软雅黑" w:eastAsia="微软雅黑" w:hAnsi="微软雅黑" w:cs="微软雅黑"/>
          <w:spacing w:val="7"/>
          <w:lang w:eastAsia="zh-CN"/>
        </w:rPr>
        <w:t>50%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。地缘方面，美伊停火遥遥无期，双方未能就和平协议达成一致，霍尔木兹海峡延续紧张态势，但市场对于尾部风险定价逐步转弱，市场风险偏好整体趋于上行，美元上方或存在较强阻力。展望后</w:t>
      </w: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市，地缘避险需求及鹰派联储基调提供潜在支撑，但若美伊停火提前达成，亦可能导致美元显著回落，短期美元走势或仍以区间震荡为主。</w:t>
      </w:r>
    </w:p>
    <w:p w14:paraId="502379A4" w14:textId="01AE6210" w:rsidR="002760F0" w:rsidRPr="002760F0" w:rsidRDefault="0089419C" w:rsidP="0089419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非美方面，前期油价高位回落一度带动欧央行紧缩预期边际收敛，但在美伊局势反复、输入型通胀压力仍未完全消退的背景下，市场对欧央行年内政策路径分歧有所加剧，能源价格高企与外需不确定性继续压制企业预期，消费者及企业信心指数表现偏弱。日本央行近期展开货币干预，短线对日元形成支撑，前期日央行虽维持利率按兵不动，但内部政策分歧显著加剧，能源价格风险推动后续加息预期边际上行。展望后市，美伊停火预期反复摇摆，美元受避险需求提</w:t>
      </w:r>
      <w:proofErr w:type="gramStart"/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振持续</w:t>
      </w:r>
      <w:proofErr w:type="gramEnd"/>
      <w:r w:rsidRPr="0089419C">
        <w:rPr>
          <w:rFonts w:ascii="微软雅黑" w:eastAsia="微软雅黑" w:hAnsi="微软雅黑" w:cs="微软雅黑" w:hint="eastAsia"/>
          <w:spacing w:val="7"/>
          <w:lang w:eastAsia="zh-CN"/>
        </w:rPr>
        <w:t>偏强运行，非美货币短期内或延续震荡拉锯走势</w:t>
      </w:r>
      <w:r w:rsidR="00D673DE" w:rsidRPr="00D673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0A718A7E" w:rsidR="007A477E" w:rsidRDefault="0089419C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黑体" w:eastAsia="黑体" w:hAnsi="黑体" w:cs="黑体" w:hint="eastAsia"/>
          <w:noProof/>
          <w:color w:val="2C3E50"/>
          <w:sz w:val="24"/>
          <w:shd w:val="clear" w:color="auto" w:fill="FFFFFF"/>
          <w:lang w:bidi="ar"/>
        </w:rPr>
        <w:drawing>
          <wp:inline distT="0" distB="0" distL="114300" distR="114300" wp14:anchorId="40DAB29B" wp14:editId="2102ABF1">
            <wp:extent cx="4701540" cy="2178050"/>
            <wp:effectExtent l="0" t="0" r="3810" b="12700"/>
            <wp:docPr id="584274469" name="图片 584274469" descr="1778719527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787195278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A6408" w14:textId="5D503C7E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/>
          <w:spacing w:val="7"/>
          <w:lang w:eastAsia="zh-CN"/>
        </w:rPr>
        <w:t>iFind</w:t>
      </w:r>
      <w:proofErr w:type="spellEnd"/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00EA59EF" w14:textId="0A9149C8" w:rsidR="00D673DE" w:rsidRPr="00D673DE" w:rsidRDefault="00C849BE" w:rsidP="00D673DE">
      <w:pPr>
        <w:spacing w:before="103" w:line="256" w:lineRule="auto"/>
        <w:ind w:right="21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849BE">
        <w:rPr>
          <w:rFonts w:ascii="微软雅黑" w:eastAsia="微软雅黑" w:hAnsi="微软雅黑" w:cs="微软雅黑"/>
          <w:spacing w:val="7"/>
          <w:lang w:eastAsia="zh-CN"/>
        </w:rPr>
        <w:t>截至5月13日，</w:t>
      </w:r>
      <w:proofErr w:type="gramStart"/>
      <w:r w:rsidRPr="00C849BE">
        <w:rPr>
          <w:rFonts w:ascii="微软雅黑" w:eastAsia="微软雅黑" w:hAnsi="微软雅黑" w:cs="微软雅黑"/>
          <w:spacing w:val="7"/>
          <w:lang w:eastAsia="zh-CN"/>
        </w:rPr>
        <w:t>标普</w:t>
      </w:r>
      <w:proofErr w:type="gramEnd"/>
      <w:r w:rsidRPr="00C849BE">
        <w:rPr>
          <w:rFonts w:ascii="微软雅黑" w:eastAsia="微软雅黑" w:hAnsi="微软雅黑" w:cs="微软雅黑"/>
          <w:spacing w:val="7"/>
          <w:lang w:eastAsia="zh-CN"/>
        </w:rPr>
        <w:t>500指数上涨0.58%至7444.25点；</w:t>
      </w:r>
      <w:proofErr w:type="gramStart"/>
      <w:r w:rsidRPr="00C849BE">
        <w:rPr>
          <w:rFonts w:ascii="微软雅黑" w:eastAsia="微软雅黑" w:hAnsi="微软雅黑" w:cs="微软雅黑"/>
          <w:spacing w:val="7"/>
          <w:lang w:eastAsia="zh-CN"/>
        </w:rPr>
        <w:t>迷你标普</w:t>
      </w:r>
      <w:proofErr w:type="gramEnd"/>
      <w:r w:rsidRPr="00C849BE">
        <w:rPr>
          <w:rFonts w:ascii="微软雅黑" w:eastAsia="微软雅黑" w:hAnsi="微软雅黑" w:cs="微软雅黑"/>
          <w:spacing w:val="7"/>
          <w:lang w:eastAsia="zh-CN"/>
        </w:rPr>
        <w:t>500主力合约上涨0.75%至7476点。经济数据上，美国4月CPI同比上涨3.8%，创2023年5月以来新高；核心CPI同比上涨2.8%，并创2025年9月以来新高；美国4月PPI同比上涨6%，创2022年12月以来最高水平，核心PPI同比上涨5.2%。四项通胀数据均大幅超出市场预期，油价高企带来的滞胀冲击愈发明显。PPI数据公布后市场对美联储年内加息的预期一度上升至50%，预计对美股产生明显压力。资金面，被视为全球金融市场</w:t>
      </w:r>
      <w:proofErr w:type="gramStart"/>
      <w:r w:rsidRPr="00C849BE">
        <w:rPr>
          <w:rFonts w:ascii="微软雅黑" w:eastAsia="微软雅黑" w:hAnsi="微软雅黑" w:cs="微软雅黑"/>
          <w:spacing w:val="7"/>
          <w:lang w:eastAsia="zh-CN"/>
        </w:rPr>
        <w:t>最</w:t>
      </w:r>
      <w:proofErr w:type="gramEnd"/>
      <w:r w:rsidRPr="00C849BE">
        <w:rPr>
          <w:rFonts w:ascii="微软雅黑" w:eastAsia="微软雅黑" w:hAnsi="微软雅黑" w:cs="微软雅黑"/>
          <w:spacing w:val="7"/>
          <w:lang w:eastAsia="zh-CN"/>
        </w:rPr>
        <w:t>关键的长期利率</w:t>
      </w:r>
      <w:proofErr w:type="gramStart"/>
      <w:r w:rsidRPr="00C849BE">
        <w:rPr>
          <w:rFonts w:ascii="微软雅黑" w:eastAsia="微软雅黑" w:hAnsi="微软雅黑" w:cs="微软雅黑"/>
          <w:spacing w:val="7"/>
          <w:lang w:eastAsia="zh-CN"/>
        </w:rPr>
        <w:t>锚</w:t>
      </w:r>
      <w:proofErr w:type="gramEnd"/>
      <w:r w:rsidRPr="00C849BE">
        <w:rPr>
          <w:rFonts w:ascii="微软雅黑" w:eastAsia="微软雅黑" w:hAnsi="微软雅黑" w:cs="微软雅黑"/>
          <w:spacing w:val="7"/>
          <w:lang w:eastAsia="zh-CN"/>
        </w:rPr>
        <w:t>之一的美国30年期国债，昨日最新一期发行利率突破5%，为2007年8月以来首次。这一现象呼应了通胀上行的趋势。地缘局势上，美伊局势面临战端重启的风险，对于战争的担忧，使得油价持续处于高位，且仍在逐步上涨。整体来看，通胀上行令市场对美联储加息预期出现强化，同时，美伊局势仍在不断持续，油价上涨令市场对通胀前景抱有担忧。上述因素或令美股短期承压</w:t>
      </w:r>
      <w:r w:rsidR="00D673DE" w:rsidRPr="00D673DE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3E7D9146" w14:textId="5CCD4278" w:rsidR="00FF1877" w:rsidRPr="00B00DB4" w:rsidRDefault="00115A1A" w:rsidP="00B00DB4">
      <w:pPr>
        <w:spacing w:before="103" w:line="256" w:lineRule="auto"/>
        <w:ind w:right="210" w:firstLine="448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494A4A8C" w:rsidR="007A477E" w:rsidRPr="00EE7376" w:rsidRDefault="00C849BE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53E55">
        <w:rPr>
          <w:rFonts w:ascii="Helvetica" w:hAnsi="Helvetica" w:cs="Helvetica"/>
          <w:noProof/>
          <w:shd w:val="clear" w:color="auto" w:fill="FFFFFF"/>
        </w:rPr>
        <w:lastRenderedPageBreak/>
        <w:drawing>
          <wp:inline distT="0" distB="0" distL="0" distR="0" wp14:anchorId="421AC276" wp14:editId="5054C8A8">
            <wp:extent cx="5274310" cy="1664053"/>
            <wp:effectExtent l="0" t="0" r="2540" b="0"/>
            <wp:docPr id="2036217564" name="图片 2036217564" descr="C:\Users\Administrator\xwechat_files\wxid_vkxlzo0vqu7s22_6f5b\temp\InputTemp\d0a97b65-a12a-4ada-a444-d45ff2a4b6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d0a97b65-a12a-4ada-a444-d45ff2a4b67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72590571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proofErr w:type="spellStart"/>
      <w:r w:rsidR="00DC342D">
        <w:rPr>
          <w:rFonts w:ascii="微软雅黑" w:eastAsia="微软雅黑" w:hAnsi="微软雅黑" w:cs="微软雅黑"/>
          <w:spacing w:val="7"/>
          <w:lang w:eastAsia="zh-CN"/>
        </w:rPr>
        <w:t>iFind</w:t>
      </w:r>
      <w:proofErr w:type="spellEnd"/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5AE26BBD" w14:textId="53F41399" w:rsidR="00B51D3C" w:rsidRDefault="00C849BE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849BE">
        <w:rPr>
          <w:rFonts w:ascii="微软雅黑" w:eastAsia="微软雅黑" w:hAnsi="微软雅黑" w:cs="微软雅黑"/>
          <w:spacing w:val="7"/>
          <w:lang w:eastAsia="zh-CN"/>
        </w:rPr>
        <w:t>截至5月13日，富时中国A50指数上涨0.66%至16081.4；新交所富时A50期指主力合约上涨0.57%至16066。海外方面，美国4月PPI、核心PPI增速均超预期大幅上行，且幅度较CPI更大，通胀大幅升温令市场对美联储加息的预期进一步强化。数据公布后，市场对美联储年内加息的预期一度上升至50%。美元指数连续两个交易日走强，但离岸人民币兑美元仍呈现升值态势。国内方面，经济基本面，1-4月进出口数据显示，高新技术产品及机电产品出口强势领跑。4月通胀数据显示，油价带来的输入性</w:t>
      </w:r>
      <w:proofErr w:type="gramStart"/>
      <w:r w:rsidRPr="00C849BE">
        <w:rPr>
          <w:rFonts w:ascii="微软雅黑" w:eastAsia="微软雅黑" w:hAnsi="微软雅黑" w:cs="微软雅黑"/>
          <w:spacing w:val="7"/>
          <w:lang w:eastAsia="zh-CN"/>
        </w:rPr>
        <w:t>通胀较</w:t>
      </w:r>
      <w:proofErr w:type="gramEnd"/>
      <w:r w:rsidRPr="00C849BE">
        <w:rPr>
          <w:rFonts w:ascii="微软雅黑" w:eastAsia="微软雅黑" w:hAnsi="微软雅黑" w:cs="微软雅黑"/>
          <w:spacing w:val="7"/>
          <w:lang w:eastAsia="zh-CN"/>
        </w:rPr>
        <w:t>3月更加明显，石油相关行业PPI同环比均录得两位数涨幅。PPI-CPI剪刀差转正。消息面，美国总统特朗普于5月13抵达北京，开启为期3天的访问，市场期待本次中美元首互动能够放宽对中国高科技业的限制。整体来看，新质生产力对经济的支撑愈发明显，相关行业股价预计有较好表现。同时，市场普遍预期本次特朗普访华将对中美贸易关系起到进一步修复。最后，虽然，美联储加息预期升温带动美元指数上涨，但在强劲的经济基本面支撑下，人民币并未走贬，加上人工智能浪潮，A股牛市行情仍有进一步演绎的空间</w:t>
      </w:r>
      <w:r w:rsidR="00965C94" w:rsidRPr="00965C94">
        <w:rPr>
          <w:rFonts w:ascii="微软雅黑" w:eastAsia="微软雅黑" w:hAnsi="微软雅黑" w:cs="微软雅黑"/>
          <w:spacing w:val="7"/>
          <w:lang w:eastAsia="zh-CN"/>
        </w:rPr>
        <w:t>。</w:t>
      </w:r>
      <w:r w:rsidR="00A42B48">
        <w:rPr>
          <w:rFonts w:ascii="微软雅黑" w:eastAsia="微软雅黑" w:hAnsi="微软雅黑" w:cs="微软雅黑" w:hint="eastAsia"/>
          <w:spacing w:val="7"/>
          <w:lang w:eastAsia="zh-CN"/>
        </w:rPr>
        <w:t xml:space="preserve">  </w:t>
      </w:r>
    </w:p>
    <w:p w14:paraId="11AC0A6A" w14:textId="77783DA9" w:rsidR="009372C5" w:rsidRPr="00C07FA3" w:rsidRDefault="00115A1A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5600C003" w:rsidR="00A10388" w:rsidRDefault="00C849BE" w:rsidP="00A10388">
      <w:pPr>
        <w:spacing w:before="120" w:line="190" w:lineRule="auto"/>
        <w:ind w:right="210" w:firstLine="420"/>
        <w:jc w:val="center"/>
        <w:rPr>
          <w:rFonts w:ascii="新宋体" w:eastAsia="新宋体" w:hAnsi="新宋体" w:hint="eastAsia"/>
          <w:lang w:eastAsia="zh-CN"/>
        </w:rPr>
      </w:pPr>
      <w:r w:rsidRPr="00653E55">
        <w:rPr>
          <w:rFonts w:ascii="宋体" w:eastAsia="宋体" w:hAnsi="宋体"/>
          <w:noProof/>
        </w:rPr>
        <w:drawing>
          <wp:inline distT="0" distB="0" distL="0" distR="0" wp14:anchorId="75D31551" wp14:editId="6F6D54A2">
            <wp:extent cx="5274310" cy="1670465"/>
            <wp:effectExtent l="0" t="0" r="2540" b="6350"/>
            <wp:docPr id="130187469" name="图片 130187469" descr="C:\Users\Administrator\xwechat_files\wxid_vkxlzo0vqu7s22_6f5b\temp\InputTemp\06599b36-6ee6-4299-a602-81b38ab2e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06599b36-6ee6-4299-a602-81b38ab2e70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212BD931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77D48A33" w:rsidR="00AC6ADE" w:rsidRDefault="00C849BE" w:rsidP="00F51117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849BE">
        <w:rPr>
          <w:rFonts w:ascii="微软雅黑" w:eastAsia="微软雅黑" w:hAnsi="微软雅黑" w:cs="微软雅黑"/>
          <w:spacing w:val="12"/>
          <w:lang w:eastAsia="zh-CN"/>
        </w:rPr>
        <w:t>隔夜COMEX铜冲高回落，报收6.619元/磅，涨跌幅+1.35%。国际方面，美国4月PPI同比上涨6%，创2022年12月以来最高水平，核心PPI同比上涨5.2%，均远超市场预期。能源与运输成本双双攀升，服务业通胀创四年高位。PPI通胀意外“爆表”令美联储加息预期升温，市场预计年内加息25个基点的概率已升至约50%。国内方面，中美经贸中方牵头人、国务院副总理何立峰与美方牵头人、</w:t>
      </w:r>
      <w:r w:rsidRPr="00C849BE">
        <w:rPr>
          <w:rFonts w:ascii="微软雅黑" w:eastAsia="微软雅黑" w:hAnsi="微软雅黑" w:cs="微软雅黑"/>
          <w:spacing w:val="12"/>
          <w:lang w:eastAsia="zh-CN"/>
        </w:rPr>
        <w:lastRenderedPageBreak/>
        <w:t>美国财政部长贝森特在韩国举行经贸磋商。双方就解决彼此关注的经贸问题和进一步拓展务实合作进行了坦诚、深入、建设性的交流。库存方面，截至2026年5月14日，COMEX铜库存为624028短吨，环比+1023短吨；LME铜库存为398550吨，环比-1450吨；SHFE每日仓单92864吨，环比+4317吨。美元美债方面，在能源和服务价格双重上涨的驱动下，美国4月份PPI飙升至四年新高，这是伊朗战争期间通胀加速的最新迹象。美元指数延续涨势，最终收涨0.21%，报98.47；基准的</w:t>
      </w:r>
      <w:proofErr w:type="gramStart"/>
      <w:r w:rsidRPr="00C849BE">
        <w:rPr>
          <w:rFonts w:ascii="微软雅黑" w:eastAsia="微软雅黑" w:hAnsi="微软雅黑" w:cs="微软雅黑"/>
          <w:spacing w:val="12"/>
          <w:lang w:eastAsia="zh-CN"/>
        </w:rPr>
        <w:t>10年期美债</w:t>
      </w:r>
      <w:proofErr w:type="gramEnd"/>
      <w:r w:rsidRPr="00C849BE">
        <w:rPr>
          <w:rFonts w:ascii="微软雅黑" w:eastAsia="微软雅黑" w:hAnsi="微软雅黑" w:cs="微软雅黑"/>
          <w:spacing w:val="12"/>
          <w:lang w:eastAsia="zh-CN"/>
        </w:rPr>
        <w:t>收益率收报4.465%，对美联储政策利率敏感的</w:t>
      </w:r>
      <w:proofErr w:type="gramStart"/>
      <w:r w:rsidRPr="00C849BE">
        <w:rPr>
          <w:rFonts w:ascii="微软雅黑" w:eastAsia="微软雅黑" w:hAnsi="微软雅黑" w:cs="微软雅黑"/>
          <w:spacing w:val="12"/>
          <w:lang w:eastAsia="zh-CN"/>
        </w:rPr>
        <w:t>2年期美债</w:t>
      </w:r>
      <w:proofErr w:type="gramEnd"/>
      <w:r w:rsidRPr="00C849BE">
        <w:rPr>
          <w:rFonts w:ascii="微软雅黑" w:eastAsia="微软雅黑" w:hAnsi="微软雅黑" w:cs="微软雅黑"/>
          <w:spacing w:val="12"/>
          <w:lang w:eastAsia="zh-CN"/>
        </w:rPr>
        <w:t>收益率则收报3.994%。操作建议，</w:t>
      </w:r>
      <w:proofErr w:type="gramStart"/>
      <w:r w:rsidRPr="00C849BE">
        <w:rPr>
          <w:rFonts w:ascii="微软雅黑" w:eastAsia="微软雅黑" w:hAnsi="微软雅黑" w:cs="微软雅黑"/>
          <w:spacing w:val="12"/>
          <w:lang w:eastAsia="zh-CN"/>
        </w:rPr>
        <w:t>纽</w:t>
      </w:r>
      <w:proofErr w:type="gramEnd"/>
      <w:r w:rsidRPr="00C849BE">
        <w:rPr>
          <w:rFonts w:ascii="微软雅黑" w:eastAsia="微软雅黑" w:hAnsi="微软雅黑" w:cs="微软雅黑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0093F7CC" w:rsidR="00A02266" w:rsidRDefault="00C849BE" w:rsidP="006B6996">
      <w:pPr>
        <w:spacing w:before="103" w:line="256" w:lineRule="auto"/>
        <w:ind w:right="210" w:firstLine="420"/>
        <w:jc w:val="center"/>
      </w:pPr>
      <w:r>
        <w:rPr>
          <w:noProof/>
        </w:rPr>
        <w:drawing>
          <wp:inline distT="0" distB="0" distL="0" distR="0" wp14:anchorId="4795EAC8" wp14:editId="5D5CD1CC">
            <wp:extent cx="5274310" cy="2879090"/>
            <wp:effectExtent l="0" t="0" r="2540" b="0"/>
            <wp:docPr id="1702627321" name="图片 170262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3E8F5F5A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5EA783F" w14:textId="34081046" w:rsidR="00394BD0" w:rsidRDefault="0089419C" w:rsidP="00B00DB4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89419C">
        <w:rPr>
          <w:rFonts w:ascii="微软雅黑" w:eastAsia="微软雅黑" w:hAnsi="微软雅黑" w:cs="微软雅黑"/>
          <w:noProof/>
          <w:spacing w:val="7"/>
          <w:lang w:eastAsia="zh-CN"/>
        </w:rPr>
        <w:t>隔夜，金银走势延续分化，伦敦金于4700美元附近震荡运行，伦敦银一度接近90美元整数关口，COMEX黄金期货涨0.22%报4697.10美元/盎司，COMEX白银期货涨3.00%报88.16美元/盎司，金银比延续下行。宏观数据方面，美国4月PPI同比涨幅攀升至6%，为2022年12月以来最高，核心PPI亦升至5.2%，均远超预期。能源与运输成本同步上行，服务业通胀创近四年新高，表明价格压力正向更广领域扩散。数据公布后，市场对美联储进一步收紧政策的预期明显升温，利率期货隐含年内加息25个基点的概率升至约50%。此外，美国4月CPI创近三年新高，叠加4月非农就业数据强劲，美联储降息空间被进一步挤压。消息面上，秘鲁发布能源危机紧急法令，矿山面临限能风险，秘鲁作为全球第一大产银国，法令引发市场对全球白银供给的担忧，叠加AI领域用银需求预期维持强劲，白银短期上涨弹性显著强于黄金。展望后市，金银价格仍面临地缘与美联储政策预期的双重不确定性。若美伊停火预期反复拉锯，或通过原油价格反弹、美元中枢抬升、削弱降息预期、美债利率走高的路径继续压制金价表现。而从中长期视角来看，美元信用弱化及新兴国家央行持续购金提供底部支撑。整体来看，短期金价或延续宽幅震荡，银价走势或相对更强，操作上建议，多单逢低布局为主，注意严格风险控制</w:t>
      </w:r>
      <w:r w:rsidR="00394BD0" w:rsidRPr="00394BD0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11D79136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4A5E59BA" w:rsidR="007A477E" w:rsidRDefault="0089419C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黑体" w:eastAsia="黑体" w:hAnsi="黑体" w:hint="eastAsia"/>
          <w:noProof/>
          <w:sz w:val="22"/>
          <w:szCs w:val="22"/>
          <w:shd w:val="clear" w:color="auto" w:fill="FFFFFF"/>
          <w:lang w:bidi="ar"/>
        </w:rPr>
        <w:lastRenderedPageBreak/>
        <w:drawing>
          <wp:inline distT="0" distB="0" distL="114300" distR="114300" wp14:anchorId="20A519CD" wp14:editId="78DB9028">
            <wp:extent cx="4815205" cy="2155825"/>
            <wp:effectExtent l="0" t="0" r="4445" b="15875"/>
            <wp:docPr id="2" name="图片 2" descr="177871962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7871962258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CF71" w14:textId="32FAA7A9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780B437A" w14:textId="77777777" w:rsidR="00C849BE" w:rsidRPr="00C849BE" w:rsidRDefault="00C849BE" w:rsidP="00C849BE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原糖期货周三连续第四个交易日上涨，交易商密切关注巴西甘蔗收割的早期进展，同时能源价格高企引发的乙醇需求预期也为糖价提供支撑。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月原糖期货收涨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0.37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2.50%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15.38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6328A42B" w14:textId="77777777" w:rsidR="00C849BE" w:rsidRPr="00C849BE" w:rsidRDefault="00C849BE" w:rsidP="00C849BE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国际方面，据巴西蔗糖工业协会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Unica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称，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2026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年中南部地区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月上半月糖产量约为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64.7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万吨，同比减少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11.94%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；压榨甘蔗量为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1995.6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年度同期相比增加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19.67%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，同期，包括玉米乙醇在内，巴西中南部乙醇产量增加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33.3%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至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12.3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亿升。糖厂使用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32.3%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的甘蔗用于榨糖，而去年同期为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44.71%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，用于生产乙醇的甘蔗比例为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67.07%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，而去年同期为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55.29%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月上半月巴西中南部地区糖产量同比下降明显，主要因为制糖比例下调。</w:t>
      </w:r>
    </w:p>
    <w:p w14:paraId="3F44DEBC" w14:textId="292EE169" w:rsidR="00C27A84" w:rsidRDefault="00C849BE" w:rsidP="00C849BE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15.90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14.20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7DBAEEF3" w:rsidR="007A477E" w:rsidRPr="00786136" w:rsidRDefault="00C849BE" w:rsidP="007A477E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68E733FF" wp14:editId="2F41191E">
            <wp:extent cx="5270500" cy="2191385"/>
            <wp:effectExtent l="0" t="0" r="6350" b="0"/>
            <wp:docPr id="1375527284" name="图片 6" descr="QQ截图2026051408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QQ截图202605140800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4F5B6BBC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142D4E20" w14:textId="5D506AA3" w:rsidR="00EC61BD" w:rsidRPr="00EC61BD" w:rsidRDefault="00561AD6" w:rsidP="00EC61BD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43F773C7" w14:textId="77777777" w:rsidR="00C849BE" w:rsidRPr="00C849BE" w:rsidRDefault="00C849BE" w:rsidP="00C849BE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洲际交易所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棉花期货周三上涨，因美国主要棉花产区的干燥天气为价格提供支撑。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ICE 7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月棉花期货合约收涨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0.49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0.57%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86.81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722F5E7C" w14:textId="0721631A" w:rsidR="00944987" w:rsidRPr="00944987" w:rsidRDefault="00C849BE" w:rsidP="00C849BE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30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年度美国陆地棉出口销售净增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12.33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24%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，较前四周均值减少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35%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32.75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15%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，较前四周平均水平减少</w:t>
      </w:r>
      <w:r w:rsidRPr="00C849BE">
        <w:rPr>
          <w:rFonts w:ascii="微软雅黑" w:eastAsia="微软雅黑" w:hAnsi="微软雅黑" w:cs="微软雅黑"/>
          <w:noProof/>
          <w:spacing w:val="7"/>
          <w:lang w:eastAsia="zh-CN"/>
        </w:rPr>
        <w:t>1%</w:t>
      </w:r>
      <w:r w:rsidRPr="00C849B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。当周美国棉花出口签约量、装船量环比均减少</w:t>
      </w:r>
      <w:r w:rsidR="00944987"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739E97FD" w:rsidR="00C24CC6" w:rsidRDefault="00C849BE" w:rsidP="00B44F00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66EAEFAA" wp14:editId="080126FB">
            <wp:extent cx="5270500" cy="2139315"/>
            <wp:effectExtent l="0" t="0" r="6350" b="0"/>
            <wp:docPr id="1794736262" name="图片 7" descr="QQ截图2026051408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QQ截图202605140800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34B3FE15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 w:firstLine="56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468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lastRenderedPageBreak/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ED76B" w14:textId="77777777" w:rsidR="00A50157" w:rsidRDefault="00A50157">
      <w:pPr>
        <w:ind w:right="210" w:firstLine="420"/>
      </w:pPr>
      <w:r>
        <w:separator/>
      </w:r>
    </w:p>
  </w:endnote>
  <w:endnote w:type="continuationSeparator" w:id="0">
    <w:p w14:paraId="1F296FAA" w14:textId="77777777" w:rsidR="00A50157" w:rsidRDefault="00A50157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6AEB3" w14:textId="77777777" w:rsidR="00A50157" w:rsidRDefault="00A50157">
      <w:pPr>
        <w:ind w:right="210" w:firstLine="420"/>
      </w:pPr>
      <w:r>
        <w:separator/>
      </w:r>
    </w:p>
  </w:footnote>
  <w:footnote w:type="continuationSeparator" w:id="0">
    <w:p w14:paraId="6F1290C5" w14:textId="77777777" w:rsidR="00A50157" w:rsidRDefault="00A50157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803307307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0CFA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47BEB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252C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AE7"/>
    <w:rsid w:val="00094B4A"/>
    <w:rsid w:val="00095513"/>
    <w:rsid w:val="00095FF2"/>
    <w:rsid w:val="0009722E"/>
    <w:rsid w:val="00097D7E"/>
    <w:rsid w:val="000A1568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3F6"/>
    <w:rsid w:val="000C678D"/>
    <w:rsid w:val="000C6C79"/>
    <w:rsid w:val="000D2226"/>
    <w:rsid w:val="000D4C2B"/>
    <w:rsid w:val="000D677A"/>
    <w:rsid w:val="000E107B"/>
    <w:rsid w:val="000E1CD6"/>
    <w:rsid w:val="000E37BF"/>
    <w:rsid w:val="000F04E9"/>
    <w:rsid w:val="000F2E96"/>
    <w:rsid w:val="000F434E"/>
    <w:rsid w:val="000F5752"/>
    <w:rsid w:val="000F5A15"/>
    <w:rsid w:val="000F6A95"/>
    <w:rsid w:val="000F7B73"/>
    <w:rsid w:val="0010025C"/>
    <w:rsid w:val="00102B5B"/>
    <w:rsid w:val="001031A8"/>
    <w:rsid w:val="001046E7"/>
    <w:rsid w:val="00104BEA"/>
    <w:rsid w:val="00105881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6B4A"/>
    <w:rsid w:val="0011713C"/>
    <w:rsid w:val="001173B1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3F3B"/>
    <w:rsid w:val="00154A99"/>
    <w:rsid w:val="00156421"/>
    <w:rsid w:val="001566D0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2666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5881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270F"/>
    <w:rsid w:val="001A33CE"/>
    <w:rsid w:val="001A37B9"/>
    <w:rsid w:val="001A38E1"/>
    <w:rsid w:val="001A3FA7"/>
    <w:rsid w:val="001A4594"/>
    <w:rsid w:val="001A46B3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871"/>
    <w:rsid w:val="001C1BA8"/>
    <w:rsid w:val="001C28A7"/>
    <w:rsid w:val="001C290A"/>
    <w:rsid w:val="001C369F"/>
    <w:rsid w:val="001C43DE"/>
    <w:rsid w:val="001C4D7E"/>
    <w:rsid w:val="001C51A4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BA3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2DDB"/>
    <w:rsid w:val="00213C1E"/>
    <w:rsid w:val="002140F5"/>
    <w:rsid w:val="00214344"/>
    <w:rsid w:val="00214948"/>
    <w:rsid w:val="00214B67"/>
    <w:rsid w:val="00216516"/>
    <w:rsid w:val="00216CCD"/>
    <w:rsid w:val="00216D52"/>
    <w:rsid w:val="00217C95"/>
    <w:rsid w:val="00220006"/>
    <w:rsid w:val="002220FE"/>
    <w:rsid w:val="0022310E"/>
    <w:rsid w:val="00223327"/>
    <w:rsid w:val="0022448B"/>
    <w:rsid w:val="00224D80"/>
    <w:rsid w:val="00225853"/>
    <w:rsid w:val="00225AD0"/>
    <w:rsid w:val="00225E7B"/>
    <w:rsid w:val="0023048F"/>
    <w:rsid w:val="0023156A"/>
    <w:rsid w:val="00231798"/>
    <w:rsid w:val="00231989"/>
    <w:rsid w:val="00231B7B"/>
    <w:rsid w:val="00232C2F"/>
    <w:rsid w:val="00234851"/>
    <w:rsid w:val="0023500F"/>
    <w:rsid w:val="00235EA4"/>
    <w:rsid w:val="00236717"/>
    <w:rsid w:val="00237368"/>
    <w:rsid w:val="00241ED4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12C"/>
    <w:rsid w:val="002549D7"/>
    <w:rsid w:val="002555E2"/>
    <w:rsid w:val="002557B6"/>
    <w:rsid w:val="00256A37"/>
    <w:rsid w:val="00256F81"/>
    <w:rsid w:val="00257AE9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1822"/>
    <w:rsid w:val="002924DE"/>
    <w:rsid w:val="002932DF"/>
    <w:rsid w:val="00293B10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2F6B0F"/>
    <w:rsid w:val="002F6B1F"/>
    <w:rsid w:val="002F70E4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3769"/>
    <w:rsid w:val="00313B89"/>
    <w:rsid w:val="003141E7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6F4E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87FB4"/>
    <w:rsid w:val="00390E0E"/>
    <w:rsid w:val="0039196A"/>
    <w:rsid w:val="00394035"/>
    <w:rsid w:val="0039436B"/>
    <w:rsid w:val="003946B2"/>
    <w:rsid w:val="00394BD0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D65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0EBE"/>
    <w:rsid w:val="00421423"/>
    <w:rsid w:val="00421C61"/>
    <w:rsid w:val="004238BA"/>
    <w:rsid w:val="00423BF0"/>
    <w:rsid w:val="004240B3"/>
    <w:rsid w:val="004252A2"/>
    <w:rsid w:val="00426F5F"/>
    <w:rsid w:val="004275FD"/>
    <w:rsid w:val="004302E0"/>
    <w:rsid w:val="00430790"/>
    <w:rsid w:val="00431D98"/>
    <w:rsid w:val="0043483D"/>
    <w:rsid w:val="00434DFC"/>
    <w:rsid w:val="00434E78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1F4B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4E17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04BA"/>
    <w:rsid w:val="004A3E91"/>
    <w:rsid w:val="004A4391"/>
    <w:rsid w:val="004A56C8"/>
    <w:rsid w:val="004A576C"/>
    <w:rsid w:val="004A68CF"/>
    <w:rsid w:val="004A6D5F"/>
    <w:rsid w:val="004A6F01"/>
    <w:rsid w:val="004A70EA"/>
    <w:rsid w:val="004B070D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08D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3E0"/>
    <w:rsid w:val="004F74A8"/>
    <w:rsid w:val="004F78EB"/>
    <w:rsid w:val="004F7B11"/>
    <w:rsid w:val="00502E1A"/>
    <w:rsid w:val="005032E4"/>
    <w:rsid w:val="00503381"/>
    <w:rsid w:val="0050522A"/>
    <w:rsid w:val="00506C79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47DE6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41B"/>
    <w:rsid w:val="00574708"/>
    <w:rsid w:val="005754B9"/>
    <w:rsid w:val="00575A07"/>
    <w:rsid w:val="00575B83"/>
    <w:rsid w:val="00576331"/>
    <w:rsid w:val="00576E52"/>
    <w:rsid w:val="005771E6"/>
    <w:rsid w:val="00577356"/>
    <w:rsid w:val="00577869"/>
    <w:rsid w:val="00577DBC"/>
    <w:rsid w:val="00583A38"/>
    <w:rsid w:val="00583B82"/>
    <w:rsid w:val="00587742"/>
    <w:rsid w:val="0059047A"/>
    <w:rsid w:val="0059133E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41A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65E1"/>
    <w:rsid w:val="005E73EB"/>
    <w:rsid w:val="005E7BA2"/>
    <w:rsid w:val="005F0549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9E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18FC"/>
    <w:rsid w:val="00635F90"/>
    <w:rsid w:val="006360C1"/>
    <w:rsid w:val="006376A1"/>
    <w:rsid w:val="006378E2"/>
    <w:rsid w:val="0064243E"/>
    <w:rsid w:val="00642558"/>
    <w:rsid w:val="00642D7D"/>
    <w:rsid w:val="00643C9E"/>
    <w:rsid w:val="00644943"/>
    <w:rsid w:val="00644A9F"/>
    <w:rsid w:val="00644AEE"/>
    <w:rsid w:val="006458DB"/>
    <w:rsid w:val="00646C5A"/>
    <w:rsid w:val="00647A80"/>
    <w:rsid w:val="0065002F"/>
    <w:rsid w:val="006536EA"/>
    <w:rsid w:val="00653A5D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BC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57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36299"/>
    <w:rsid w:val="00741116"/>
    <w:rsid w:val="00742C46"/>
    <w:rsid w:val="00743FF4"/>
    <w:rsid w:val="007444C0"/>
    <w:rsid w:val="00744BF0"/>
    <w:rsid w:val="007469FD"/>
    <w:rsid w:val="00752CA2"/>
    <w:rsid w:val="00752F35"/>
    <w:rsid w:val="00753199"/>
    <w:rsid w:val="00753237"/>
    <w:rsid w:val="007532B5"/>
    <w:rsid w:val="0075620D"/>
    <w:rsid w:val="0075630E"/>
    <w:rsid w:val="007563E6"/>
    <w:rsid w:val="00756B70"/>
    <w:rsid w:val="00760A58"/>
    <w:rsid w:val="00760E5D"/>
    <w:rsid w:val="00760F9A"/>
    <w:rsid w:val="00761650"/>
    <w:rsid w:val="00761B29"/>
    <w:rsid w:val="00765484"/>
    <w:rsid w:val="00765525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477E"/>
    <w:rsid w:val="007A4D8D"/>
    <w:rsid w:val="007A4E18"/>
    <w:rsid w:val="007A612E"/>
    <w:rsid w:val="007A6B14"/>
    <w:rsid w:val="007A70F5"/>
    <w:rsid w:val="007A7159"/>
    <w:rsid w:val="007A768E"/>
    <w:rsid w:val="007A7903"/>
    <w:rsid w:val="007B3E0B"/>
    <w:rsid w:val="007B4B50"/>
    <w:rsid w:val="007C0BB3"/>
    <w:rsid w:val="007C1292"/>
    <w:rsid w:val="007C1951"/>
    <w:rsid w:val="007C19C6"/>
    <w:rsid w:val="007C1E13"/>
    <w:rsid w:val="007C2ACF"/>
    <w:rsid w:val="007C30B0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119"/>
    <w:rsid w:val="007E3454"/>
    <w:rsid w:val="007E38D3"/>
    <w:rsid w:val="007E4536"/>
    <w:rsid w:val="007E5C8A"/>
    <w:rsid w:val="007E6FCE"/>
    <w:rsid w:val="007F08A9"/>
    <w:rsid w:val="007F17B0"/>
    <w:rsid w:val="007F1B3F"/>
    <w:rsid w:val="007F283F"/>
    <w:rsid w:val="007F3EAB"/>
    <w:rsid w:val="007F6813"/>
    <w:rsid w:val="00800C12"/>
    <w:rsid w:val="00800F46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2FEF"/>
    <w:rsid w:val="008342FF"/>
    <w:rsid w:val="00834B63"/>
    <w:rsid w:val="00834C27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0BB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59D6"/>
    <w:rsid w:val="008861B7"/>
    <w:rsid w:val="008907BB"/>
    <w:rsid w:val="00892B66"/>
    <w:rsid w:val="008935E1"/>
    <w:rsid w:val="0089419C"/>
    <w:rsid w:val="008977D3"/>
    <w:rsid w:val="00897E2F"/>
    <w:rsid w:val="008A04B9"/>
    <w:rsid w:val="008A22F1"/>
    <w:rsid w:val="008A2879"/>
    <w:rsid w:val="008A424A"/>
    <w:rsid w:val="008A4E99"/>
    <w:rsid w:val="008A5696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19B8"/>
    <w:rsid w:val="00912070"/>
    <w:rsid w:val="0091320F"/>
    <w:rsid w:val="009142F4"/>
    <w:rsid w:val="009145EF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4725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BB"/>
    <w:rsid w:val="009376F3"/>
    <w:rsid w:val="00937E8B"/>
    <w:rsid w:val="00937F75"/>
    <w:rsid w:val="00940691"/>
    <w:rsid w:val="009407A7"/>
    <w:rsid w:val="00940B7C"/>
    <w:rsid w:val="00942C9E"/>
    <w:rsid w:val="0094313F"/>
    <w:rsid w:val="00943782"/>
    <w:rsid w:val="00944987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C94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608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23B2"/>
    <w:rsid w:val="009A29B6"/>
    <w:rsid w:val="009A3249"/>
    <w:rsid w:val="009A4AC4"/>
    <w:rsid w:val="009A6ABA"/>
    <w:rsid w:val="009A6FD4"/>
    <w:rsid w:val="009A7CE8"/>
    <w:rsid w:val="009B00A1"/>
    <w:rsid w:val="009B03A4"/>
    <w:rsid w:val="009B08F6"/>
    <w:rsid w:val="009B354F"/>
    <w:rsid w:val="009B44DE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36DF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905"/>
    <w:rsid w:val="009F512D"/>
    <w:rsid w:val="009F5BE1"/>
    <w:rsid w:val="009F64F4"/>
    <w:rsid w:val="009F72B2"/>
    <w:rsid w:val="009F78AF"/>
    <w:rsid w:val="00A006BA"/>
    <w:rsid w:val="00A00AD0"/>
    <w:rsid w:val="00A02266"/>
    <w:rsid w:val="00A03585"/>
    <w:rsid w:val="00A03F1D"/>
    <w:rsid w:val="00A048D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5DCF"/>
    <w:rsid w:val="00A1609A"/>
    <w:rsid w:val="00A165BA"/>
    <w:rsid w:val="00A16D5D"/>
    <w:rsid w:val="00A17B09"/>
    <w:rsid w:val="00A209AB"/>
    <w:rsid w:val="00A20D1F"/>
    <w:rsid w:val="00A21CCC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157"/>
    <w:rsid w:val="00A50521"/>
    <w:rsid w:val="00A50DED"/>
    <w:rsid w:val="00A52377"/>
    <w:rsid w:val="00A53676"/>
    <w:rsid w:val="00A53874"/>
    <w:rsid w:val="00A544AB"/>
    <w:rsid w:val="00A54710"/>
    <w:rsid w:val="00A54CE3"/>
    <w:rsid w:val="00A55274"/>
    <w:rsid w:val="00A56867"/>
    <w:rsid w:val="00A569F4"/>
    <w:rsid w:val="00A60A67"/>
    <w:rsid w:val="00A625C1"/>
    <w:rsid w:val="00A6283C"/>
    <w:rsid w:val="00A62BE6"/>
    <w:rsid w:val="00A62DEC"/>
    <w:rsid w:val="00A62E14"/>
    <w:rsid w:val="00A63882"/>
    <w:rsid w:val="00A63996"/>
    <w:rsid w:val="00A640AD"/>
    <w:rsid w:val="00A659D7"/>
    <w:rsid w:val="00A66AD4"/>
    <w:rsid w:val="00A67FA5"/>
    <w:rsid w:val="00A712BC"/>
    <w:rsid w:val="00A73A77"/>
    <w:rsid w:val="00A75923"/>
    <w:rsid w:val="00A75D0F"/>
    <w:rsid w:val="00A76B56"/>
    <w:rsid w:val="00A76C2D"/>
    <w:rsid w:val="00A77701"/>
    <w:rsid w:val="00A804C6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6F2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1739"/>
    <w:rsid w:val="00AC2BEF"/>
    <w:rsid w:val="00AC490E"/>
    <w:rsid w:val="00AC5554"/>
    <w:rsid w:val="00AC579C"/>
    <w:rsid w:val="00AC6ADE"/>
    <w:rsid w:val="00AC7B19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310E"/>
    <w:rsid w:val="00AE484C"/>
    <w:rsid w:val="00AE4E06"/>
    <w:rsid w:val="00AE56E0"/>
    <w:rsid w:val="00AE6648"/>
    <w:rsid w:val="00AE743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59E"/>
    <w:rsid w:val="00B038AC"/>
    <w:rsid w:val="00B039EB"/>
    <w:rsid w:val="00B042A9"/>
    <w:rsid w:val="00B04384"/>
    <w:rsid w:val="00B04AFE"/>
    <w:rsid w:val="00B05B0D"/>
    <w:rsid w:val="00B061CB"/>
    <w:rsid w:val="00B071C1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1E13"/>
    <w:rsid w:val="00B325E6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1D3C"/>
    <w:rsid w:val="00B52288"/>
    <w:rsid w:val="00B539F7"/>
    <w:rsid w:val="00B54085"/>
    <w:rsid w:val="00B54643"/>
    <w:rsid w:val="00B54B31"/>
    <w:rsid w:val="00B55A09"/>
    <w:rsid w:val="00B55B24"/>
    <w:rsid w:val="00B55E8F"/>
    <w:rsid w:val="00B56CF5"/>
    <w:rsid w:val="00B6096B"/>
    <w:rsid w:val="00B60A1E"/>
    <w:rsid w:val="00B60A6D"/>
    <w:rsid w:val="00B621A7"/>
    <w:rsid w:val="00B6439F"/>
    <w:rsid w:val="00B64755"/>
    <w:rsid w:val="00B679D2"/>
    <w:rsid w:val="00B67AFE"/>
    <w:rsid w:val="00B67EC5"/>
    <w:rsid w:val="00B7174B"/>
    <w:rsid w:val="00B71E12"/>
    <w:rsid w:val="00B722F9"/>
    <w:rsid w:val="00B72588"/>
    <w:rsid w:val="00B72C17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0049"/>
    <w:rsid w:val="00BB0447"/>
    <w:rsid w:val="00BB1618"/>
    <w:rsid w:val="00BB20F8"/>
    <w:rsid w:val="00BB257A"/>
    <w:rsid w:val="00BB25B4"/>
    <w:rsid w:val="00BB2D5C"/>
    <w:rsid w:val="00BB41E2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094"/>
    <w:rsid w:val="00BD2291"/>
    <w:rsid w:val="00BD2646"/>
    <w:rsid w:val="00BD368B"/>
    <w:rsid w:val="00BD501D"/>
    <w:rsid w:val="00BD55A4"/>
    <w:rsid w:val="00BD5B2D"/>
    <w:rsid w:val="00BD6596"/>
    <w:rsid w:val="00BD69C9"/>
    <w:rsid w:val="00BD7072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BF6FB8"/>
    <w:rsid w:val="00C00F17"/>
    <w:rsid w:val="00C00FBA"/>
    <w:rsid w:val="00C02EA5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300E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06CD"/>
    <w:rsid w:val="00C4146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186"/>
    <w:rsid w:val="00C553E1"/>
    <w:rsid w:val="00C55668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49BE"/>
    <w:rsid w:val="00C85A54"/>
    <w:rsid w:val="00C85C98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3F5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1480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207E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A8F"/>
    <w:rsid w:val="00D16C49"/>
    <w:rsid w:val="00D17C79"/>
    <w:rsid w:val="00D202F1"/>
    <w:rsid w:val="00D20FBF"/>
    <w:rsid w:val="00D2107B"/>
    <w:rsid w:val="00D22EA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6DC"/>
    <w:rsid w:val="00D41DC2"/>
    <w:rsid w:val="00D41E70"/>
    <w:rsid w:val="00D41EB1"/>
    <w:rsid w:val="00D42157"/>
    <w:rsid w:val="00D42465"/>
    <w:rsid w:val="00D42F82"/>
    <w:rsid w:val="00D437F6"/>
    <w:rsid w:val="00D43DFB"/>
    <w:rsid w:val="00D44799"/>
    <w:rsid w:val="00D44A08"/>
    <w:rsid w:val="00D47264"/>
    <w:rsid w:val="00D473B2"/>
    <w:rsid w:val="00D51464"/>
    <w:rsid w:val="00D51553"/>
    <w:rsid w:val="00D519DA"/>
    <w:rsid w:val="00D52744"/>
    <w:rsid w:val="00D528AD"/>
    <w:rsid w:val="00D53CC4"/>
    <w:rsid w:val="00D53D21"/>
    <w:rsid w:val="00D53DC0"/>
    <w:rsid w:val="00D53F74"/>
    <w:rsid w:val="00D54321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6DAA"/>
    <w:rsid w:val="00D673DE"/>
    <w:rsid w:val="00D677F5"/>
    <w:rsid w:val="00D70B6B"/>
    <w:rsid w:val="00D71D03"/>
    <w:rsid w:val="00D73717"/>
    <w:rsid w:val="00D7385F"/>
    <w:rsid w:val="00D73B22"/>
    <w:rsid w:val="00D74171"/>
    <w:rsid w:val="00D74631"/>
    <w:rsid w:val="00D74CD7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2649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0BCF"/>
    <w:rsid w:val="00DB1791"/>
    <w:rsid w:val="00DB1CF5"/>
    <w:rsid w:val="00DB2737"/>
    <w:rsid w:val="00DB4EBB"/>
    <w:rsid w:val="00DB4FF3"/>
    <w:rsid w:val="00DB5AC9"/>
    <w:rsid w:val="00DB753E"/>
    <w:rsid w:val="00DC0244"/>
    <w:rsid w:val="00DC0CCB"/>
    <w:rsid w:val="00DC11C4"/>
    <w:rsid w:val="00DC19CB"/>
    <w:rsid w:val="00DC2E0F"/>
    <w:rsid w:val="00DC342D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457D"/>
    <w:rsid w:val="00DF50AC"/>
    <w:rsid w:val="00DF6375"/>
    <w:rsid w:val="00DF6BC4"/>
    <w:rsid w:val="00DF756D"/>
    <w:rsid w:val="00DF79AE"/>
    <w:rsid w:val="00E000C8"/>
    <w:rsid w:val="00E023B4"/>
    <w:rsid w:val="00E02C64"/>
    <w:rsid w:val="00E04026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5A36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7EA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3CB"/>
    <w:rsid w:val="00E74750"/>
    <w:rsid w:val="00E75C1E"/>
    <w:rsid w:val="00E76059"/>
    <w:rsid w:val="00E7792A"/>
    <w:rsid w:val="00E8041A"/>
    <w:rsid w:val="00E80A24"/>
    <w:rsid w:val="00E81B80"/>
    <w:rsid w:val="00E8307F"/>
    <w:rsid w:val="00E856BC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96B67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1BD"/>
    <w:rsid w:val="00EC65CE"/>
    <w:rsid w:val="00EC66F3"/>
    <w:rsid w:val="00EC67EC"/>
    <w:rsid w:val="00EC7FA6"/>
    <w:rsid w:val="00ED0565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3B4D"/>
    <w:rsid w:val="00EE4124"/>
    <w:rsid w:val="00EE571B"/>
    <w:rsid w:val="00EE6389"/>
    <w:rsid w:val="00EE64DD"/>
    <w:rsid w:val="00EE72A7"/>
    <w:rsid w:val="00EE7376"/>
    <w:rsid w:val="00EE78C7"/>
    <w:rsid w:val="00EE7AF1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1C2A"/>
    <w:rsid w:val="00F03356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517"/>
    <w:rsid w:val="00F35962"/>
    <w:rsid w:val="00F3674E"/>
    <w:rsid w:val="00F37895"/>
    <w:rsid w:val="00F37B2C"/>
    <w:rsid w:val="00F40EB7"/>
    <w:rsid w:val="00F42B6B"/>
    <w:rsid w:val="00F45C72"/>
    <w:rsid w:val="00F46416"/>
    <w:rsid w:val="00F47B1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4537"/>
    <w:rsid w:val="00F66A99"/>
    <w:rsid w:val="00F674C2"/>
    <w:rsid w:val="00F7022D"/>
    <w:rsid w:val="00F7041A"/>
    <w:rsid w:val="00F711F1"/>
    <w:rsid w:val="00F728F3"/>
    <w:rsid w:val="00F7434E"/>
    <w:rsid w:val="00F746D6"/>
    <w:rsid w:val="00F75128"/>
    <w:rsid w:val="00F764A9"/>
    <w:rsid w:val="00F76D0D"/>
    <w:rsid w:val="00F773BE"/>
    <w:rsid w:val="00F80428"/>
    <w:rsid w:val="00F80C87"/>
    <w:rsid w:val="00F80D7F"/>
    <w:rsid w:val="00F83CC4"/>
    <w:rsid w:val="00F849C0"/>
    <w:rsid w:val="00F86514"/>
    <w:rsid w:val="00F90154"/>
    <w:rsid w:val="00F9108A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5AE5"/>
    <w:rsid w:val="00FA63FA"/>
    <w:rsid w:val="00FA7A35"/>
    <w:rsid w:val="00FB1336"/>
    <w:rsid w:val="00FB235B"/>
    <w:rsid w:val="00FB260A"/>
    <w:rsid w:val="00FB2769"/>
    <w:rsid w:val="00FB2CD1"/>
    <w:rsid w:val="00FC0BEF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C733B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3BC9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653A5D"/>
    <w:pPr>
      <w:spacing w:before="230" w:line="191" w:lineRule="auto"/>
      <w:ind w:right="21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795</Words>
  <Characters>4532</Characters>
  <Application>Microsoft Office Word</Application>
  <DocSecurity>0</DocSecurity>
  <Lines>37</Lines>
  <Paragraphs>10</Paragraphs>
  <ScaleCrop>false</ScaleCrop>
  <Company/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2026-05-14T02:18:00Z</dcterms:created>
  <dcterms:modified xsi:type="dcterms:W3CDTF">2026-05-14T02:18:00Z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