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B9CCE9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29182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E43653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Pr="00ED4A18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</w:t>
      </w:r>
      <w:r w:rsidRPr="001A18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场综述</w:t>
      </w:r>
    </w:p>
    <w:p w14:paraId="7EEFB9F4" w14:textId="5678D4C2" w:rsidR="007B3E0B" w:rsidRDefault="00E43653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D4A18">
        <w:rPr>
          <w:rFonts w:ascii="微软雅黑" w:eastAsia="微软雅黑" w:hAnsi="微软雅黑" w:cs="微软雅黑"/>
          <w:spacing w:val="12"/>
          <w:lang w:eastAsia="zh-CN"/>
        </w:rPr>
        <w:t>美国三大股指全线收跌</w:t>
      </w:r>
      <w:r w:rsidRPr="00E43653">
        <w:rPr>
          <w:rFonts w:ascii="微软雅黑" w:eastAsia="微软雅黑" w:hAnsi="微软雅黑" w:cs="微软雅黑"/>
          <w:spacing w:val="12"/>
          <w:lang w:eastAsia="zh-CN"/>
        </w:rPr>
        <w:t>，道指跌0.65%报49363.88点，</w:t>
      </w:r>
      <w:proofErr w:type="gramStart"/>
      <w:r w:rsidRPr="00E43653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E43653">
        <w:rPr>
          <w:rFonts w:ascii="微软雅黑" w:eastAsia="微软雅黑" w:hAnsi="微软雅黑" w:cs="微软雅黑"/>
          <w:spacing w:val="12"/>
          <w:lang w:eastAsia="zh-CN"/>
        </w:rPr>
        <w:t>500指数跌0.67%报7353.61点，</w:t>
      </w:r>
      <w:proofErr w:type="gramStart"/>
      <w:r w:rsidRPr="00E43653">
        <w:rPr>
          <w:rFonts w:ascii="微软雅黑" w:eastAsia="微软雅黑" w:hAnsi="微软雅黑" w:cs="微软雅黑"/>
          <w:spacing w:val="12"/>
          <w:lang w:eastAsia="zh-CN"/>
        </w:rPr>
        <w:t>纳指跌</w:t>
      </w:r>
      <w:proofErr w:type="gramEnd"/>
      <w:r w:rsidRPr="00E43653">
        <w:rPr>
          <w:rFonts w:ascii="微软雅黑" w:eastAsia="微软雅黑" w:hAnsi="微软雅黑" w:cs="微软雅黑"/>
          <w:spacing w:val="12"/>
          <w:lang w:eastAsia="zh-CN"/>
        </w:rPr>
        <w:t>0.84%报25870.71点。</w:t>
      </w:r>
      <w:r w:rsidRPr="00ED4A18">
        <w:rPr>
          <w:rFonts w:ascii="微软雅黑" w:eastAsia="微软雅黑" w:hAnsi="微软雅黑" w:cs="微软雅黑"/>
          <w:spacing w:val="12"/>
          <w:lang w:eastAsia="zh-CN"/>
        </w:rPr>
        <w:t>美元指数涨0.33%报99.31，非美货币多数下跌</w:t>
      </w:r>
      <w:r w:rsidRPr="00E43653">
        <w:rPr>
          <w:rFonts w:ascii="微软雅黑" w:eastAsia="微软雅黑" w:hAnsi="微软雅黑" w:cs="微软雅黑"/>
          <w:spacing w:val="12"/>
          <w:lang w:eastAsia="zh-CN"/>
        </w:rPr>
        <w:t>，欧元兑美元跌0.43%报1.1606，英镑兑美元跌0.29%报1.3395，澳元兑美元跌0.87%报0.7107，美元兑日元涨0.15%报159.0885，美元兑加元涨0.04%报1.3745，美元兑</w:t>
      </w:r>
      <w:proofErr w:type="gramStart"/>
      <w:r w:rsidRPr="00E43653">
        <w:rPr>
          <w:rFonts w:ascii="微软雅黑" w:eastAsia="微软雅黑" w:hAnsi="微软雅黑" w:cs="微软雅黑"/>
          <w:spacing w:val="12"/>
          <w:lang w:eastAsia="zh-CN"/>
        </w:rPr>
        <w:t>瑞郎涨</w:t>
      </w:r>
      <w:proofErr w:type="gramEnd"/>
      <w:r w:rsidRPr="00E43653">
        <w:rPr>
          <w:rFonts w:ascii="微软雅黑" w:eastAsia="微软雅黑" w:hAnsi="微软雅黑" w:cs="微软雅黑"/>
          <w:spacing w:val="12"/>
          <w:lang w:eastAsia="zh-CN"/>
        </w:rPr>
        <w:t>0.57%报0.7889，离岸人民币对美元跌178个基点报6.8169。</w:t>
      </w:r>
      <w:r w:rsidRPr="00ED4A18">
        <w:rPr>
          <w:rFonts w:ascii="微软雅黑" w:eastAsia="微软雅黑" w:hAnsi="微软雅黑" w:cs="微软雅黑"/>
          <w:spacing w:val="12"/>
          <w:lang w:eastAsia="zh-CN"/>
        </w:rPr>
        <w:t>国际贵金属期货普遍收跌</w:t>
      </w:r>
      <w:r w:rsidRPr="00E43653">
        <w:rPr>
          <w:rFonts w:ascii="微软雅黑" w:eastAsia="微软雅黑" w:hAnsi="微软雅黑" w:cs="微软雅黑"/>
          <w:spacing w:val="12"/>
          <w:lang w:eastAsia="zh-CN"/>
        </w:rPr>
        <w:t>，COMEX黄金期货跌1.59%报4485.40美元/盎司，COMEX白银期货跌4.49%报73.97美元/盎司。</w:t>
      </w:r>
      <w:proofErr w:type="gramStart"/>
      <w:r w:rsidRPr="00ED4A18">
        <w:rPr>
          <w:rFonts w:ascii="微软雅黑" w:eastAsia="微软雅黑" w:hAnsi="微软雅黑" w:cs="微软雅黑"/>
          <w:spacing w:val="12"/>
          <w:lang w:eastAsia="zh-CN"/>
        </w:rPr>
        <w:t>美油主力合约收跌</w:t>
      </w:r>
      <w:proofErr w:type="gramEnd"/>
      <w:r w:rsidRPr="00ED4A18">
        <w:rPr>
          <w:rFonts w:ascii="微软雅黑" w:eastAsia="微软雅黑" w:hAnsi="微软雅黑" w:cs="微软雅黑"/>
          <w:spacing w:val="12"/>
          <w:lang w:eastAsia="zh-CN"/>
        </w:rPr>
        <w:t>0.34%，报104.03美元/桶</w:t>
      </w:r>
      <w:r w:rsidRPr="00E43653">
        <w:rPr>
          <w:rFonts w:ascii="微软雅黑" w:eastAsia="微软雅黑" w:hAnsi="微软雅黑" w:cs="微软雅黑"/>
          <w:spacing w:val="12"/>
          <w:lang w:eastAsia="zh-CN"/>
        </w:rPr>
        <w:t>；</w:t>
      </w:r>
      <w:proofErr w:type="gramStart"/>
      <w:r w:rsidRPr="00E43653">
        <w:rPr>
          <w:rFonts w:ascii="微软雅黑" w:eastAsia="微软雅黑" w:hAnsi="微软雅黑" w:cs="微软雅黑"/>
          <w:spacing w:val="12"/>
          <w:lang w:eastAsia="zh-CN"/>
        </w:rPr>
        <w:t>布油主力</w:t>
      </w:r>
      <w:proofErr w:type="gramEnd"/>
      <w:r w:rsidRPr="00E43653">
        <w:rPr>
          <w:rFonts w:ascii="微软雅黑" w:eastAsia="微软雅黑" w:hAnsi="微软雅黑" w:cs="微软雅黑"/>
          <w:spacing w:val="12"/>
          <w:lang w:eastAsia="zh-CN"/>
        </w:rPr>
        <w:t>合约跌1.05%，报110.92美元/桶。</w:t>
      </w:r>
      <w:r w:rsidR="007B3E0B" w:rsidRPr="00426F5F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7B3E0B" w:rsidRPr="00426F5F">
        <w:rPr>
          <w:rFonts w:ascii="微软雅黑" w:eastAsia="微软雅黑" w:hAnsi="微软雅黑" w:cs="微软雅黑" w:hint="eastAsia"/>
          <w:spacing w:val="12"/>
          <w:lang w:eastAsia="zh-CN"/>
        </w:rPr>
        <w:t>原糖主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涨2.10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5.04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跌1.74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>
        <w:rPr>
          <w:rFonts w:ascii="微软雅黑" w:eastAsia="微软雅黑" w:hAnsi="微软雅黑" w:cs="微软雅黑" w:hint="eastAsia"/>
          <w:spacing w:val="12"/>
          <w:lang w:eastAsia="zh-CN"/>
        </w:rPr>
        <w:t>8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2.24/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7F1CD42" w:rsidR="00557736" w:rsidRPr="0022448B" w:rsidRDefault="00E43653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1812302A" wp14:editId="4EB44DD0">
            <wp:extent cx="6319841" cy="4342499"/>
            <wp:effectExtent l="0" t="0" r="5080" b="1270"/>
            <wp:docPr id="511975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20" cy="435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535C52D" w14:textId="275E0539" w:rsidR="00B539F7" w:rsidRPr="00E43653" w:rsidRDefault="00B539F7" w:rsidP="00B539F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【</w:t>
      </w:r>
      <w:r w:rsidR="00E43653" w:rsidRPr="00E43653">
        <w:rPr>
          <w:rFonts w:ascii="微软雅黑" w:eastAsia="微软雅黑" w:hAnsi="微软雅黑" w:cs="微软雅黑"/>
          <w:color w:val="auto"/>
          <w:spacing w:val="4"/>
          <w:lang w:eastAsia="zh-CN"/>
        </w:rPr>
        <w:t>有报道称，中美两国元首会晤时就人工智能相关问题进行了交流。外交部发言人郭嘉昆5月19日在例行记者会上对此回应称，作为两个人工智能大国，中美双方应该携手促进人工智能发展和治理，推动人工智能更好服务人类文明进步和国际社会共同福祉。美国总统特朗普访华期间，两国元首就人工智能问题进行了建设性交流，同意开展人工智能政府间对话。</w:t>
      </w:r>
      <w:r w:rsidRPr="00E4365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8EDC742" w14:textId="1A04D42C" w:rsidR="00D16A8F" w:rsidRPr="00E43653" w:rsidRDefault="00B539F7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4365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E43653" w:rsidRPr="00E43653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发出新的开战威胁，称美国可能需要再次对伊朗采取军事行动，并透露自己一度距离批准军事打击仅剩一小时，但最终决定暂缓执行。消息称，以色列和美国对伊朗重启军事行动的联合准备工作已完成，目前正在等待特朗普决定。伊朗军方警告称，如果美国再次对该国发动攻击，伊朗将“开启新的战线”。</w:t>
      </w:r>
      <w:r w:rsidRPr="00E4365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061F47" w14:textId="49D1FFE3" w:rsidR="00DB4FF3" w:rsidRPr="00E43653" w:rsidRDefault="00DB4FF3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4365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43653" w:rsidRPr="00E43653">
        <w:rPr>
          <w:rFonts w:ascii="微软雅黑" w:eastAsia="微软雅黑" w:hAnsi="微软雅黑" w:cs="微软雅黑"/>
          <w:color w:val="auto"/>
          <w:spacing w:val="4"/>
          <w:lang w:eastAsia="zh-CN"/>
        </w:rPr>
        <w:t>美国副总统万斯在白宫记者会上称，美国与伊朗的谈判已取得“很大进展”，但美方也准备了重启军事行动的“B方案”。万斯拒绝透露当前幕后磋商的具体内容，但强调伊朗绝不能拥有核武器，这是美方“红线”。</w:t>
      </w:r>
      <w:r w:rsidRPr="00E4365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2230CBF" w14:textId="5B6E8EDE" w:rsidR="00116B4A" w:rsidRPr="008D5F7A" w:rsidRDefault="00116B4A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4365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43653" w:rsidRPr="00E43653">
        <w:rPr>
          <w:rFonts w:ascii="微软雅黑" w:eastAsia="微软雅黑" w:hAnsi="微软雅黑" w:cs="微软雅黑"/>
          <w:color w:val="auto"/>
          <w:spacing w:val="4"/>
          <w:lang w:eastAsia="zh-CN"/>
        </w:rPr>
        <w:t>通胀担忧重燃，全球债市陷入新一轮动荡。周二美国30年期国债收益率攀升5个基点至5.18%，创2007年以来新高；两年期收益率升至4.11%，创2025年2月以来新高。巴克莱和法国巴黎银行警告，由于高企的能源价格持续推高通胀预期，债券抛售可能尚未结束。</w:t>
      </w:r>
      <w:r w:rsidRPr="008D5F7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4B6462C6" w:rsidR="008A04B9" w:rsidRPr="00203CD6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D5F7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43653" w:rsidRPr="00E43653">
        <w:rPr>
          <w:rFonts w:ascii="微软雅黑" w:eastAsia="微软雅黑" w:hAnsi="微软雅黑" w:cs="微软雅黑"/>
          <w:color w:val="auto"/>
          <w:spacing w:val="4"/>
          <w:lang w:eastAsia="zh-CN"/>
        </w:rPr>
        <w:t>联合国发布《2026年中世界经济形势与展望》报告指出，中东危机再次冲击全球经济，导致经济增长放缓、通胀压力重新升温，并加剧全球不确定性。此次危机的影响极不均衡，发展中国家承受最沉重冲击。目前，2026年全球经济增长预计为2.5%，较今年1月的预测下调0.2个百分点。</w:t>
      </w:r>
      <w:r w:rsidRPr="00203CD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6C6D3A" w14:textId="77777777" w:rsidR="00BB0447" w:rsidRDefault="00BB044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E43653" w14:paraId="1D7AD70B" w14:textId="77777777" w:rsidTr="00E43653">
        <w:trPr>
          <w:trHeight w:val="837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E43653" w:rsidRPr="00E43653" w14:paraId="5B8E297F" w14:textId="77777777" w:rsidTr="009119B8">
        <w:trPr>
          <w:trHeight w:val="652"/>
        </w:trPr>
        <w:tc>
          <w:tcPr>
            <w:tcW w:w="1701" w:type="dxa"/>
          </w:tcPr>
          <w:bookmarkEnd w:id="0"/>
          <w:p w14:paraId="4567D2AE" w14:textId="22C92ED5" w:rsidR="00E43653" w:rsidRPr="00DB4FF3" w:rsidRDefault="00E43653" w:rsidP="00E4365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2026/5/20</w:t>
            </w:r>
          </w:p>
        </w:tc>
        <w:tc>
          <w:tcPr>
            <w:tcW w:w="1314" w:type="dxa"/>
          </w:tcPr>
          <w:p w14:paraId="3B0A4895" w14:textId="5BEC3288" w:rsidR="00E43653" w:rsidRPr="0025412C" w:rsidRDefault="00E43653" w:rsidP="00E4365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14:00</w:t>
            </w:r>
          </w:p>
        </w:tc>
        <w:tc>
          <w:tcPr>
            <w:tcW w:w="6344" w:type="dxa"/>
          </w:tcPr>
          <w:p w14:paraId="148F6123" w14:textId="55FC25AC" w:rsidR="00E43653" w:rsidRPr="00E15A36" w:rsidRDefault="00E43653" w:rsidP="00E4365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英国4月CPI同比</w:t>
            </w:r>
          </w:p>
        </w:tc>
      </w:tr>
      <w:tr w:rsidR="00E43653" w:rsidRPr="00E43653" w14:paraId="11459514" w14:textId="77777777" w:rsidTr="00257AE9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36E77A1" w14:textId="44D02F90" w:rsidR="00E43653" w:rsidRPr="00257AE9" w:rsidRDefault="00E43653" w:rsidP="00E4365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2026/5/20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FF031BB" w14:textId="2DC80EBE" w:rsidR="00E43653" w:rsidRPr="0025412C" w:rsidRDefault="00E43653" w:rsidP="00E4365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CB0AF66" w14:textId="18FB6C8F" w:rsidR="00E43653" w:rsidRPr="00653A5D" w:rsidRDefault="00E43653" w:rsidP="00E43653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欧元区4月调和CPI</w:t>
            </w:r>
          </w:p>
        </w:tc>
      </w:tr>
      <w:tr w:rsidR="00E43653" w:rsidRPr="006318FC" w14:paraId="5A77D372" w14:textId="77777777" w:rsidTr="00E43653">
        <w:trPr>
          <w:trHeight w:val="620"/>
        </w:trPr>
        <w:tc>
          <w:tcPr>
            <w:tcW w:w="1701" w:type="dxa"/>
          </w:tcPr>
          <w:p w14:paraId="5D727A34" w14:textId="37EC777C" w:rsidR="00E43653" w:rsidRPr="008255A2" w:rsidRDefault="00E43653" w:rsidP="009C113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2026/5/20</w:t>
            </w:r>
          </w:p>
        </w:tc>
        <w:tc>
          <w:tcPr>
            <w:tcW w:w="1314" w:type="dxa"/>
          </w:tcPr>
          <w:p w14:paraId="0BC711A2" w14:textId="77CEE9A1" w:rsidR="00E43653" w:rsidRDefault="00E43653" w:rsidP="009C113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22:30</w:t>
            </w:r>
          </w:p>
        </w:tc>
        <w:tc>
          <w:tcPr>
            <w:tcW w:w="6344" w:type="dxa"/>
          </w:tcPr>
          <w:p w14:paraId="6EFC272D" w14:textId="699D7BFE" w:rsidR="00E43653" w:rsidRPr="00E43653" w:rsidRDefault="00E43653" w:rsidP="009C113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E43653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美国5月15日当周EIA原油库存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02379A4" w14:textId="7D52B87F" w:rsidR="002760F0" w:rsidRPr="002760F0" w:rsidRDefault="00ED4A18" w:rsidP="00990758">
      <w:pPr>
        <w:spacing w:before="103" w:line="256" w:lineRule="auto"/>
        <w:ind w:right="210" w:firstLineChars="20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D4A18">
        <w:lastRenderedPageBreak/>
        <w:drawing>
          <wp:inline distT="0" distB="0" distL="0" distR="0" wp14:anchorId="79E8D212" wp14:editId="734D7371">
            <wp:extent cx="5274310" cy="3931920"/>
            <wp:effectExtent l="0" t="0" r="2540" b="0"/>
            <wp:docPr id="4722626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3DE" w:rsidRPr="00D673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1B5E9AF9" w:rsidR="007A477E" w:rsidRDefault="00ED4A18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06D81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176BF93B" wp14:editId="24451DCF">
            <wp:extent cx="4686300" cy="2329180"/>
            <wp:effectExtent l="0" t="0" r="0" b="0"/>
            <wp:docPr id="422244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683AC651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19023F0" w14:textId="77777777" w:rsidR="00ED4A18" w:rsidRDefault="00ED4A18" w:rsidP="00B00DB4">
      <w:pPr>
        <w:spacing w:before="103" w:line="256" w:lineRule="auto"/>
        <w:ind w:right="21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ED4A18">
        <w:rPr>
          <w:rFonts w:ascii="微软雅黑" w:eastAsia="微软雅黑" w:hAnsi="微软雅黑" w:cs="微软雅黑"/>
          <w:spacing w:val="7"/>
          <w:lang w:eastAsia="zh-CN"/>
        </w:rPr>
        <w:t>截至5月19日，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500指数下跌0.67%至7353.61点；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500主力合约下跌0.64%至7372.5点。资金面，在通胀升温的担忧下，周二美国30年期国债收益率攀升5个基点至5.18%，创2007年以来新高；两年期收益率升至4.11%，创2025年2月以来新高。作为长期资金定价锚的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30年期美债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收益率不断走高使得权益资产面临重定价风险。消息面，美国总统特朗普发出新的开战威胁，称美国可能需要再次对伊朗采取军事行动，然而，美国副总统万斯在白宫记者会上称，美国与伊朗的谈判已取得“很大进展。特朗普与万斯的表态相反，对市场交易方向产生一定干扰。但由于战争仍未结束，油价始终处在</w:t>
      </w:r>
      <w:r w:rsidRPr="00ED4A18">
        <w:rPr>
          <w:rFonts w:ascii="微软雅黑" w:eastAsia="微软雅黑" w:hAnsi="微软雅黑" w:cs="微软雅黑"/>
          <w:spacing w:val="7"/>
          <w:lang w:eastAsia="zh-CN"/>
        </w:rPr>
        <w:lastRenderedPageBreak/>
        <w:t>100美元上方。整体来看，在油价高企的环境下，通胀上行趋势难有明显扭转，美联储加息预期仍然存在，美债收益率仍在不断攀升，对全球权益资产，尤其是成长股产生负面影响。关注5月20日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英伟达财报能否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继续带动AI浪潮。</w:t>
      </w:r>
    </w:p>
    <w:p w14:paraId="3E7D9146" w14:textId="38CC52C5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F454503" w:rsidR="007A477E" w:rsidRPr="00EE7376" w:rsidRDefault="00ED4A18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87BA6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6F754FB1" wp14:editId="7F2ACABF">
            <wp:extent cx="5274310" cy="1666078"/>
            <wp:effectExtent l="0" t="0" r="2540" b="0"/>
            <wp:docPr id="2004044984" name="图片 2004044984" descr="C:\Users\Administrator\xwechat_files\wxid_vkxlzo0vqu7s22_6f5b\temp\InputTemp\a1f6568c-7e90-421f-acbc-3109efdc2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a1f6568c-7e90-421f-acbc-3109efdc28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27EC0DC4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5AE26BBD" w14:textId="0FBF9633" w:rsidR="00B51D3C" w:rsidRDefault="00ED4A1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D4A18">
        <w:rPr>
          <w:rFonts w:ascii="微软雅黑" w:eastAsia="微软雅黑" w:hAnsi="微软雅黑" w:cs="微软雅黑"/>
          <w:spacing w:val="7"/>
          <w:lang w:eastAsia="zh-CN"/>
        </w:rPr>
        <w:t>截至5月19日，富时中国A50指数上涨0.26%至15600.82；新交所富时A50期指主力合约下跌0.03%至15529。海外方面，在通胀升温的担忧下，周二美国30年期国债收益率攀升5个基点至5.18%，创2007年以来新高；两年期收益率升至4.11%，创2025年2月以来新高。作为长期资金定价锚的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30年期美债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收益率不断走高使得权益资产面临重定价风险。国内方面，经济基本面，4月份，除进出口外，国内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规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上工业增加值、固投、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社零均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较上月回落，但从细分项看，新质生产力相关产业依旧保持较高增速，且部分指标仍有小幅上升。金融数据显示，居民存款增速与M2增速剪刀差进一步走阔，同时A股市值与居民存款比值呈现上升。整体来看，新质生产力对经济的支撑愈发明显，相关行业股价预计有较好表现。同时，居民存款入市仍在不断进行中，为市场带来增量资金。然而，海外市场通胀上行趋势难有明显扭转，美联储加息预期仍然存在，美债收益率仍在不断攀升，对全球权益资产，尤其是成长股产生负面影响。美股方面关注5月20日</w:t>
      </w:r>
      <w:proofErr w:type="gramStart"/>
      <w:r w:rsidRPr="00ED4A18">
        <w:rPr>
          <w:rFonts w:ascii="微软雅黑" w:eastAsia="微软雅黑" w:hAnsi="微软雅黑" w:cs="微软雅黑"/>
          <w:spacing w:val="7"/>
          <w:lang w:eastAsia="zh-CN"/>
        </w:rPr>
        <w:t>英伟达财报能否</w:t>
      </w:r>
      <w:proofErr w:type="gramEnd"/>
      <w:r w:rsidRPr="00ED4A18">
        <w:rPr>
          <w:rFonts w:ascii="微软雅黑" w:eastAsia="微软雅黑" w:hAnsi="微软雅黑" w:cs="微软雅黑"/>
          <w:spacing w:val="7"/>
          <w:lang w:eastAsia="zh-CN"/>
        </w:rPr>
        <w:t>继续带动AI浪潮</w:t>
      </w:r>
      <w:r w:rsidR="00965C94" w:rsidRPr="00965C94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77783DA9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2E7C2BDF" w:rsidR="00A10388" w:rsidRDefault="00ED4A18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3E5790">
        <w:rPr>
          <w:rFonts w:ascii="宋体" w:eastAsia="宋体" w:hAnsi="宋体"/>
          <w:noProof/>
        </w:rPr>
        <w:drawing>
          <wp:inline distT="0" distB="0" distL="0" distR="0" wp14:anchorId="6CABD071" wp14:editId="1E27FD3D">
            <wp:extent cx="5274310" cy="1665065"/>
            <wp:effectExtent l="0" t="0" r="2540" b="0"/>
            <wp:docPr id="3" name="图片 3" descr="C:\Users\Administrator\xwechat_files\wxid_vkxlzo0vqu7s22_6f5b\temp\InputTemp\1d4725c5-4d91-4305-8f3d-7b098f1ba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1d4725c5-4d91-4305-8f3d-7b098f1ba2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AD0C70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4B57AD6B" w:rsidR="00AC6ADE" w:rsidRDefault="00ED4A18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D4A18">
        <w:rPr>
          <w:rFonts w:ascii="微软雅黑" w:eastAsia="微软雅黑" w:hAnsi="微软雅黑" w:cs="微软雅黑"/>
          <w:spacing w:val="12"/>
          <w:lang w:eastAsia="zh-CN"/>
        </w:rPr>
        <w:lastRenderedPageBreak/>
        <w:t>隔夜COMEX铜震荡偏弱，报收6.194元/磅，涨跌幅-1.92%。国际方面，联合国发布《2026年中世界经济形势与展望》报告指出，中东危机再次冲击全球经济，导致经济增长放缓、通胀压力重新升温，并加剧全球不确定性。此次危机的影响极不均衡，发展中国家承受最沉重冲击。目前，2026年全球经济增长预计为2.5%，较今年1月的预测下调0.2个百分点。国内方面，工信部就业促进工作领导小组2026年全体会议强调，要落实</w:t>
      </w:r>
      <w:proofErr w:type="gramStart"/>
      <w:r w:rsidRPr="00ED4A18">
        <w:rPr>
          <w:rFonts w:ascii="微软雅黑" w:eastAsia="微软雅黑" w:hAnsi="微软雅黑" w:cs="微软雅黑"/>
          <w:spacing w:val="12"/>
          <w:lang w:eastAsia="zh-CN"/>
        </w:rPr>
        <w:t>落细新</w:t>
      </w:r>
      <w:proofErr w:type="gramEnd"/>
      <w:r w:rsidRPr="00ED4A18">
        <w:rPr>
          <w:rFonts w:ascii="微软雅黑" w:eastAsia="微软雅黑" w:hAnsi="微软雅黑" w:cs="微软雅黑"/>
          <w:spacing w:val="12"/>
          <w:lang w:eastAsia="zh-CN"/>
        </w:rPr>
        <w:t>一轮十大重点行业</w:t>
      </w:r>
      <w:proofErr w:type="gramStart"/>
      <w:r w:rsidRPr="00ED4A18">
        <w:rPr>
          <w:rFonts w:ascii="微软雅黑" w:eastAsia="微软雅黑" w:hAnsi="微软雅黑" w:cs="微软雅黑"/>
          <w:spacing w:val="12"/>
          <w:lang w:eastAsia="zh-CN"/>
        </w:rPr>
        <w:t>稳增长</w:t>
      </w:r>
      <w:proofErr w:type="gramEnd"/>
      <w:r w:rsidRPr="00ED4A18">
        <w:rPr>
          <w:rFonts w:ascii="微软雅黑" w:eastAsia="微软雅黑" w:hAnsi="微软雅黑" w:cs="微软雅黑"/>
          <w:spacing w:val="12"/>
          <w:lang w:eastAsia="zh-CN"/>
        </w:rPr>
        <w:t>工作方案，深入实施制造业重点产业链高质量发展行动、“人工智能 制造”专项行动，稳定和扩大轻工、纺织服装等传统制造业就业规模，加力智能网联新能源汽车等新兴产业领域挖潜扩容，巩固就业基本盘、拓展就业新空间。库存方面，截至2026年5月19日，COMEX铜库存为632474短吨，环比+2798短吨；LME铜库存为394675吨，环比+1275吨；SHFE每日仓单102250吨，环比+97吨。美元美债方面，美元指数逆转跌势，最终收涨0.34%，报99.30；基准的</w:t>
      </w:r>
      <w:proofErr w:type="gramStart"/>
      <w:r w:rsidRPr="00ED4A18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ED4A18">
        <w:rPr>
          <w:rFonts w:ascii="微软雅黑" w:eastAsia="微软雅黑" w:hAnsi="微软雅黑" w:cs="微软雅黑"/>
          <w:spacing w:val="12"/>
          <w:lang w:eastAsia="zh-CN"/>
        </w:rPr>
        <w:t>收益率收报4.677%，对美联储政策利率敏感的</w:t>
      </w:r>
      <w:proofErr w:type="gramStart"/>
      <w:r w:rsidRPr="00ED4A18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ED4A18">
        <w:rPr>
          <w:rFonts w:ascii="微软雅黑" w:eastAsia="微软雅黑" w:hAnsi="微软雅黑" w:cs="微软雅黑"/>
          <w:spacing w:val="12"/>
          <w:lang w:eastAsia="zh-CN"/>
        </w:rPr>
        <w:t>收益率则收报4.131%。操作建议，</w:t>
      </w:r>
      <w:proofErr w:type="gramStart"/>
      <w:r w:rsidRPr="00ED4A18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ED4A18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FFC3010" w:rsidR="00A02266" w:rsidRDefault="00ED4A18" w:rsidP="006B6996">
      <w:pPr>
        <w:spacing w:before="103" w:line="256" w:lineRule="auto"/>
        <w:ind w:right="210" w:firstLine="420"/>
        <w:jc w:val="center"/>
      </w:pPr>
      <w:r>
        <w:rPr>
          <w:noProof/>
        </w:rPr>
        <w:drawing>
          <wp:inline distT="0" distB="0" distL="0" distR="0" wp14:anchorId="78CC998B" wp14:editId="5C2B717D">
            <wp:extent cx="5274310" cy="2879090"/>
            <wp:effectExtent l="0" t="0" r="2540" b="0"/>
            <wp:docPr id="760330765" name="图片 76033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648AE1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541BDE6E" w:rsidR="00394BD0" w:rsidRDefault="00ED4A18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隔夜，贵金属市场延续震荡偏弱走势，COMEX黄金期货跌1.59%报4485.40美元/盎司，COMEX白银期货跌4.49%报73.97美元/盎司。美伊紧张局势再度升级，令通胀风险与加息前景持续主导市场情绪。特朗普警告若伊朗不接受美方和平条件，美军或将于近期恢复对伊打击，此番表态紧随其此前宣布因海湾盟国呼吁而取消攻击计划之后，伊朗核问题仍是谈判核心僵局。地缘风险高企推动美元及原油持续走强，通胀预期对年内降息预期构成显著压制，美联储加息概率亦明显抬升，长端美债遭遇大规模抛售，导致美债收益率持续走强，从计价端继续施压金银价格表现。展望后市，金银价格仍面临地缘与利率的双重不确定性。能源价格与通胀预期存在继续走高的风险，叠加印度压制国内贵金属供需，短期金价承压运行；央行逢低购金需求虽边际放缓，但中长期配置逻辑仍具韧性，金价下方逢低买盘需求或继续提供价格支撑。而白银供给扰动尚未落地，前期炒作情绪降温，银价大幅下跌，且全球白银ETF持仓量回落，白银投资性需求表现偏弱，叠加一季度白银进口增加，国内现货端需求驱动不足。操作上建议，短线震荡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lastRenderedPageBreak/>
        <w:t>交易思路对待，中长线多单逢低布局为主，注意严格风险控制。伦敦金短期运行中枢位于4500美元/盎司附近，伦敦银短期运行中枢位于74.5美元/盎司附近，RSI较前期高位显著回落，短线技术面偏空，震荡整理态势或延续，伦敦金阻力位：4500、4590美元/盎司，支撑位：4460、4400美元/盎司；伦敦银阻力位：77美元/盎司，支撑位：73美元/盎司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2F26F46A" w:rsidR="007A477E" w:rsidRDefault="00ED4A18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A06D81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drawing>
          <wp:inline distT="0" distB="0" distL="0" distR="0" wp14:anchorId="047B5423" wp14:editId="0A577D16">
            <wp:extent cx="4714875" cy="2369185"/>
            <wp:effectExtent l="0" t="0" r="9525" b="0"/>
            <wp:docPr id="4828622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4E009B91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0C05312C" w14:textId="77777777" w:rsidR="00ED4A18" w:rsidRPr="00ED4A18" w:rsidRDefault="00ED4A18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原糖期货周二收涨，市场担心未来几个月糖产量可能下降，在印度禁止食糖出口的背景下，糖产量下降无疑将令全球糖市供应进一步收紧。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0.28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1.90%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15.01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E3C195C" w14:textId="77777777" w:rsidR="00ED4A18" w:rsidRPr="00ED4A18" w:rsidRDefault="00ED4A18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国际方面，市场调查，巴西中南部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月下半月糖产量预计同比调增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72.7%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，至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148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万吨，报告称，受益于天气较去年同期明显干燥，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月下半月甘蔗压榨数量大增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102.2%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，至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3631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万吨，支撑食糖产量上升，上年同期时降雨过的曾阻碍甘蔗压榨。</w:t>
      </w:r>
    </w:p>
    <w:p w14:paraId="3F44DEBC" w14:textId="22A5B6FD" w:rsidR="00C27A84" w:rsidRDefault="00ED4A18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15.90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14.20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0FCC9A1" w:rsidR="007A477E" w:rsidRPr="00786136" w:rsidRDefault="00ED4A18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276209A3" wp14:editId="4545B470">
            <wp:extent cx="5262245" cy="2182495"/>
            <wp:effectExtent l="0" t="0" r="0" b="8255"/>
            <wp:docPr id="769020837" name="图片 6" descr="QQ截图2026052007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QQ截图202605200759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1B1E24D3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DF9B3D3" w14:textId="77777777" w:rsidR="00ED4A18" w:rsidRPr="00ED4A18" w:rsidRDefault="00ED4A18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棉花期货周二下滑，承压于美元走强，及预期关键作物产区将迎来降雨。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ICE 7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1.37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1.60%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82.33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0DE264A7" w14:textId="77777777" w:rsidR="00ED4A18" w:rsidRDefault="00ED4A18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日止当周，美国当前年度陆地棉出口销售净增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4.7669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万包，为市场年度低点，较前周减少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61%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66%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。当周美国陆地棉出口装运量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29.0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ED4A18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。当周美国棉花出口签约量、装船量环比均减少明显。</w:t>
      </w:r>
    </w:p>
    <w:p w14:paraId="7D3DBD43" w14:textId="23B91188" w:rsidR="00C24CC6" w:rsidRPr="00C24CC6" w:rsidRDefault="00F728F3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4B1CBA66" w:rsidR="00C24CC6" w:rsidRDefault="00ED4A18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3226CA7A" wp14:editId="29232B6D">
            <wp:extent cx="5270500" cy="2148205"/>
            <wp:effectExtent l="0" t="0" r="6350" b="4445"/>
            <wp:docPr id="992245547" name="图片 7" descr="QQ截图2026052008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QQ截图202605200800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B8D567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lastRenderedPageBreak/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4"/>
      <w:footerReference w:type="default" r:id="rId25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A08E4" w14:textId="77777777" w:rsidR="00966428" w:rsidRDefault="00966428">
      <w:pPr>
        <w:ind w:right="210" w:firstLine="420"/>
      </w:pPr>
      <w:r>
        <w:separator/>
      </w:r>
    </w:p>
  </w:endnote>
  <w:endnote w:type="continuationSeparator" w:id="0">
    <w:p w14:paraId="560C0DCB" w14:textId="77777777" w:rsidR="00966428" w:rsidRDefault="00966428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0D9F2" w14:textId="77777777" w:rsidR="00966428" w:rsidRDefault="00966428">
      <w:pPr>
        <w:ind w:right="210" w:firstLine="420"/>
      </w:pPr>
      <w:r>
        <w:separator/>
      </w:r>
    </w:p>
  </w:footnote>
  <w:footnote w:type="continuationSeparator" w:id="0">
    <w:p w14:paraId="17B7DA7C" w14:textId="77777777" w:rsidR="00966428" w:rsidRDefault="00966428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803307307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18B6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3CD6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56F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164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37A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2B91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0BB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5F7A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6428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758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13D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12D"/>
    <w:rsid w:val="009F5BE1"/>
    <w:rsid w:val="009F64F4"/>
    <w:rsid w:val="009F72B2"/>
    <w:rsid w:val="009F78AF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2E29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3A0C"/>
    <w:rsid w:val="00D64AA3"/>
    <w:rsid w:val="00D64D2D"/>
    <w:rsid w:val="00D64D94"/>
    <w:rsid w:val="00D66A75"/>
    <w:rsid w:val="00D66DAA"/>
    <w:rsid w:val="00D673DE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653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4A18"/>
    <w:rsid w:val="00ED606D"/>
    <w:rsid w:val="00ED60B9"/>
    <w:rsid w:val="00ED700A"/>
    <w:rsid w:val="00ED7E78"/>
    <w:rsid w:val="00EE1744"/>
    <w:rsid w:val="00EE1A15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672</Words>
  <Characters>3832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2026-05-20T01:49:00Z</dcterms:created>
  <dcterms:modified xsi:type="dcterms:W3CDTF">2026-05-20T01:49:00Z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