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7D35640"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0358B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8E453D">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0217F3C"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9B3C7E">
        <w:rPr>
          <w:rFonts w:ascii="微软雅黑" w:eastAsia="微软雅黑" w:hAnsi="微软雅黑" w:cs="微软雅黑" w:hint="eastAsia"/>
          <w:spacing w:val="4"/>
          <w:lang w:eastAsia="zh-CN"/>
        </w:rPr>
        <w:t>跌2.22</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9B3C7E">
        <w:rPr>
          <w:rFonts w:ascii="微软雅黑" w:eastAsia="微软雅黑" w:hAnsi="微软雅黑" w:cs="微软雅黑" w:hint="eastAsia"/>
          <w:spacing w:val="4"/>
          <w:lang w:eastAsia="zh-CN"/>
        </w:rPr>
        <w:t>跌2.59</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9B3C7E">
        <w:rPr>
          <w:rFonts w:ascii="微软雅黑" w:eastAsia="微软雅黑" w:hAnsi="微软雅黑" w:cs="微软雅黑" w:hint="eastAsia"/>
          <w:spacing w:val="4"/>
          <w:lang w:eastAsia="zh-CN"/>
        </w:rPr>
        <w:t>涨0.39</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BE65B3">
        <w:rPr>
          <w:rFonts w:ascii="微软雅黑" w:eastAsia="微软雅黑" w:hAnsi="微软雅黑" w:cs="微软雅黑" w:hint="eastAsia"/>
          <w:spacing w:val="4"/>
          <w:lang w:eastAsia="zh-CN"/>
        </w:rPr>
        <w:t>跌</w:t>
      </w:r>
      <w:r w:rsidR="009B3C7E" w:rsidRPr="00D338AE">
        <w:rPr>
          <w:rFonts w:ascii="微软雅黑" w:eastAsia="微软雅黑" w:hAnsi="微软雅黑" w:cs="微软雅黑" w:hint="eastAsia"/>
          <w:color w:val="000000" w:themeColor="text1"/>
          <w:spacing w:val="4"/>
          <w:lang w:eastAsia="zh-CN"/>
        </w:rPr>
        <w:t>0.87</w:t>
      </w:r>
      <w:r w:rsidRPr="00D338AE">
        <w:rPr>
          <w:rFonts w:ascii="微软雅黑" w:eastAsia="微软雅黑" w:hAnsi="微软雅黑" w:cs="微软雅黑" w:hint="eastAsia"/>
          <w:color w:val="000000" w:themeColor="text1"/>
          <w:spacing w:val="4"/>
          <w:lang w:eastAsia="zh-CN"/>
        </w:rPr>
        <w:t>%，COMEX黄金周</w:t>
      </w:r>
      <w:r w:rsidR="009B3C7E" w:rsidRPr="00D338AE">
        <w:rPr>
          <w:rFonts w:ascii="微软雅黑" w:eastAsia="微软雅黑" w:hAnsi="微软雅黑" w:cs="微软雅黑" w:hint="eastAsia"/>
          <w:color w:val="000000" w:themeColor="text1"/>
          <w:spacing w:val="4"/>
          <w:lang w:eastAsia="zh-CN"/>
        </w:rPr>
        <w:t>跌5.21</w:t>
      </w:r>
      <w:r w:rsidRPr="00D338AE">
        <w:rPr>
          <w:rFonts w:ascii="微软雅黑" w:eastAsia="微软雅黑" w:hAnsi="微软雅黑" w:cs="微软雅黑" w:hint="eastAsia"/>
          <w:color w:val="000000" w:themeColor="text1"/>
          <w:spacing w:val="4"/>
          <w:lang w:eastAsia="zh-CN"/>
        </w:rPr>
        <w:t>%，COMEX白银周</w:t>
      </w:r>
      <w:r w:rsidR="00437F13" w:rsidRPr="00D338AE">
        <w:rPr>
          <w:rFonts w:ascii="微软雅黑" w:eastAsia="微软雅黑" w:hAnsi="微软雅黑" w:cs="微软雅黑" w:hint="eastAsia"/>
          <w:color w:val="000000" w:themeColor="text1"/>
          <w:spacing w:val="4"/>
          <w:lang w:eastAsia="zh-CN"/>
        </w:rPr>
        <w:t>跌</w:t>
      </w:r>
      <w:r w:rsidR="009B3C7E" w:rsidRPr="00D338AE">
        <w:rPr>
          <w:rFonts w:ascii="微软雅黑" w:eastAsia="微软雅黑" w:hAnsi="微软雅黑" w:cs="微软雅黑" w:hint="eastAsia"/>
          <w:color w:val="000000" w:themeColor="text1"/>
          <w:spacing w:val="4"/>
          <w:lang w:eastAsia="zh-CN"/>
        </w:rPr>
        <w:t>10.39</w:t>
      </w:r>
      <w:r w:rsidRPr="00D338AE">
        <w:rPr>
          <w:rFonts w:ascii="微软雅黑" w:eastAsia="微软雅黑" w:hAnsi="微软雅黑" w:cs="微软雅黑" w:hint="eastAsia"/>
          <w:color w:val="000000" w:themeColor="text1"/>
          <w:spacing w:val="4"/>
          <w:lang w:eastAsia="zh-CN"/>
        </w:rPr>
        <w:t>%。WTI原油周</w:t>
      </w:r>
      <w:r w:rsidR="009B3C7E" w:rsidRPr="00D338AE">
        <w:rPr>
          <w:rFonts w:ascii="微软雅黑" w:eastAsia="微软雅黑" w:hAnsi="微软雅黑" w:cs="微软雅黑" w:hint="eastAsia"/>
          <w:color w:val="000000" w:themeColor="text1"/>
          <w:spacing w:val="4"/>
          <w:lang w:eastAsia="zh-CN"/>
        </w:rPr>
        <w:t>涨3.31</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D338AE" w:rsidRPr="00D338AE">
        <w:rPr>
          <w:rFonts w:ascii="微软雅黑" w:eastAsia="微软雅黑" w:hAnsi="微软雅黑" w:cs="微软雅黑" w:hint="eastAsia"/>
          <w:color w:val="000000" w:themeColor="text1"/>
          <w:spacing w:val="4"/>
          <w:lang w:eastAsia="zh-CN"/>
        </w:rPr>
        <w:t>涨0.43</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6A1D1C" w:rsidRPr="00D338AE">
        <w:rPr>
          <w:rFonts w:ascii="微软雅黑" w:eastAsia="微软雅黑" w:hAnsi="微软雅黑" w:cs="微软雅黑" w:hint="eastAsia"/>
          <w:color w:val="000000" w:themeColor="text1"/>
          <w:spacing w:val="4"/>
          <w:lang w:eastAsia="zh-CN"/>
        </w:rPr>
        <w:t>跌</w:t>
      </w:r>
      <w:r w:rsidR="00D338AE" w:rsidRPr="00D338AE">
        <w:rPr>
          <w:rFonts w:ascii="微软雅黑" w:eastAsia="微软雅黑" w:hAnsi="微软雅黑" w:cs="微软雅黑" w:hint="eastAsia"/>
          <w:color w:val="000000" w:themeColor="text1"/>
          <w:spacing w:val="4"/>
          <w:lang w:eastAsia="zh-CN"/>
        </w:rPr>
        <w:t>2.90</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9B3C7E">
        <w:rPr>
          <w:rFonts w:ascii="微软雅黑" w:eastAsia="微软雅黑" w:hAnsi="微软雅黑" w:cs="微软雅黑" w:hint="eastAsia"/>
          <w:spacing w:val="4"/>
          <w:lang w:eastAsia="zh-CN"/>
        </w:rPr>
        <w:t>3.48</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BA2CFB7" w:rsidR="00993B64" w:rsidRPr="00184E17" w:rsidRDefault="009B3C7E"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61151D4" wp14:editId="49763EFB">
            <wp:extent cx="6155425" cy="3834351"/>
            <wp:effectExtent l="0" t="0" r="0" b="0"/>
            <wp:docPr id="12145647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364" cy="3844903"/>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785CD0F1" w:rsidR="001348E6" w:rsidRPr="00D338AE"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伊朗时隔两个月再次袭击以色列。以色列军方6月7日发表声明称，监测到伊朗向以色列发射两轮导弹，以色列全国多地拉响防空警报。目前以色列空军正在实施拦截，并将“在必要时对相关威胁予以打击以彻底消除危险”。美国总统特朗普表示，要给以色列总理内塔尼亚胡打电话，告诉他“不要反击”。特朗普称，对伊朗的建议是：已经发射了导弹，那就够了；接下来应该回到谈判桌，达成协议。</w:t>
      </w:r>
      <w:r w:rsidRPr="00D338AE">
        <w:rPr>
          <w:rFonts w:ascii="微软雅黑" w:eastAsia="微软雅黑" w:hAnsi="微软雅黑" w:cs="微软雅黑" w:hint="eastAsia"/>
          <w:lang w:eastAsia="zh-CN"/>
        </w:rPr>
        <w:t>】</w:t>
      </w:r>
    </w:p>
    <w:p w14:paraId="2D8E43E1" w14:textId="78D11E72" w:rsidR="00D450EA" w:rsidRPr="00D338AE" w:rsidRDefault="00D450EA" w:rsidP="001348E6">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伊朗副总统兼环境署署长希娜·安萨里表示，伊朗已启动《霍尔木兹海峡环境服务收费条例》制定工作，初步草案近日完成，但收费标准及具体征收机制尚未最终确定。</w:t>
      </w:r>
      <w:r w:rsidRPr="00D338AE">
        <w:rPr>
          <w:rFonts w:ascii="微软雅黑" w:eastAsia="微软雅黑" w:hAnsi="微软雅黑" w:cs="微软雅黑" w:hint="eastAsia"/>
          <w:lang w:eastAsia="zh-CN"/>
        </w:rPr>
        <w:t>】</w:t>
      </w:r>
    </w:p>
    <w:p w14:paraId="19F02E75" w14:textId="4E571031" w:rsidR="00D450EA" w:rsidRPr="00D338AE" w:rsidRDefault="00D450EA" w:rsidP="001348E6">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美国总统特朗普表示，不会把解冻伊朗资产或取消对伊制裁作为任何协议的先决条件。消息人士透露，美国财政部计划利用伊朗资产帮助海湾盟友修复由伊朗造成的损失，目前还不清楚哪些资产或将被动用。</w:t>
      </w:r>
      <w:r w:rsidRPr="00D338AE">
        <w:rPr>
          <w:rFonts w:ascii="微软雅黑" w:eastAsia="微软雅黑" w:hAnsi="微软雅黑" w:cs="微软雅黑" w:hint="eastAsia"/>
          <w:lang w:eastAsia="zh-CN"/>
        </w:rPr>
        <w:t>】</w:t>
      </w:r>
    </w:p>
    <w:p w14:paraId="300138EF" w14:textId="6707FDAB" w:rsidR="00ED7A70" w:rsidRPr="00D338AE" w:rsidRDefault="00ED7A70" w:rsidP="0029534B">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美国总统特朗普表示，如果美国与伊朗最终达成协议，他不排除与伊朗新任最高领袖举行会晤的可能性。特朗普重申，美国绝不允许伊朗拥有核武器，美国此前对伊朗核设施打击已将相关设施“彻底摧毁”。特朗普还表示，美国曾考虑派遣美军进入伊朗核设施所在地运走浓缩铀，但最终放弃这一方案，以避免美军陷入长期地面行动并遭受伤亡。相关行动需要持续一至两周，并动用大量重型设备和空运能力，因此存在较高风险。</w:t>
      </w:r>
      <w:r w:rsidRPr="00D338AE">
        <w:rPr>
          <w:rFonts w:ascii="微软雅黑" w:eastAsia="微软雅黑" w:hAnsi="微软雅黑" w:cs="微软雅黑" w:hint="eastAsia"/>
          <w:lang w:eastAsia="zh-CN"/>
        </w:rPr>
        <w:t>】</w:t>
      </w:r>
    </w:p>
    <w:p w14:paraId="0B4FCA47" w14:textId="202BC09F" w:rsidR="005025C0" w:rsidRPr="00D338AE" w:rsidRDefault="005025C0" w:rsidP="005025C0">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lastRenderedPageBreak/>
        <w:t>【</w:t>
      </w:r>
      <w:r w:rsidR="00D338AE" w:rsidRPr="00D338AE">
        <w:rPr>
          <w:rFonts w:ascii="微软雅黑" w:eastAsia="微软雅黑" w:hAnsi="微软雅黑" w:cs="微软雅黑"/>
          <w:lang w:eastAsia="zh-CN"/>
        </w:rPr>
        <w:t>有美官员透露，美国总统特朗普已私下告知其助手，如果有美军士兵在同伊朗交战中死亡，他将考虑终止同伊朗的停火。同时，美方官员坚称，尽管近期小规模冲突频发，但已持续数周的空袭暂停状态依然维持不变。</w:t>
      </w:r>
      <w:r w:rsidRPr="00D338AE">
        <w:rPr>
          <w:rFonts w:ascii="微软雅黑" w:eastAsia="微软雅黑" w:hAnsi="微软雅黑" w:cs="微软雅黑" w:hint="eastAsia"/>
          <w:lang w:eastAsia="zh-CN"/>
        </w:rPr>
        <w:t>】</w:t>
      </w:r>
    </w:p>
    <w:p w14:paraId="3662027E" w14:textId="10C473F7" w:rsidR="00D338AE" w:rsidRPr="00D338AE" w:rsidRDefault="005025C0" w:rsidP="00D338AE">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俄罗斯总统普京表示，俄方完全准备好并愿意在美国阿拉斯加州安克雷奇市的美军基地与乌克兰进行和平谈判。普京还表示，控制顿巴斯地区和与乌克兰达成和平协议并不矛盾。顿巴斯地区主要包括卢甘斯克和顿涅茨克两地。乌克兰总统泽连斯基发布致俄罗斯总统普京的公开信，提议与普京举行会晤并为之确定日期。</w:t>
      </w:r>
      <w:r w:rsidR="00D338AE" w:rsidRPr="00D338AE">
        <w:rPr>
          <w:rFonts w:ascii="微软雅黑" w:eastAsia="微软雅黑" w:hAnsi="微软雅黑" w:cs="微软雅黑" w:hint="eastAsia"/>
          <w:lang w:eastAsia="zh-CN"/>
        </w:rPr>
        <w:t>】</w:t>
      </w:r>
    </w:p>
    <w:p w14:paraId="52D9809F" w14:textId="690660EE" w:rsidR="00F503FB" w:rsidRPr="00D338AE" w:rsidRDefault="00D338AE" w:rsidP="00D338AE">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总统特朗普表示，正在与伊朗达成协议，伊朗已同意不会拥有核武器，自己可能会在某个时候与伊朗最高领袖会面。特朗普称，对伊朗海上封锁可能会持续到美国劳动节，即今年9月7日。特朗普还证实斥责以色列总理内塔尼亚胡“疯了”，并称对以在黎巴嫩军事行动感到“不悦”。知情人士称，伊美正在讨论的谅解备忘录若最终敲定，将分四个主要阶段依次推进，其中第三阶段将讨论核问题</w:t>
      </w:r>
      <w:r w:rsidR="005025C0" w:rsidRPr="00D338AE">
        <w:rPr>
          <w:rFonts w:ascii="微软雅黑" w:eastAsia="微软雅黑" w:hAnsi="微软雅黑" w:cs="微软雅黑"/>
          <w:lang w:eastAsia="zh-CN"/>
        </w:rPr>
        <w:t>。</w:t>
      </w:r>
      <w:r w:rsidR="00F503FB" w:rsidRPr="00D338AE">
        <w:rPr>
          <w:rFonts w:ascii="微软雅黑" w:eastAsia="微软雅黑" w:hAnsi="微软雅黑" w:cs="微软雅黑" w:hint="eastAsia"/>
          <w:lang w:eastAsia="zh-CN"/>
        </w:rPr>
        <w:t>】</w:t>
      </w:r>
    </w:p>
    <w:p w14:paraId="282F704D" w14:textId="51440498"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据伊朗方面消息，霍尔木兹海峡船舶通行许可申请系统已全面开放，全球船东和船长可提交通行申请。审核通过后，船舶将获得通行许可。伊朗媒体披露伊美信息交换“已暂停数日”，尽管一些西方媒体和官员称仍在正常推进，但实际情况并非如此。不过，美国总统特朗普表示，美伊之间的对话一直在持续进行。美国国务卿鲁比奥表示，美国仍在与伊朗谈判，但他不确定何时能达成协议。</w:t>
      </w:r>
      <w:r w:rsidRPr="00D338AE">
        <w:rPr>
          <w:rFonts w:ascii="微软雅黑" w:eastAsia="微软雅黑" w:hAnsi="微软雅黑" w:cs="微软雅黑" w:hint="eastAsia"/>
          <w:lang w:eastAsia="zh-CN"/>
        </w:rPr>
        <w:t>】</w:t>
      </w:r>
    </w:p>
    <w:p w14:paraId="70B9D6EA" w14:textId="0DC7923D" w:rsidR="00D450EA" w:rsidRPr="00D338AE" w:rsidRDefault="00D450EA" w:rsidP="00D450EA">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美国汽车制造商、电子企业等九个行业组织联合警告称，AI数据中心对存储芯片日益增长的需求可能导致美国消费品价格大幅上涨并扰乱供应链，甚至可能波及整个美国经济。他们呼吁美国政府与厂商及买家协作扩大芯片产能。</w:t>
      </w:r>
      <w:r w:rsidRPr="00D338AE">
        <w:rPr>
          <w:rFonts w:ascii="微软雅黑" w:eastAsia="微软雅黑" w:hAnsi="微软雅黑" w:cs="微软雅黑" w:hint="eastAsia"/>
          <w:lang w:eastAsia="zh-CN"/>
        </w:rPr>
        <w:t>】</w:t>
      </w:r>
    </w:p>
    <w:p w14:paraId="413B83E8" w14:textId="11DE5B7C"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联储新任主席沃什首份内部备忘录流出，他承诺将遵循“美联储最优良的传统”，同时明确表示将寻求变革。多名美联储前高层官员透露，沃什计划逐步撤销现行利率前瞻性指引规则，并删除议息决议声明中暗示后续加息或降息方向的措辞。与此同时，沃什任命两位保守派政策人士担任过渡期顾问，其中一人曾建议“彻底重组美联储”。</w:t>
      </w:r>
      <w:r w:rsidRPr="00D338AE">
        <w:rPr>
          <w:rFonts w:ascii="微软雅黑" w:eastAsia="微软雅黑" w:hAnsi="微软雅黑" w:cs="微软雅黑" w:hint="eastAsia"/>
          <w:lang w:eastAsia="zh-CN"/>
        </w:rPr>
        <w:t>】</w:t>
      </w:r>
    </w:p>
    <w:p w14:paraId="407200AC" w14:textId="75AF4F1E" w:rsidR="005025C0" w:rsidRPr="00D338AE" w:rsidRDefault="005025C0" w:rsidP="005025C0">
      <w:pPr>
        <w:pStyle w:val="a9"/>
        <w:rPr>
          <w:rFonts w:ascii="微软雅黑" w:eastAsia="微软雅黑" w:hAnsi="微软雅黑" w:cs="微软雅黑"/>
          <w:lang w:eastAsia="zh-CN"/>
        </w:rPr>
      </w:pPr>
      <w:r w:rsidRPr="00D338AE">
        <w:rPr>
          <w:rFonts w:ascii="微软雅黑" w:eastAsia="微软雅黑" w:hAnsi="微软雅黑" w:cs="微软雅黑"/>
          <w:lang w:eastAsia="zh-CN"/>
        </w:rPr>
        <w:t>【</w:t>
      </w:r>
      <w:r w:rsidR="00D338AE" w:rsidRPr="00D338AE">
        <w:rPr>
          <w:rFonts w:ascii="微软雅黑" w:eastAsia="微软雅黑" w:hAnsi="微软雅黑" w:cs="微软雅黑"/>
          <w:lang w:eastAsia="zh-CN"/>
        </w:rPr>
        <w:t>在美联储主席凯文·沃什准备主持其首次货币政策会议（6月16日-17日）之际，美国总统特朗普表示，美联储如果提高利率将是错误的选择。</w:t>
      </w:r>
      <w:r w:rsidRPr="00D338AE">
        <w:rPr>
          <w:rFonts w:ascii="微软雅黑" w:eastAsia="微软雅黑" w:hAnsi="微软雅黑" w:cs="微软雅黑"/>
          <w:lang w:eastAsia="zh-CN"/>
        </w:rPr>
        <w:t>】</w:t>
      </w:r>
    </w:p>
    <w:p w14:paraId="137604EA" w14:textId="11A130C3" w:rsidR="00D338AE" w:rsidRPr="00D338AE" w:rsidRDefault="00D338AE" w:rsidP="005025C0">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现美联储理事鲍威尔卸任美联储主席后首次发声，他警告称，如果任何一位美国总统都可以因政策分歧而罢免美联储官员，那么支撑强劲且稳定经济所必需的美联储公信力将遭到破坏。</w:t>
      </w:r>
      <w:r w:rsidRPr="00D338AE">
        <w:rPr>
          <w:rFonts w:ascii="微软雅黑" w:eastAsia="微软雅黑" w:hAnsi="微软雅黑" w:cs="微软雅黑" w:hint="eastAsia"/>
          <w:lang w:eastAsia="zh-CN"/>
        </w:rPr>
        <w:t>】</w:t>
      </w:r>
    </w:p>
    <w:p w14:paraId="239BA260" w14:textId="25EC37ED" w:rsidR="00D338AE" w:rsidRPr="00D338AE" w:rsidRDefault="00D338AE" w:rsidP="00D338AE">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纽约联储主席、FOMC副主席威廉姆斯表示，尽管中东战争及其他因素带来了通胀上升风险，但美国货币政策目前处于恰当位置，他认为美联储短期无需调整利率，未来利率走势没有明确方向。</w:t>
      </w:r>
      <w:r w:rsidRPr="00D338AE">
        <w:rPr>
          <w:rFonts w:ascii="微软雅黑" w:eastAsia="微软雅黑" w:hAnsi="微软雅黑" w:cs="微软雅黑" w:hint="eastAsia"/>
          <w:lang w:eastAsia="zh-CN"/>
        </w:rPr>
        <w:t>】</w:t>
      </w:r>
    </w:p>
    <w:p w14:paraId="041C4046" w14:textId="3DF776E6" w:rsidR="00D338AE" w:rsidRPr="00D338AE" w:rsidRDefault="00D338AE" w:rsidP="00D338AE">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总统特朗普表示，希望看到利率下调，但将把利率决策权交给美联储主席沃什。特朗普称，美国在伊朗问题上取得巨大成功，伊朗目前不具备拥有核武器的条件。对于油价，政府拥有多种选择。特朗普还透露，已安排与人工智能企业会面，他们可能会在下周前往白宫。</w:t>
      </w:r>
      <w:r w:rsidRPr="00D338AE">
        <w:rPr>
          <w:rFonts w:ascii="微软雅黑" w:eastAsia="微软雅黑" w:hAnsi="微软雅黑" w:cs="微软雅黑" w:hint="eastAsia"/>
          <w:lang w:eastAsia="zh-CN"/>
        </w:rPr>
        <w:t>】</w:t>
      </w:r>
    </w:p>
    <w:p w14:paraId="075D055F" w14:textId="560C933E"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联储内部鹰派声音持续升温。克利夫兰联储主席哈马克表示，虽然当前维持利率不变仍属合理，但如果近期通胀数据持续居高不下，政策层面可能很快需要采取行动——包括考虑进一步加息，以应对通胀持续高企的风险。</w:t>
      </w:r>
      <w:r w:rsidRPr="00D338AE">
        <w:rPr>
          <w:rFonts w:ascii="微软雅黑" w:eastAsia="微软雅黑" w:hAnsi="微软雅黑" w:cs="微软雅黑" w:hint="eastAsia"/>
          <w:lang w:eastAsia="zh-CN"/>
        </w:rPr>
        <w:t>】</w:t>
      </w:r>
    </w:p>
    <w:p w14:paraId="60A58288" w14:textId="7280EE11"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5月非农就业人口新增17.2万人，远超市场预期的8.5万人，失业率持平于4.3%，时薪环比上涨0.3%，均符合预期。美国3月和4月非农就业数据合计上修9.3万人，使得过去三个月就业增幅创逾两年来最强表现。数据公布后，利率互换市场已完全定价美联储将在年内加息。</w:t>
      </w:r>
      <w:r w:rsidRPr="00D338AE">
        <w:rPr>
          <w:rFonts w:ascii="微软雅黑" w:eastAsia="微软雅黑" w:hAnsi="微软雅黑" w:cs="微软雅黑" w:hint="eastAsia"/>
          <w:lang w:eastAsia="zh-CN"/>
        </w:rPr>
        <w:t>】</w:t>
      </w:r>
    </w:p>
    <w:p w14:paraId="7E4A8F9C" w14:textId="358C9260" w:rsidR="005025C0" w:rsidRPr="00D338AE" w:rsidRDefault="005025C0" w:rsidP="00D450EA">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美国上周初请失业金人数增加1.3万人至22.5万人，超出经济学家预期，创今年2月以来的最高水平。数据同时显示，美国6月挑战者裁员人数为9.7万人，其中因AI导致的裁员达3.86万，占比40%。</w:t>
      </w:r>
      <w:r w:rsidRPr="00D338AE">
        <w:rPr>
          <w:rFonts w:ascii="微软雅黑" w:eastAsia="微软雅黑" w:hAnsi="微软雅黑" w:cs="微软雅黑" w:hint="eastAsia"/>
          <w:lang w:eastAsia="zh-CN"/>
        </w:rPr>
        <w:t>】</w:t>
      </w:r>
    </w:p>
    <w:p w14:paraId="7FF7703D" w14:textId="3607CA29" w:rsidR="00D338AE" w:rsidRPr="00D338AE" w:rsidRDefault="00D338AE" w:rsidP="00D450EA">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美国5月ISM制造业PMI上升1.3个百分点至54，连续五个月扩张并创四年新高。新订单增速加速至四个月高位，物价支付指数小幅回落但仍接近2022年以来高位，就业指数有所改善。</w:t>
      </w:r>
      <w:r w:rsidRPr="00D338AE">
        <w:rPr>
          <w:rFonts w:ascii="微软雅黑" w:eastAsia="微软雅黑" w:hAnsi="微软雅黑" w:cs="微软雅黑" w:hint="eastAsia"/>
          <w:lang w:eastAsia="zh-CN"/>
        </w:rPr>
        <w:t>】</w:t>
      </w:r>
    </w:p>
    <w:p w14:paraId="0813A482" w14:textId="7380F4C2" w:rsidR="00D338AE" w:rsidRPr="00D338AE" w:rsidRDefault="00D338AE" w:rsidP="00D450EA">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lastRenderedPageBreak/>
        <w:t>【</w:t>
      </w:r>
      <w:r w:rsidRPr="00D338AE">
        <w:rPr>
          <w:rFonts w:ascii="微软雅黑" w:eastAsia="微软雅黑" w:hAnsi="微软雅黑" w:cs="微软雅黑"/>
          <w:lang w:eastAsia="zh-CN"/>
        </w:rPr>
        <w:t>美国5月ISM服务业PMI升至三个月高点54.5，高于预期的53.8。新订单和商业活动指标均有所上升，显示出消费者需求依然韧性十足。支付价格指标升至71.3，为2022年8月以来最高水平。</w:t>
      </w:r>
      <w:r w:rsidRPr="00D338AE">
        <w:rPr>
          <w:rFonts w:ascii="微软雅黑" w:eastAsia="微软雅黑" w:hAnsi="微软雅黑" w:cs="微软雅黑" w:hint="eastAsia"/>
          <w:lang w:eastAsia="zh-CN"/>
        </w:rPr>
        <w:t>】</w:t>
      </w:r>
    </w:p>
    <w:p w14:paraId="760A38FC" w14:textId="1B4E5469" w:rsidR="00D338AE" w:rsidRPr="00D338AE" w:rsidRDefault="00D338AE" w:rsidP="00D450EA">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美国5月ADP就业增加12.2万人，创去年2月以来的最高水平，高于市场预期的11.7万人。</w:t>
      </w:r>
      <w:r w:rsidRPr="00D338AE">
        <w:rPr>
          <w:rFonts w:ascii="微软雅黑" w:eastAsia="微软雅黑" w:hAnsi="微软雅黑" w:cs="微软雅黑" w:hint="eastAsia"/>
          <w:lang w:eastAsia="zh-CN"/>
        </w:rPr>
        <w:t>】</w:t>
      </w:r>
    </w:p>
    <w:p w14:paraId="7512118D" w14:textId="18F158DA" w:rsidR="005025C0" w:rsidRPr="00D338AE" w:rsidRDefault="005025C0" w:rsidP="00380003">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美联储褐皮书显示，12个联储辖区中有10个经济活动呈现“轻微至温和”增长。中东冲突推升能源成本是通胀压力首要来源，其影响已外溢至航运、包装、食品杂货及化肥等领域，消费者信心趋弱。多数联储辖区延续"低招聘、低裁员"的格局，制造业招聘力度较强。</w:t>
      </w:r>
      <w:r w:rsidRPr="00D338AE">
        <w:rPr>
          <w:rFonts w:ascii="微软雅黑" w:eastAsia="微软雅黑" w:hAnsi="微软雅黑" w:cs="微软雅黑" w:hint="eastAsia"/>
          <w:lang w:eastAsia="zh-CN"/>
        </w:rPr>
        <w:t>】</w:t>
      </w:r>
    </w:p>
    <w:p w14:paraId="7C3F37DC" w14:textId="77777777"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美国总统特朗普签署文件，暂时调整部分进口钢铝铜产品关税，从6月8日开始实施，至2027年12月31日到期。其中，收割机和一些其他农业机械适用的进口从价关税从25%下调至15%，进口产品钢铝铜本地成分含量比例门槛从95%下调至85%。</w:t>
      </w:r>
      <w:r w:rsidRPr="00D338AE">
        <w:rPr>
          <w:rFonts w:ascii="微软雅黑" w:eastAsia="微软雅黑" w:hAnsi="微软雅黑" w:cs="微软雅黑" w:hint="eastAsia"/>
          <w:lang w:eastAsia="zh-CN"/>
        </w:rPr>
        <w:t>】</w:t>
      </w:r>
    </w:p>
    <w:p w14:paraId="3BD2CD8C" w14:textId="0A3B9BB2" w:rsidR="00D338AE" w:rsidRPr="00D338AE" w:rsidRDefault="00D338AE" w:rsidP="00D338AE">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劳动力市场韧性支撑美联储鹰派预期。美国劳工统计局公布数据显示，4月职位空缺数跃升至762万，创下近两年来最高水平，远超经济学家预期687万。裁员人数降至169.2万，远低于市场预期。</w:t>
      </w:r>
      <w:r w:rsidRPr="00D338AE">
        <w:rPr>
          <w:rFonts w:ascii="微软雅黑" w:eastAsia="微软雅黑" w:hAnsi="微软雅黑" w:cs="微软雅黑" w:hint="eastAsia"/>
          <w:lang w:eastAsia="zh-CN"/>
        </w:rPr>
        <w:t>】</w:t>
      </w:r>
    </w:p>
    <w:p w14:paraId="0656058E" w14:textId="71F06EF3" w:rsidR="00D338AE" w:rsidRDefault="00D338AE" w:rsidP="007F6807">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欧洲央行执委施纳贝尔警告称，随着价格压力扩散至能源领域之外，且通胀预期脱锚的风险上升，欧洲央行已不能再对伊朗战争带来的通胀影响视而不见。施纳贝尔还表示，稳定币对金融稳定及货币政策构成多重风险。</w:t>
      </w:r>
      <w:r w:rsidRPr="00D338AE">
        <w:rPr>
          <w:rFonts w:ascii="微软雅黑" w:eastAsia="微软雅黑" w:hAnsi="微软雅黑" w:cs="微软雅黑" w:hint="eastAsia"/>
          <w:lang w:eastAsia="zh-CN"/>
        </w:rPr>
        <w:t>】</w:t>
      </w:r>
    </w:p>
    <w:p w14:paraId="41EF73BC" w14:textId="20F07EF6" w:rsidR="004859EC" w:rsidRPr="004859EC" w:rsidRDefault="004859EC" w:rsidP="004859EC">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Pr="00D338AE">
        <w:rPr>
          <w:rFonts w:ascii="微软雅黑" w:eastAsia="微软雅黑" w:hAnsi="微软雅黑" w:cs="微软雅黑"/>
          <w:lang w:eastAsia="zh-CN"/>
        </w:rPr>
        <w:t>欧盟统计局公布初步数据显示，受能源与服务价格抬升带动，5月欧元区CPI同比上涨3.2%，升幅高于4月份的3%，进一步支撑欧洲央行在6月小幅加息的市场预期。</w:t>
      </w:r>
      <w:r w:rsidRPr="00D338AE">
        <w:rPr>
          <w:rFonts w:ascii="微软雅黑" w:eastAsia="微软雅黑" w:hAnsi="微软雅黑" w:cs="微软雅黑" w:hint="eastAsia"/>
          <w:lang w:eastAsia="zh-CN"/>
        </w:rPr>
        <w:t>】</w:t>
      </w:r>
    </w:p>
    <w:p w14:paraId="6B39E791" w14:textId="59A28049" w:rsidR="00D450EA" w:rsidRPr="00D338AE" w:rsidRDefault="00D450EA" w:rsidP="00D450EA">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日本央行行长植田和男表示，油价上涨很可能会广泛推高整体物价，预计日本CPI将在2026财年显著加速，将依据经济与物价走势适时推进加息。这一表态进一步强化了市场对日本央行将在本月会议上加息的预期。</w:t>
      </w:r>
      <w:r w:rsidRPr="00D338AE">
        <w:rPr>
          <w:rFonts w:ascii="微软雅黑" w:eastAsia="微软雅黑" w:hAnsi="微软雅黑" w:cs="微软雅黑" w:hint="eastAsia"/>
          <w:lang w:eastAsia="zh-CN"/>
        </w:rPr>
        <w:t>】</w:t>
      </w:r>
    </w:p>
    <w:p w14:paraId="39EC957A" w14:textId="2F4BD93E" w:rsidR="00D450EA" w:rsidRPr="00380003" w:rsidRDefault="00D450EA" w:rsidP="00D450EA">
      <w:pPr>
        <w:pStyle w:val="a9"/>
        <w:rPr>
          <w:rFonts w:ascii="微软雅黑" w:eastAsia="微软雅黑" w:hAnsi="微软雅黑" w:cs="微软雅黑" w:hint="eastAsia"/>
          <w:lang w:eastAsia="zh-CN"/>
        </w:rPr>
      </w:pPr>
      <w:r w:rsidRPr="00D338AE">
        <w:rPr>
          <w:rFonts w:ascii="微软雅黑" w:eastAsia="微软雅黑" w:hAnsi="微软雅黑" w:cs="微软雅黑" w:hint="eastAsia"/>
          <w:lang w:eastAsia="zh-CN"/>
        </w:rPr>
        <w:t>【</w:t>
      </w:r>
      <w:r w:rsidR="00D338AE" w:rsidRPr="00D338AE">
        <w:rPr>
          <w:rFonts w:ascii="微软雅黑" w:eastAsia="微软雅黑" w:hAnsi="微软雅黑" w:cs="微软雅黑"/>
          <w:lang w:eastAsia="zh-CN"/>
        </w:rPr>
        <w:t>消息人士称，日本央行将在6月政策会议上认真权衡加息25个基点至1%的方案。与此同时，官员们认为此后仍存在进一步加息空间，理由是实际利率依然处于低位，且通胀上行风险持续存在。</w:t>
      </w:r>
      <w:r w:rsidRPr="00380003">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45B956B" w:rsidR="00B86245" w:rsidRPr="00380003" w:rsidRDefault="004859EC" w:rsidP="00380003">
            <w:pPr>
              <w:rPr>
                <w:rFonts w:ascii="微软雅黑" w:eastAsia="微软雅黑" w:hAnsi="微软雅黑" w:hint="eastAsia"/>
                <w:b/>
                <w:lang w:eastAsia="zh-CN"/>
              </w:rPr>
            </w:pPr>
            <w:r w:rsidRPr="004859EC">
              <w:rPr>
                <w:rFonts w:ascii="微软雅黑" w:eastAsia="微软雅黑" w:hAnsi="微软雅黑"/>
                <w:lang w:eastAsia="zh"/>
              </w:rPr>
              <w:t>6月5日当周，标普500指数下跌2.59%至7383.74；迷你标普500主力合约下跌2.93%至7368点。地缘局势上，伊朗时隔两个月再次袭击以色列。以色列军方6月7日发表声明称，监测到伊朗向以色列发射两轮导弹，以色列空军正在实施拦截，并将在必要时候予以还击。消息令原本出现缓和的地缘局势再度紧张。经济数据上，美国5月非农就业人数超预期上行，结合此前公布的职位空缺数和ADP就业报告，可以看出劳动市场仍具备一定韧性，令美联储加息预期进一步上升。产业层面，博通业绩展望不及预期，一度引发市场对芯片股的抛售。整体来看，地缘冲突反复变化、美联储加息上升以及芯片股遭到抛售，均对美股形成明显压力</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74094C3E" w:rsidR="00B86245" w:rsidRPr="008F5218" w:rsidRDefault="004859EC" w:rsidP="00B86245">
            <w:pPr>
              <w:rPr>
                <w:rFonts w:ascii="微软雅黑" w:eastAsia="微软雅黑" w:hAnsi="微软雅黑" w:cs="微软雅黑" w:hint="eastAsia"/>
                <w:lang w:eastAsia="zh-CN"/>
              </w:rPr>
            </w:pPr>
            <w:r w:rsidRPr="004859EC">
              <w:rPr>
                <w:rFonts w:ascii="微软雅黑" w:eastAsia="微软雅黑" w:hAnsi="微软雅黑"/>
                <w:lang w:eastAsia="zh"/>
              </w:rPr>
              <w:t>6月5日当周，富时中国A50指数下跌1.57%至15621.37；新交所富时A50期指主力合约下跌2.22%至15413。海外方面，AI巨头Anthropic已秘密向美国证券交易委员会提交了IPO申请。海外人工智能浪潮仍在不断推进。同时，美国5月非农就业人数超预期上行，结合此前公布的职位空缺数和ADP就业报告，可以看出劳动市场仍具备一定韧性，令美联储加息预期进一步上升。国内方面，经济基本面，5月我国三大官方PMI指数均维持在荣枯线上方，其中，制造业PMI较上月下滑，非制造业及综合PMI则呈现上升。然而，高技术制造业与装备制造业PMI仍在进一步走高。消息面，存储芯片巨头长鑫科技科创板IPO过会后，重量级IPO使得市场对板块流动性被稀释抱有担忧。芯片板块震荡走弱，拖累期指下跌。整体来看，新质生产力对经济的支撑利好相关行业股价，同时，海外人工智能行情仍未结束，然而海外人工智能巨头上市带来的虹吸效果以及此前国内</w:t>
            </w:r>
            <w:r w:rsidRPr="004859EC">
              <w:rPr>
                <w:rFonts w:ascii="微软雅黑" w:eastAsia="微软雅黑" w:hAnsi="微软雅黑"/>
                <w:lang w:eastAsia="zh"/>
              </w:rPr>
              <w:lastRenderedPageBreak/>
              <w:t>长鑫科技上会均对A股科技板块产生流动性稀释，使得相关板块承压，令A股与海外股市出现背离，市场整体短期或步入震荡态势。</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4FB36C2" w14:textId="77777777" w:rsidR="004859EC" w:rsidRPr="004859EC" w:rsidRDefault="004859EC" w:rsidP="004859EC">
            <w:pPr>
              <w:rPr>
                <w:rFonts w:ascii="微软雅黑" w:eastAsia="微软雅黑" w:hAnsi="微软雅黑"/>
                <w:color w:val="000000" w:themeColor="text1"/>
                <w:lang w:eastAsia="zh-CN"/>
              </w:rPr>
            </w:pPr>
            <w:r w:rsidRPr="004859EC">
              <w:rPr>
                <w:rFonts w:ascii="微软雅黑" w:eastAsia="微软雅黑" w:hAnsi="微软雅黑" w:hint="eastAsia"/>
                <w:color w:val="000000" w:themeColor="text1"/>
                <w:lang w:eastAsia="zh-CN"/>
              </w:rPr>
              <w:t>国际方面，美国</w:t>
            </w:r>
            <w:r w:rsidRPr="004859EC">
              <w:rPr>
                <w:rFonts w:ascii="微软雅黑" w:eastAsia="微软雅黑" w:hAnsi="微软雅黑"/>
                <w:color w:val="000000" w:themeColor="text1"/>
                <w:lang w:eastAsia="zh-CN"/>
              </w:rPr>
              <w:t>5</w:t>
            </w:r>
            <w:r w:rsidRPr="004859EC">
              <w:rPr>
                <w:rFonts w:ascii="微软雅黑" w:eastAsia="微软雅黑" w:hAnsi="微软雅黑" w:hint="eastAsia"/>
                <w:color w:val="000000" w:themeColor="text1"/>
                <w:lang w:eastAsia="zh-CN"/>
              </w:rPr>
              <w:t>月非农就业人口超预期增加</w:t>
            </w:r>
            <w:r w:rsidRPr="004859EC">
              <w:rPr>
                <w:rFonts w:ascii="微软雅黑" w:eastAsia="微软雅黑" w:hAnsi="微软雅黑"/>
                <w:color w:val="000000" w:themeColor="text1"/>
                <w:lang w:eastAsia="zh-CN"/>
              </w:rPr>
              <w:t>17.2</w:t>
            </w:r>
            <w:r w:rsidRPr="004859EC">
              <w:rPr>
                <w:rFonts w:ascii="微软雅黑" w:eastAsia="微软雅黑" w:hAnsi="微软雅黑" w:hint="eastAsia"/>
                <w:color w:val="000000" w:themeColor="text1"/>
                <w:lang w:eastAsia="zh-CN"/>
              </w:rPr>
              <w:t>万人，</w:t>
            </w:r>
            <w:r w:rsidRPr="004859EC">
              <w:rPr>
                <w:rFonts w:ascii="微软雅黑" w:eastAsia="微软雅黑" w:hAnsi="微软雅黑"/>
                <w:color w:val="000000" w:themeColor="text1"/>
                <w:lang w:eastAsia="zh-CN"/>
              </w:rPr>
              <w:t>3-4</w:t>
            </w:r>
            <w:r w:rsidRPr="004859EC">
              <w:rPr>
                <w:rFonts w:ascii="微软雅黑" w:eastAsia="微软雅黑" w:hAnsi="微软雅黑" w:hint="eastAsia"/>
                <w:color w:val="000000" w:themeColor="text1"/>
                <w:lang w:eastAsia="zh-CN"/>
              </w:rPr>
              <w:t>月就业新增人数合计上修</w:t>
            </w:r>
            <w:r w:rsidRPr="004859EC">
              <w:rPr>
                <w:rFonts w:ascii="微软雅黑" w:eastAsia="微软雅黑" w:hAnsi="微软雅黑"/>
                <w:color w:val="000000" w:themeColor="text1"/>
                <w:lang w:eastAsia="zh-CN"/>
              </w:rPr>
              <w:t>9.3</w:t>
            </w:r>
            <w:r w:rsidRPr="004859EC">
              <w:rPr>
                <w:rFonts w:ascii="微软雅黑" w:eastAsia="微软雅黑" w:hAnsi="微软雅黑" w:hint="eastAsia"/>
                <w:color w:val="000000" w:themeColor="text1"/>
                <w:lang w:eastAsia="zh-CN"/>
              </w:rPr>
              <w:t>万人。市场完全定价美联储年底前加息</w:t>
            </w:r>
            <w:r w:rsidRPr="004859EC">
              <w:rPr>
                <w:rFonts w:ascii="微软雅黑" w:eastAsia="微软雅黑" w:hAnsi="微软雅黑"/>
                <w:color w:val="000000" w:themeColor="text1"/>
                <w:lang w:eastAsia="zh-CN"/>
              </w:rPr>
              <w:t>25</w:t>
            </w:r>
            <w:r w:rsidRPr="004859EC">
              <w:rPr>
                <w:rFonts w:ascii="微软雅黑" w:eastAsia="微软雅黑" w:hAnsi="微软雅黑" w:hint="eastAsia"/>
                <w:color w:val="000000" w:themeColor="text1"/>
                <w:lang w:eastAsia="zh-CN"/>
              </w:rPr>
              <w:t>个基点。特朗普：美联储没有理由提高利率；就业报告非常强劲，股市理应上涨，经济增长并不意味着通胀；希望看到更低的利率，但将把决策权交给沃什。</w:t>
            </w:r>
          </w:p>
          <w:p w14:paraId="74709CBF" w14:textId="77777777" w:rsidR="004859EC" w:rsidRPr="004859EC" w:rsidRDefault="004859EC" w:rsidP="004859EC">
            <w:pPr>
              <w:rPr>
                <w:rFonts w:ascii="微软雅黑" w:eastAsia="微软雅黑" w:hAnsi="微软雅黑"/>
                <w:color w:val="000000" w:themeColor="text1"/>
                <w:lang w:eastAsia="zh-CN"/>
              </w:rPr>
            </w:pPr>
            <w:r w:rsidRPr="004859EC">
              <w:rPr>
                <w:rFonts w:ascii="微软雅黑" w:eastAsia="微软雅黑" w:hAnsi="微软雅黑" w:hint="eastAsia"/>
                <w:color w:val="000000" w:themeColor="text1"/>
                <w:lang w:eastAsia="zh-CN"/>
              </w:rPr>
              <w:t>国内方面，国务院常务会议审议通过《实施就业优先战略“十五五”规划》，研究推进新型工业化有关工作，研究未来产业发展有关工作。会议指出，要以发展新一代智能制造为主攻方向，加力实施产业基础再造工程、制造业重点产业链高质量发展行动。要根据未来产业特点，进一步加强前瞻布局、加大推动力度。</w:t>
            </w:r>
          </w:p>
          <w:p w14:paraId="1F3A3749" w14:textId="77777777" w:rsidR="004859EC" w:rsidRPr="004859EC" w:rsidRDefault="004859EC" w:rsidP="004859EC">
            <w:pPr>
              <w:rPr>
                <w:rFonts w:ascii="微软雅黑" w:eastAsia="微软雅黑" w:hAnsi="微软雅黑"/>
                <w:color w:val="000000" w:themeColor="text1"/>
                <w:lang w:eastAsia="zh-CN"/>
              </w:rPr>
            </w:pPr>
            <w:r w:rsidRPr="004859EC">
              <w:rPr>
                <w:rFonts w:ascii="微软雅黑" w:eastAsia="微软雅黑" w:hAnsi="微软雅黑" w:hint="eastAsia"/>
                <w:color w:val="000000" w:themeColor="text1"/>
                <w:lang w:eastAsia="zh-CN"/>
              </w:rPr>
              <w:t>美元美债方面，因</w:t>
            </w:r>
            <w:r w:rsidRPr="004859EC">
              <w:rPr>
                <w:rFonts w:ascii="微软雅黑" w:eastAsia="微软雅黑" w:hAnsi="微软雅黑"/>
                <w:color w:val="000000" w:themeColor="text1"/>
                <w:lang w:eastAsia="zh-CN"/>
              </w:rPr>
              <w:t>5</w:t>
            </w:r>
            <w:r w:rsidRPr="004859EC">
              <w:rPr>
                <w:rFonts w:ascii="微软雅黑" w:eastAsia="微软雅黑" w:hAnsi="微软雅黑" w:hint="eastAsia"/>
                <w:color w:val="000000" w:themeColor="text1"/>
                <w:lang w:eastAsia="zh-CN"/>
              </w:rPr>
              <w:t>月美国非农数据再次录得强劲增长，这推高了市场对美联储年内加息的预期。美元指数在美盘前近乎直线拉升，并冲上</w:t>
            </w:r>
            <w:r w:rsidRPr="004859EC">
              <w:rPr>
                <w:rFonts w:ascii="微软雅黑" w:eastAsia="微软雅黑" w:hAnsi="微软雅黑"/>
                <w:color w:val="000000" w:themeColor="text1"/>
                <w:lang w:eastAsia="zh-CN"/>
              </w:rPr>
              <w:t>100</w:t>
            </w:r>
            <w:r w:rsidRPr="004859EC">
              <w:rPr>
                <w:rFonts w:ascii="微软雅黑" w:eastAsia="微软雅黑" w:hAnsi="微软雅黑" w:hint="eastAsia"/>
                <w:color w:val="000000" w:themeColor="text1"/>
                <w:lang w:eastAsia="zh-CN"/>
              </w:rPr>
              <w:t>大关，最终收涨</w:t>
            </w:r>
            <w:r w:rsidRPr="004859EC">
              <w:rPr>
                <w:rFonts w:ascii="微软雅黑" w:eastAsia="微软雅黑" w:hAnsi="微软雅黑"/>
                <w:color w:val="000000" w:themeColor="text1"/>
                <w:lang w:eastAsia="zh-CN"/>
              </w:rPr>
              <w:t>0.63%</w:t>
            </w:r>
            <w:r w:rsidRPr="004859EC">
              <w:rPr>
                <w:rFonts w:ascii="微软雅黑" w:eastAsia="微软雅黑" w:hAnsi="微软雅黑" w:hint="eastAsia"/>
                <w:color w:val="000000" w:themeColor="text1"/>
                <w:lang w:eastAsia="zh-CN"/>
              </w:rPr>
              <w:t>，报</w:t>
            </w:r>
            <w:r w:rsidRPr="004859EC">
              <w:rPr>
                <w:rFonts w:ascii="微软雅黑" w:eastAsia="微软雅黑" w:hAnsi="微软雅黑"/>
                <w:color w:val="000000" w:themeColor="text1"/>
                <w:lang w:eastAsia="zh-CN"/>
              </w:rPr>
              <w:t>100.07</w:t>
            </w:r>
            <w:r w:rsidRPr="004859EC">
              <w:rPr>
                <w:rFonts w:ascii="微软雅黑" w:eastAsia="微软雅黑" w:hAnsi="微软雅黑" w:hint="eastAsia"/>
                <w:color w:val="000000" w:themeColor="text1"/>
                <w:lang w:eastAsia="zh-CN"/>
              </w:rPr>
              <w:t>；基准的</w:t>
            </w:r>
            <w:r w:rsidRPr="004859EC">
              <w:rPr>
                <w:rFonts w:ascii="微软雅黑" w:eastAsia="微软雅黑" w:hAnsi="微软雅黑"/>
                <w:color w:val="000000" w:themeColor="text1"/>
                <w:lang w:eastAsia="zh-CN"/>
              </w:rPr>
              <w:t>10</w:t>
            </w:r>
            <w:r w:rsidRPr="004859EC">
              <w:rPr>
                <w:rFonts w:ascii="微软雅黑" w:eastAsia="微软雅黑" w:hAnsi="微软雅黑" w:hint="eastAsia"/>
                <w:color w:val="000000" w:themeColor="text1"/>
                <w:lang w:eastAsia="zh-CN"/>
              </w:rPr>
              <w:t>年期美债收益率收报</w:t>
            </w:r>
            <w:r w:rsidRPr="004859EC">
              <w:rPr>
                <w:rFonts w:ascii="微软雅黑" w:eastAsia="微软雅黑" w:hAnsi="微软雅黑"/>
                <w:color w:val="000000" w:themeColor="text1"/>
                <w:lang w:eastAsia="zh-CN"/>
              </w:rPr>
              <w:t>4.522%</w:t>
            </w:r>
            <w:r w:rsidRPr="004859EC">
              <w:rPr>
                <w:rFonts w:ascii="微软雅黑" w:eastAsia="微软雅黑" w:hAnsi="微软雅黑" w:hint="eastAsia"/>
                <w:color w:val="000000" w:themeColor="text1"/>
                <w:lang w:eastAsia="zh-CN"/>
              </w:rPr>
              <w:t>，对美联储政策利率敏感的</w:t>
            </w:r>
            <w:r w:rsidRPr="004859EC">
              <w:rPr>
                <w:rFonts w:ascii="微软雅黑" w:eastAsia="微软雅黑" w:hAnsi="微软雅黑"/>
                <w:color w:val="000000" w:themeColor="text1"/>
                <w:lang w:eastAsia="zh-CN"/>
              </w:rPr>
              <w:t>2</w:t>
            </w:r>
            <w:r w:rsidRPr="004859EC">
              <w:rPr>
                <w:rFonts w:ascii="微软雅黑" w:eastAsia="微软雅黑" w:hAnsi="微软雅黑" w:hint="eastAsia"/>
                <w:color w:val="000000" w:themeColor="text1"/>
                <w:lang w:eastAsia="zh-CN"/>
              </w:rPr>
              <w:t>年期美债收益率则收报</w:t>
            </w:r>
            <w:r w:rsidRPr="004859EC">
              <w:rPr>
                <w:rFonts w:ascii="微软雅黑" w:eastAsia="微软雅黑" w:hAnsi="微软雅黑"/>
                <w:color w:val="000000" w:themeColor="text1"/>
                <w:lang w:eastAsia="zh-CN"/>
              </w:rPr>
              <w:t>4.147%</w:t>
            </w:r>
            <w:r w:rsidRPr="004859EC">
              <w:rPr>
                <w:rFonts w:ascii="微软雅黑" w:eastAsia="微软雅黑" w:hAnsi="微软雅黑" w:hint="eastAsia"/>
                <w:color w:val="000000" w:themeColor="text1"/>
                <w:lang w:eastAsia="zh-CN"/>
              </w:rPr>
              <w:t>。</w:t>
            </w:r>
          </w:p>
          <w:p w14:paraId="1767B494" w14:textId="77777777" w:rsidR="004859EC" w:rsidRPr="004859EC" w:rsidRDefault="004859EC" w:rsidP="004859EC">
            <w:pPr>
              <w:rPr>
                <w:rFonts w:ascii="微软雅黑" w:eastAsia="微软雅黑" w:hAnsi="微软雅黑"/>
                <w:color w:val="000000" w:themeColor="text1"/>
                <w:lang w:eastAsia="zh-CN"/>
              </w:rPr>
            </w:pPr>
            <w:r w:rsidRPr="004859EC">
              <w:rPr>
                <w:rFonts w:ascii="微软雅黑" w:eastAsia="微软雅黑" w:hAnsi="微软雅黑" w:hint="eastAsia"/>
                <w:color w:val="000000" w:themeColor="text1"/>
                <w:lang w:eastAsia="zh-CN"/>
              </w:rPr>
              <w:t>库存方面，</w:t>
            </w:r>
            <w:r w:rsidRPr="004859EC">
              <w:rPr>
                <w:rFonts w:ascii="微软雅黑" w:eastAsia="微软雅黑" w:hAnsi="微软雅黑"/>
                <w:color w:val="000000" w:themeColor="text1"/>
                <w:lang w:eastAsia="zh-CN"/>
              </w:rPr>
              <w:t>2026</w:t>
            </w:r>
            <w:r w:rsidRPr="004859EC">
              <w:rPr>
                <w:rFonts w:ascii="微软雅黑" w:eastAsia="微软雅黑" w:hAnsi="微软雅黑" w:hint="eastAsia"/>
                <w:color w:val="000000" w:themeColor="text1"/>
                <w:lang w:eastAsia="zh-CN"/>
              </w:rPr>
              <w:t>年</w:t>
            </w:r>
            <w:r w:rsidRPr="004859EC">
              <w:rPr>
                <w:rFonts w:ascii="微软雅黑" w:eastAsia="微软雅黑" w:hAnsi="微软雅黑"/>
                <w:color w:val="000000" w:themeColor="text1"/>
                <w:lang w:eastAsia="zh-CN"/>
              </w:rPr>
              <w:t>6</w:t>
            </w:r>
            <w:r w:rsidRPr="004859EC">
              <w:rPr>
                <w:rFonts w:ascii="微软雅黑" w:eastAsia="微软雅黑" w:hAnsi="微软雅黑" w:hint="eastAsia"/>
                <w:color w:val="000000" w:themeColor="text1"/>
                <w:lang w:eastAsia="zh-CN"/>
              </w:rPr>
              <w:t>月</w:t>
            </w:r>
            <w:r w:rsidRPr="004859EC">
              <w:rPr>
                <w:rFonts w:ascii="微软雅黑" w:eastAsia="微软雅黑" w:hAnsi="微软雅黑"/>
                <w:color w:val="000000" w:themeColor="text1"/>
                <w:lang w:eastAsia="zh-CN"/>
              </w:rPr>
              <w:t>5</w:t>
            </w:r>
            <w:r w:rsidRPr="004859EC">
              <w:rPr>
                <w:rFonts w:ascii="微软雅黑" w:eastAsia="微软雅黑" w:hAnsi="微软雅黑" w:hint="eastAsia"/>
                <w:color w:val="000000" w:themeColor="text1"/>
                <w:lang w:eastAsia="zh-CN"/>
              </w:rPr>
              <w:t>日，</w:t>
            </w:r>
            <w:r w:rsidRPr="004859EC">
              <w:rPr>
                <w:rFonts w:ascii="微软雅黑" w:eastAsia="微软雅黑" w:hAnsi="微软雅黑"/>
                <w:color w:val="000000" w:themeColor="text1"/>
                <w:lang w:eastAsia="zh-CN"/>
              </w:rPr>
              <w:t>LME</w:t>
            </w:r>
            <w:r w:rsidRPr="004859EC">
              <w:rPr>
                <w:rFonts w:ascii="微软雅黑" w:eastAsia="微软雅黑" w:hAnsi="微软雅黑" w:hint="eastAsia"/>
                <w:color w:val="000000" w:themeColor="text1"/>
                <w:lang w:eastAsia="zh-CN"/>
              </w:rPr>
              <w:t>总库存为</w:t>
            </w:r>
            <w:r w:rsidRPr="004859EC">
              <w:rPr>
                <w:rFonts w:ascii="微软雅黑" w:eastAsia="微软雅黑" w:hAnsi="微软雅黑"/>
                <w:color w:val="000000" w:themeColor="text1"/>
                <w:lang w:eastAsia="zh-CN"/>
              </w:rPr>
              <w:t>379225</w:t>
            </w:r>
            <w:r w:rsidRPr="004859EC">
              <w:rPr>
                <w:rFonts w:ascii="微软雅黑" w:eastAsia="微软雅黑" w:hAnsi="微软雅黑" w:hint="eastAsia"/>
                <w:color w:val="000000" w:themeColor="text1"/>
                <w:lang w:eastAsia="zh-CN"/>
              </w:rPr>
              <w:t>吨，较上周环比</w:t>
            </w:r>
            <w:r w:rsidRPr="004859EC">
              <w:rPr>
                <w:rFonts w:ascii="微软雅黑" w:eastAsia="微软雅黑" w:hAnsi="微软雅黑"/>
                <w:color w:val="000000" w:themeColor="text1"/>
                <w:lang w:eastAsia="zh-CN"/>
              </w:rPr>
              <w:t>-10200</w:t>
            </w:r>
            <w:r w:rsidRPr="004859EC">
              <w:rPr>
                <w:rFonts w:ascii="微软雅黑" w:eastAsia="微软雅黑" w:hAnsi="微软雅黑" w:hint="eastAsia"/>
                <w:color w:val="000000" w:themeColor="text1"/>
                <w:lang w:eastAsia="zh-CN"/>
              </w:rPr>
              <w:t>吨；</w:t>
            </w:r>
            <w:r w:rsidRPr="004859EC">
              <w:rPr>
                <w:rFonts w:ascii="微软雅黑" w:eastAsia="微软雅黑" w:hAnsi="微软雅黑"/>
                <w:color w:val="000000" w:themeColor="text1"/>
                <w:lang w:eastAsia="zh-CN"/>
              </w:rPr>
              <w:t>COMEX</w:t>
            </w:r>
            <w:r w:rsidRPr="004859EC">
              <w:rPr>
                <w:rFonts w:ascii="微软雅黑" w:eastAsia="微软雅黑" w:hAnsi="微软雅黑" w:hint="eastAsia"/>
                <w:color w:val="000000" w:themeColor="text1"/>
                <w:lang w:eastAsia="zh-CN"/>
              </w:rPr>
              <w:t>总库为</w:t>
            </w:r>
            <w:r w:rsidRPr="004859EC">
              <w:rPr>
                <w:rFonts w:ascii="微软雅黑" w:eastAsia="微软雅黑" w:hAnsi="微软雅黑"/>
                <w:color w:val="000000" w:themeColor="text1"/>
                <w:lang w:eastAsia="zh-CN"/>
              </w:rPr>
              <w:t>644546</w:t>
            </w:r>
            <w:r w:rsidRPr="004859EC">
              <w:rPr>
                <w:rFonts w:ascii="微软雅黑" w:eastAsia="微软雅黑" w:hAnsi="微软雅黑" w:hint="eastAsia"/>
                <w:color w:val="000000" w:themeColor="text1"/>
                <w:lang w:eastAsia="zh-CN"/>
              </w:rPr>
              <w:t>短吨，较上周环比</w:t>
            </w:r>
            <w:r w:rsidRPr="004859EC">
              <w:rPr>
                <w:rFonts w:ascii="微软雅黑" w:eastAsia="微软雅黑" w:hAnsi="微软雅黑"/>
                <w:color w:val="000000" w:themeColor="text1"/>
                <w:lang w:eastAsia="zh-CN"/>
              </w:rPr>
              <w:t>+4365</w:t>
            </w:r>
            <w:r w:rsidRPr="004859EC">
              <w:rPr>
                <w:rFonts w:ascii="微软雅黑" w:eastAsia="微软雅黑" w:hAnsi="微软雅黑" w:hint="eastAsia"/>
                <w:color w:val="000000" w:themeColor="text1"/>
                <w:lang w:eastAsia="zh-CN"/>
              </w:rPr>
              <w:t>短吨；</w:t>
            </w:r>
            <w:r w:rsidRPr="004859EC">
              <w:rPr>
                <w:rFonts w:ascii="微软雅黑" w:eastAsia="微软雅黑" w:hAnsi="微软雅黑"/>
                <w:color w:val="000000" w:themeColor="text1"/>
                <w:lang w:eastAsia="zh-CN"/>
              </w:rPr>
              <w:t>SHFE</w:t>
            </w:r>
            <w:r w:rsidRPr="004859EC">
              <w:rPr>
                <w:rFonts w:ascii="微软雅黑" w:eastAsia="微软雅黑" w:hAnsi="微软雅黑" w:hint="eastAsia"/>
                <w:color w:val="000000" w:themeColor="text1"/>
                <w:lang w:eastAsia="zh-CN"/>
              </w:rPr>
              <w:t>库存为</w:t>
            </w:r>
            <w:r w:rsidRPr="004859EC">
              <w:rPr>
                <w:rFonts w:ascii="微软雅黑" w:eastAsia="微软雅黑" w:hAnsi="微软雅黑"/>
                <w:color w:val="000000" w:themeColor="text1"/>
                <w:lang w:eastAsia="zh-CN"/>
              </w:rPr>
              <w:t>169512</w:t>
            </w:r>
            <w:r w:rsidRPr="004859EC">
              <w:rPr>
                <w:rFonts w:ascii="微软雅黑" w:eastAsia="微软雅黑" w:hAnsi="微软雅黑" w:hint="eastAsia"/>
                <w:color w:val="000000" w:themeColor="text1"/>
                <w:lang w:eastAsia="zh-CN"/>
              </w:rPr>
              <w:t>吨，较上周环比</w:t>
            </w:r>
            <w:r w:rsidRPr="004859EC">
              <w:rPr>
                <w:rFonts w:ascii="微软雅黑" w:eastAsia="微软雅黑" w:hAnsi="微软雅黑"/>
                <w:color w:val="000000" w:themeColor="text1"/>
                <w:lang w:eastAsia="zh-CN"/>
              </w:rPr>
              <w:t>-6902</w:t>
            </w:r>
            <w:r w:rsidRPr="004859EC">
              <w:rPr>
                <w:rFonts w:ascii="微软雅黑" w:eastAsia="微软雅黑" w:hAnsi="微软雅黑" w:hint="eastAsia"/>
                <w:color w:val="000000" w:themeColor="text1"/>
                <w:lang w:eastAsia="zh-CN"/>
              </w:rPr>
              <w:t>吨。</w:t>
            </w:r>
          </w:p>
          <w:p w14:paraId="46769F24" w14:textId="00874911" w:rsidR="00B86245" w:rsidRPr="00380003" w:rsidRDefault="004859EC" w:rsidP="004859EC">
            <w:pPr>
              <w:rPr>
                <w:rFonts w:ascii="微软雅黑" w:eastAsia="微软雅黑" w:hAnsi="微软雅黑" w:hint="eastAsia"/>
                <w:color w:val="000000" w:themeColor="text1"/>
                <w:lang w:eastAsia="zh-CN"/>
              </w:rPr>
            </w:pPr>
            <w:r w:rsidRPr="004859EC">
              <w:rPr>
                <w:rFonts w:ascii="微软雅黑" w:eastAsia="微软雅黑" w:hAnsi="微软雅黑" w:hint="eastAsia"/>
                <w:color w:val="000000" w:themeColor="text1"/>
                <w:lang w:eastAsia="zh-CN"/>
              </w:rPr>
              <w:t>走势方面，隔夜</w:t>
            </w:r>
            <w:r w:rsidRPr="004859EC">
              <w:rPr>
                <w:rFonts w:ascii="微软雅黑" w:eastAsia="微软雅黑" w:hAnsi="微软雅黑"/>
                <w:color w:val="000000" w:themeColor="text1"/>
                <w:lang w:eastAsia="zh-CN"/>
              </w:rPr>
              <w:t>COMEX</w:t>
            </w:r>
            <w:r w:rsidRPr="004859EC">
              <w:rPr>
                <w:rFonts w:ascii="微软雅黑" w:eastAsia="微软雅黑" w:hAnsi="微软雅黑" w:hint="eastAsia"/>
                <w:color w:val="000000" w:themeColor="text1"/>
                <w:lang w:eastAsia="zh-CN"/>
              </w:rPr>
              <w:t>铜主力合约震荡走弱，涨跌幅</w:t>
            </w:r>
            <w:r w:rsidRPr="004859EC">
              <w:rPr>
                <w:rFonts w:ascii="微软雅黑" w:eastAsia="微软雅黑" w:hAnsi="微软雅黑"/>
                <w:color w:val="000000" w:themeColor="text1"/>
                <w:lang w:eastAsia="zh-CN"/>
              </w:rPr>
              <w:t>-3.97%</w:t>
            </w:r>
            <w:r w:rsidRPr="004859EC">
              <w:rPr>
                <w:rFonts w:ascii="微软雅黑" w:eastAsia="微软雅黑" w:hAnsi="微软雅黑" w:hint="eastAsia"/>
                <w:color w:val="000000" w:themeColor="text1"/>
                <w:lang w:eastAsia="zh-CN"/>
              </w:rPr>
              <w:t>，报收</w:t>
            </w:r>
            <w:r w:rsidRPr="004859EC">
              <w:rPr>
                <w:rFonts w:ascii="微软雅黑" w:eastAsia="微软雅黑" w:hAnsi="微软雅黑"/>
                <w:color w:val="000000" w:themeColor="text1"/>
                <w:lang w:eastAsia="zh-CN"/>
              </w:rPr>
              <w:t>6.2755</w:t>
            </w:r>
            <w:r w:rsidRPr="004859EC">
              <w:rPr>
                <w:rFonts w:ascii="微软雅黑" w:eastAsia="微软雅黑" w:hAnsi="微软雅黑" w:hint="eastAsia"/>
                <w:color w:val="000000" w:themeColor="text1"/>
                <w:lang w:eastAsia="zh-CN"/>
              </w:rPr>
              <w:t>美元</w:t>
            </w:r>
            <w:r w:rsidRPr="004859EC">
              <w:rPr>
                <w:rFonts w:ascii="微软雅黑" w:eastAsia="微软雅黑" w:hAnsi="微软雅黑"/>
                <w:color w:val="000000" w:themeColor="text1"/>
                <w:lang w:eastAsia="zh-CN"/>
              </w:rPr>
              <w:t>/</w:t>
            </w:r>
            <w:r w:rsidRPr="004859EC">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4EC2ACF" w14:textId="77777777" w:rsidR="004859EC" w:rsidRPr="004859EC" w:rsidRDefault="004859EC" w:rsidP="004859EC">
            <w:pPr>
              <w:rPr>
                <w:rFonts w:ascii="微软雅黑" w:eastAsia="微软雅黑" w:hAnsi="微软雅黑"/>
                <w:lang w:eastAsia="zh"/>
              </w:rPr>
            </w:pPr>
            <w:r w:rsidRPr="004859EC">
              <w:rPr>
                <w:rFonts w:ascii="微软雅黑" w:eastAsia="微软雅黑" w:hAnsi="微软雅黑" w:hint="eastAsia"/>
                <w:lang w:eastAsia="zh"/>
              </w:rPr>
              <w:t>本周美糖</w:t>
            </w:r>
            <w:r w:rsidRPr="004859EC">
              <w:rPr>
                <w:rFonts w:ascii="微软雅黑" w:eastAsia="微软雅黑" w:hAnsi="微软雅黑"/>
                <w:lang w:eastAsia="zh"/>
              </w:rPr>
              <w:t>7</w:t>
            </w:r>
            <w:r w:rsidRPr="004859EC">
              <w:rPr>
                <w:rFonts w:ascii="微软雅黑" w:eastAsia="微软雅黑" w:hAnsi="微软雅黑" w:hint="eastAsia"/>
                <w:lang w:eastAsia="zh"/>
              </w:rPr>
              <w:t>月合约期价小幅上涨，周度涨幅约</w:t>
            </w:r>
            <w:r w:rsidRPr="004859EC">
              <w:rPr>
                <w:rFonts w:ascii="微软雅黑" w:eastAsia="微软雅黑" w:hAnsi="微软雅黑"/>
                <w:lang w:eastAsia="zh"/>
              </w:rPr>
              <w:t>0.36%</w:t>
            </w:r>
            <w:r w:rsidRPr="004859EC">
              <w:rPr>
                <w:rFonts w:ascii="微软雅黑" w:eastAsia="微软雅黑" w:hAnsi="微软雅黑" w:hint="eastAsia"/>
                <w:lang w:eastAsia="zh"/>
              </w:rPr>
              <w:t>，受巴西糖产量激增使得市场开始偏向看跌，但天气等风险因素支撑市场。</w:t>
            </w:r>
          </w:p>
          <w:p w14:paraId="4A4838E5" w14:textId="43330889" w:rsidR="00B86245" w:rsidRPr="009877C3" w:rsidRDefault="004859EC" w:rsidP="004859EC">
            <w:pPr>
              <w:rPr>
                <w:rFonts w:ascii="微软雅黑" w:eastAsia="微软雅黑" w:hAnsi="微软雅黑" w:hint="eastAsia"/>
                <w:lang w:eastAsia="zh-CN"/>
              </w:rPr>
            </w:pPr>
            <w:r w:rsidRPr="004859EC">
              <w:rPr>
                <w:rFonts w:ascii="微软雅黑" w:eastAsia="微软雅黑" w:hAnsi="微软雅黑" w:hint="eastAsia"/>
                <w:lang w:eastAsia="zh"/>
              </w:rPr>
              <w:t>国际方面，巴西航运机构</w:t>
            </w:r>
            <w:r w:rsidRPr="004859EC">
              <w:rPr>
                <w:rFonts w:ascii="微软雅黑" w:eastAsia="微软雅黑" w:hAnsi="微软雅黑"/>
                <w:lang w:eastAsia="zh"/>
              </w:rPr>
              <w:t>Williams</w:t>
            </w:r>
            <w:r w:rsidRPr="004859EC">
              <w:rPr>
                <w:rFonts w:ascii="微软雅黑" w:eastAsia="微软雅黑" w:hAnsi="微软雅黑" w:hint="eastAsia"/>
                <w:lang w:eastAsia="zh"/>
              </w:rPr>
              <w:t>发布的数据显示，截至</w:t>
            </w:r>
            <w:r w:rsidRPr="004859EC">
              <w:rPr>
                <w:rFonts w:ascii="微软雅黑" w:eastAsia="微软雅黑" w:hAnsi="微软雅黑"/>
                <w:lang w:eastAsia="zh"/>
              </w:rPr>
              <w:t>6</w:t>
            </w:r>
            <w:r w:rsidRPr="004859EC">
              <w:rPr>
                <w:rFonts w:ascii="微软雅黑" w:eastAsia="微软雅黑" w:hAnsi="微软雅黑" w:hint="eastAsia"/>
                <w:lang w:eastAsia="zh"/>
              </w:rPr>
              <w:t>月</w:t>
            </w:r>
            <w:r w:rsidRPr="004859EC">
              <w:rPr>
                <w:rFonts w:ascii="微软雅黑" w:eastAsia="微软雅黑" w:hAnsi="微软雅黑"/>
                <w:lang w:eastAsia="zh"/>
              </w:rPr>
              <w:t>3</w:t>
            </w:r>
            <w:r w:rsidRPr="004859EC">
              <w:rPr>
                <w:rFonts w:ascii="微软雅黑" w:eastAsia="微软雅黑" w:hAnsi="微软雅黑" w:hint="eastAsia"/>
                <w:lang w:eastAsia="zh"/>
              </w:rPr>
              <w:t>日当周，巴西港口等待装运食糖的船只数量为</w:t>
            </w:r>
            <w:r w:rsidRPr="004859EC">
              <w:rPr>
                <w:rFonts w:ascii="微软雅黑" w:eastAsia="微软雅黑" w:hAnsi="微软雅黑"/>
                <w:lang w:eastAsia="zh"/>
              </w:rPr>
              <w:t>63</w:t>
            </w:r>
            <w:r w:rsidRPr="004859EC">
              <w:rPr>
                <w:rFonts w:ascii="微软雅黑" w:eastAsia="微软雅黑" w:hAnsi="微软雅黑" w:hint="eastAsia"/>
                <w:lang w:eastAsia="zh"/>
              </w:rPr>
              <w:t>艘，此前一周为</w:t>
            </w:r>
            <w:r w:rsidRPr="004859EC">
              <w:rPr>
                <w:rFonts w:ascii="微软雅黑" w:eastAsia="微软雅黑" w:hAnsi="微软雅黑"/>
                <w:lang w:eastAsia="zh"/>
              </w:rPr>
              <w:t>64</w:t>
            </w:r>
            <w:r w:rsidRPr="004859EC">
              <w:rPr>
                <w:rFonts w:ascii="微软雅黑" w:eastAsia="微软雅黑" w:hAnsi="微软雅黑" w:hint="eastAsia"/>
                <w:lang w:eastAsia="zh"/>
              </w:rPr>
              <w:t>艘。港口等待装运的食糖数量为</w:t>
            </w:r>
            <w:r w:rsidRPr="004859EC">
              <w:rPr>
                <w:rFonts w:ascii="微软雅黑" w:eastAsia="微软雅黑" w:hAnsi="微软雅黑"/>
                <w:lang w:eastAsia="zh"/>
              </w:rPr>
              <w:t>244.14</w:t>
            </w:r>
            <w:r w:rsidRPr="004859EC">
              <w:rPr>
                <w:rFonts w:ascii="微软雅黑" w:eastAsia="微软雅黑" w:hAnsi="微软雅黑" w:hint="eastAsia"/>
                <w:lang w:eastAsia="zh"/>
              </w:rPr>
              <w:t>万吨，此前一周为</w:t>
            </w:r>
            <w:r w:rsidRPr="004859EC">
              <w:rPr>
                <w:rFonts w:ascii="微软雅黑" w:eastAsia="微软雅黑" w:hAnsi="微软雅黑"/>
                <w:lang w:eastAsia="zh"/>
              </w:rPr>
              <w:t>239.34</w:t>
            </w:r>
            <w:r w:rsidRPr="004859EC">
              <w:rPr>
                <w:rFonts w:ascii="微软雅黑" w:eastAsia="微软雅黑" w:hAnsi="微软雅黑" w:hint="eastAsia"/>
                <w:lang w:eastAsia="zh"/>
              </w:rPr>
              <w:t>万吨增加</w:t>
            </w:r>
            <w:r w:rsidRPr="004859EC">
              <w:rPr>
                <w:rFonts w:ascii="微软雅黑" w:eastAsia="微软雅黑" w:hAnsi="微软雅黑"/>
                <w:lang w:eastAsia="zh"/>
              </w:rPr>
              <w:t>2.01%</w:t>
            </w:r>
            <w:r w:rsidRPr="004859EC">
              <w:rPr>
                <w:rFonts w:ascii="微软雅黑" w:eastAsia="微软雅黑" w:hAnsi="微软雅黑" w:hint="eastAsia"/>
                <w:lang w:eastAsia="zh"/>
              </w:rPr>
              <w:t>。其中桑托斯港等待出口的食糖数量为</w:t>
            </w:r>
            <w:r w:rsidRPr="004859EC">
              <w:rPr>
                <w:rFonts w:ascii="微软雅黑" w:eastAsia="微软雅黑" w:hAnsi="微软雅黑"/>
                <w:lang w:eastAsia="zh"/>
              </w:rPr>
              <w:t>212.1</w:t>
            </w:r>
            <w:r w:rsidRPr="004859EC">
              <w:rPr>
                <w:rFonts w:ascii="微软雅黑" w:eastAsia="微软雅黑" w:hAnsi="微软雅黑" w:hint="eastAsia"/>
                <w:lang w:eastAsia="zh"/>
              </w:rPr>
              <w:t>万吨，较此前一周的</w:t>
            </w:r>
            <w:r w:rsidRPr="004859EC">
              <w:rPr>
                <w:rFonts w:ascii="微软雅黑" w:eastAsia="微软雅黑" w:hAnsi="微软雅黑"/>
                <w:lang w:eastAsia="zh"/>
              </w:rPr>
              <w:t>194.71</w:t>
            </w:r>
            <w:r w:rsidRPr="004859EC">
              <w:rPr>
                <w:rFonts w:ascii="微软雅黑" w:eastAsia="微软雅黑" w:hAnsi="微软雅黑" w:hint="eastAsia"/>
                <w:lang w:eastAsia="zh"/>
              </w:rPr>
              <w:t>万吨增加</w:t>
            </w:r>
            <w:r w:rsidRPr="004859EC">
              <w:rPr>
                <w:rFonts w:ascii="微软雅黑" w:eastAsia="微软雅黑" w:hAnsi="微软雅黑"/>
                <w:lang w:eastAsia="zh"/>
              </w:rPr>
              <w:t>8.93%</w:t>
            </w:r>
            <w:r w:rsidRPr="004859EC">
              <w:rPr>
                <w:rFonts w:ascii="微软雅黑" w:eastAsia="微软雅黑" w:hAnsi="微软雅黑" w:hint="eastAsia"/>
                <w:lang w:eastAsia="zh"/>
              </w:rPr>
              <w:t>。当周等待装运出口的食糖船只数量微降，但待运食糖出口量维持高位。</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59EBAA4" w14:textId="77777777" w:rsidR="004859EC" w:rsidRPr="004859EC" w:rsidRDefault="004859EC" w:rsidP="004859EC">
            <w:pPr>
              <w:rPr>
                <w:rFonts w:ascii="微软雅黑" w:eastAsia="微软雅黑" w:hAnsi="微软雅黑"/>
                <w:lang w:eastAsia="zh"/>
              </w:rPr>
            </w:pPr>
            <w:r w:rsidRPr="004859EC">
              <w:rPr>
                <w:rFonts w:ascii="微软雅黑" w:eastAsia="微软雅黑" w:hAnsi="微软雅黑" w:hint="eastAsia"/>
                <w:lang w:eastAsia="zh"/>
              </w:rPr>
              <w:t>本周美棉</w:t>
            </w:r>
            <w:r w:rsidRPr="004859EC">
              <w:rPr>
                <w:rFonts w:ascii="微软雅黑" w:eastAsia="微软雅黑" w:hAnsi="微软雅黑"/>
                <w:lang w:eastAsia="zh"/>
              </w:rPr>
              <w:t>12</w:t>
            </w:r>
            <w:r w:rsidRPr="004859EC">
              <w:rPr>
                <w:rFonts w:ascii="微软雅黑" w:eastAsia="微软雅黑" w:hAnsi="微软雅黑" w:hint="eastAsia"/>
                <w:lang w:eastAsia="zh"/>
              </w:rPr>
              <w:t>月合约价格下跌，周度跌幅约</w:t>
            </w:r>
            <w:r w:rsidRPr="004859EC">
              <w:rPr>
                <w:rFonts w:ascii="微软雅黑" w:eastAsia="微软雅黑" w:hAnsi="微软雅黑"/>
                <w:lang w:eastAsia="zh"/>
              </w:rPr>
              <w:t>2.80%</w:t>
            </w:r>
            <w:r w:rsidRPr="004859EC">
              <w:rPr>
                <w:rFonts w:ascii="微软雅黑" w:eastAsia="微软雅黑" w:hAnsi="微软雅黑" w:hint="eastAsia"/>
                <w:lang w:eastAsia="zh"/>
              </w:rPr>
              <w:t>，由于美元走强、原油及其他市场疲软共同施压，且美国主要棉产区降雨改善进一步削弱市场对天气风险的担忧。</w:t>
            </w:r>
          </w:p>
          <w:p w14:paraId="56C224A3" w14:textId="456B0E7A" w:rsidR="00B86245" w:rsidRPr="00D6151C" w:rsidRDefault="004859EC" w:rsidP="004859EC">
            <w:pPr>
              <w:rPr>
                <w:rFonts w:ascii="微软雅黑" w:eastAsia="微软雅黑" w:hAnsi="微软雅黑" w:hint="eastAsia"/>
                <w:lang w:eastAsia="zh-CN"/>
              </w:rPr>
            </w:pPr>
            <w:r w:rsidRPr="004859EC">
              <w:rPr>
                <w:rFonts w:ascii="微软雅黑" w:eastAsia="微软雅黑" w:hAnsi="微软雅黑" w:hint="eastAsia"/>
                <w:lang w:eastAsia="zh"/>
              </w:rPr>
              <w:t>国际方面，据美国农业部</w:t>
            </w:r>
            <w:r w:rsidRPr="004859EC">
              <w:rPr>
                <w:rFonts w:ascii="微软雅黑" w:eastAsia="微软雅黑" w:hAnsi="微软雅黑"/>
                <w:lang w:eastAsia="zh"/>
              </w:rPr>
              <w:t>(USDA)</w:t>
            </w:r>
            <w:r w:rsidRPr="004859EC">
              <w:rPr>
                <w:rFonts w:ascii="微软雅黑" w:eastAsia="微软雅黑" w:hAnsi="微软雅黑" w:hint="eastAsia"/>
                <w:lang w:eastAsia="zh"/>
              </w:rPr>
              <w:t>报告显示，</w:t>
            </w:r>
            <w:r w:rsidRPr="004859EC">
              <w:rPr>
                <w:rFonts w:ascii="微软雅黑" w:eastAsia="微软雅黑" w:hAnsi="微软雅黑"/>
                <w:lang w:eastAsia="zh"/>
              </w:rPr>
              <w:t>5</w:t>
            </w:r>
            <w:r w:rsidRPr="004859EC">
              <w:rPr>
                <w:rFonts w:ascii="微软雅黑" w:eastAsia="微软雅黑" w:hAnsi="微软雅黑" w:hint="eastAsia"/>
                <w:lang w:eastAsia="zh"/>
              </w:rPr>
              <w:t>月</w:t>
            </w:r>
            <w:r w:rsidRPr="004859EC">
              <w:rPr>
                <w:rFonts w:ascii="微软雅黑" w:eastAsia="微软雅黑" w:hAnsi="微软雅黑"/>
                <w:lang w:eastAsia="zh"/>
              </w:rPr>
              <w:t>28</w:t>
            </w:r>
            <w:r w:rsidRPr="004859EC">
              <w:rPr>
                <w:rFonts w:ascii="微软雅黑" w:eastAsia="微软雅黑" w:hAnsi="微软雅黑" w:hint="eastAsia"/>
                <w:lang w:eastAsia="zh"/>
              </w:rPr>
              <w:t>日止当周，美国当前年度陆地棉出口销售净增</w:t>
            </w:r>
            <w:r w:rsidRPr="004859EC">
              <w:rPr>
                <w:rFonts w:ascii="微软雅黑" w:eastAsia="微软雅黑" w:hAnsi="微软雅黑"/>
                <w:lang w:eastAsia="zh"/>
              </w:rPr>
              <w:t>18.52</w:t>
            </w:r>
            <w:r w:rsidRPr="004859EC">
              <w:rPr>
                <w:rFonts w:ascii="微软雅黑" w:eastAsia="微软雅黑" w:hAnsi="微软雅黑" w:hint="eastAsia"/>
                <w:lang w:eastAsia="zh"/>
              </w:rPr>
              <w:t>万包，较前周增加</w:t>
            </w:r>
            <w:r w:rsidRPr="004859EC">
              <w:rPr>
                <w:rFonts w:ascii="微软雅黑" w:eastAsia="微软雅黑" w:hAnsi="微软雅黑"/>
                <w:lang w:eastAsia="zh"/>
              </w:rPr>
              <w:t>21%</w:t>
            </w:r>
            <w:r w:rsidRPr="004859EC">
              <w:rPr>
                <w:rFonts w:ascii="微软雅黑" w:eastAsia="微软雅黑" w:hAnsi="微软雅黑" w:hint="eastAsia"/>
                <w:lang w:eastAsia="zh"/>
              </w:rPr>
              <w:t>，较前四周均值增加</w:t>
            </w:r>
            <w:r w:rsidRPr="004859EC">
              <w:rPr>
                <w:rFonts w:ascii="微软雅黑" w:eastAsia="微软雅黑" w:hAnsi="微软雅黑"/>
                <w:lang w:eastAsia="zh"/>
              </w:rPr>
              <w:t>62%</w:t>
            </w:r>
            <w:r w:rsidRPr="004859EC">
              <w:rPr>
                <w:rFonts w:ascii="微软雅黑" w:eastAsia="微软雅黑" w:hAnsi="微软雅黑" w:hint="eastAsia"/>
                <w:lang w:eastAsia="zh"/>
              </w:rPr>
              <w:t>。当周美国陆地棉出口装运量</w:t>
            </w:r>
            <w:r w:rsidRPr="004859EC">
              <w:rPr>
                <w:rFonts w:ascii="微软雅黑" w:eastAsia="微软雅黑" w:hAnsi="微软雅黑"/>
                <w:lang w:eastAsia="zh"/>
              </w:rPr>
              <w:t>26.88</w:t>
            </w:r>
            <w:r w:rsidRPr="004859EC">
              <w:rPr>
                <w:rFonts w:ascii="微软雅黑" w:eastAsia="微软雅黑" w:hAnsi="微软雅黑" w:hint="eastAsia"/>
                <w:lang w:eastAsia="zh"/>
              </w:rPr>
              <w:t>万包，较前周减少</w:t>
            </w:r>
            <w:r w:rsidRPr="004859EC">
              <w:rPr>
                <w:rFonts w:ascii="微软雅黑" w:eastAsia="微软雅黑" w:hAnsi="微软雅黑"/>
                <w:lang w:eastAsia="zh"/>
              </w:rPr>
              <w:t>15%</w:t>
            </w:r>
            <w:r w:rsidRPr="004859EC">
              <w:rPr>
                <w:rFonts w:ascii="微软雅黑" w:eastAsia="微软雅黑" w:hAnsi="微软雅黑" w:hint="eastAsia"/>
                <w:lang w:eastAsia="zh"/>
              </w:rPr>
              <w:t>，较前四周平均水平减少</w:t>
            </w:r>
            <w:r w:rsidRPr="004859EC">
              <w:rPr>
                <w:rFonts w:ascii="微软雅黑" w:eastAsia="微软雅黑" w:hAnsi="微软雅黑"/>
                <w:lang w:eastAsia="zh"/>
              </w:rPr>
              <w:t>12%</w:t>
            </w:r>
            <w:r w:rsidRPr="004859EC">
              <w:rPr>
                <w:rFonts w:ascii="微软雅黑" w:eastAsia="微软雅黑" w:hAnsi="微软雅黑" w:hint="eastAsia"/>
                <w:lang w:eastAsia="zh"/>
              </w:rPr>
              <w:t>。当周美国棉花出口签约量增加、装船量环比下降。</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2B3DF2E" w14:textId="77777777" w:rsidR="004859EC" w:rsidRPr="004859EC" w:rsidRDefault="004859EC" w:rsidP="004859EC">
            <w:pPr>
              <w:rPr>
                <w:rFonts w:ascii="微软雅黑" w:eastAsia="微软雅黑" w:hAnsi="微软雅黑"/>
                <w:lang w:eastAsia="zh"/>
              </w:rPr>
            </w:pPr>
            <w:r w:rsidRPr="004859EC">
              <w:rPr>
                <w:rFonts w:ascii="微软雅黑" w:eastAsia="微软雅黑" w:hAnsi="微软雅黑" w:hint="eastAsia"/>
                <w:lang w:eastAsia="zh"/>
              </w:rPr>
              <w:t>截至</w:t>
            </w:r>
            <w:r w:rsidRPr="004859EC">
              <w:rPr>
                <w:rFonts w:ascii="微软雅黑" w:eastAsia="微软雅黑" w:hAnsi="微软雅黑"/>
                <w:lang w:eastAsia="zh"/>
              </w:rPr>
              <w:t>6</w:t>
            </w:r>
            <w:r w:rsidRPr="004859EC">
              <w:rPr>
                <w:rFonts w:ascii="微软雅黑" w:eastAsia="微软雅黑" w:hAnsi="微软雅黑" w:hint="eastAsia"/>
                <w:lang w:eastAsia="zh"/>
              </w:rPr>
              <w:t>月</w:t>
            </w:r>
            <w:r w:rsidRPr="004859EC">
              <w:rPr>
                <w:rFonts w:ascii="微软雅黑" w:eastAsia="微软雅黑" w:hAnsi="微软雅黑"/>
                <w:lang w:eastAsia="zh"/>
              </w:rPr>
              <w:t>5</w:t>
            </w:r>
            <w:r w:rsidRPr="004859EC">
              <w:rPr>
                <w:rFonts w:ascii="微软雅黑" w:eastAsia="微软雅黑" w:hAnsi="微软雅黑" w:hint="eastAsia"/>
                <w:lang w:eastAsia="zh"/>
              </w:rPr>
              <w:t>日，美元指数涨</w:t>
            </w:r>
            <w:r w:rsidRPr="004859EC">
              <w:rPr>
                <w:rFonts w:ascii="微软雅黑" w:eastAsia="微软雅黑" w:hAnsi="微软雅黑"/>
                <w:lang w:eastAsia="zh"/>
              </w:rPr>
              <w:t>0.64%</w:t>
            </w:r>
            <w:r w:rsidRPr="004859EC">
              <w:rPr>
                <w:rFonts w:ascii="微软雅黑" w:eastAsia="微软雅黑" w:hAnsi="微软雅黑" w:hint="eastAsia"/>
                <w:lang w:eastAsia="zh"/>
              </w:rPr>
              <w:t>报</w:t>
            </w:r>
            <w:r w:rsidRPr="004859EC">
              <w:rPr>
                <w:rFonts w:ascii="微软雅黑" w:eastAsia="微软雅黑" w:hAnsi="微软雅黑"/>
                <w:lang w:eastAsia="zh"/>
              </w:rPr>
              <w:t>100.08</w:t>
            </w:r>
            <w:r w:rsidRPr="004859EC">
              <w:rPr>
                <w:rFonts w:ascii="微软雅黑" w:eastAsia="微软雅黑" w:hAnsi="微软雅黑" w:hint="eastAsia"/>
                <w:lang w:eastAsia="zh"/>
              </w:rPr>
              <w:t>，非美货币普遍下跌，欧元兑美元跌</w:t>
            </w:r>
            <w:r w:rsidRPr="004859EC">
              <w:rPr>
                <w:rFonts w:ascii="微软雅黑" w:eastAsia="微软雅黑" w:hAnsi="微软雅黑"/>
                <w:lang w:eastAsia="zh"/>
              </w:rPr>
              <w:t>0.78%</w:t>
            </w:r>
            <w:r w:rsidRPr="004859EC">
              <w:rPr>
                <w:rFonts w:ascii="微软雅黑" w:eastAsia="微软雅黑" w:hAnsi="微软雅黑" w:hint="eastAsia"/>
                <w:lang w:eastAsia="zh"/>
              </w:rPr>
              <w:t>报</w:t>
            </w:r>
            <w:r w:rsidRPr="004859EC">
              <w:rPr>
                <w:rFonts w:ascii="微软雅黑" w:eastAsia="微软雅黑" w:hAnsi="微软雅黑"/>
                <w:lang w:eastAsia="zh"/>
              </w:rPr>
              <w:t>1.1521</w:t>
            </w:r>
            <w:r w:rsidRPr="004859EC">
              <w:rPr>
                <w:rFonts w:ascii="微软雅黑" w:eastAsia="微软雅黑" w:hAnsi="微软雅黑" w:hint="eastAsia"/>
                <w:lang w:eastAsia="zh"/>
              </w:rPr>
              <w:t>，英镑兑美元跌</w:t>
            </w:r>
            <w:r w:rsidRPr="004859EC">
              <w:rPr>
                <w:rFonts w:ascii="微软雅黑" w:eastAsia="微软雅黑" w:hAnsi="微软雅黑"/>
                <w:lang w:eastAsia="zh"/>
              </w:rPr>
              <w:t>0.63%</w:t>
            </w:r>
            <w:r w:rsidRPr="004859EC">
              <w:rPr>
                <w:rFonts w:ascii="微软雅黑" w:eastAsia="微软雅黑" w:hAnsi="微软雅黑" w:hint="eastAsia"/>
                <w:lang w:eastAsia="zh"/>
              </w:rPr>
              <w:t>报</w:t>
            </w:r>
            <w:r w:rsidRPr="004859EC">
              <w:rPr>
                <w:rFonts w:ascii="微软雅黑" w:eastAsia="微软雅黑" w:hAnsi="微软雅黑"/>
                <w:lang w:eastAsia="zh"/>
              </w:rPr>
              <w:t>1.3339</w:t>
            </w:r>
            <w:r w:rsidRPr="004859EC">
              <w:rPr>
                <w:rFonts w:ascii="微软雅黑" w:eastAsia="微软雅黑" w:hAnsi="微软雅黑" w:hint="eastAsia"/>
                <w:lang w:eastAsia="zh"/>
              </w:rPr>
              <w:t>，美元兑日元涨</w:t>
            </w:r>
            <w:r w:rsidRPr="004859EC">
              <w:rPr>
                <w:rFonts w:ascii="微软雅黑" w:eastAsia="微软雅黑" w:hAnsi="微软雅黑"/>
                <w:lang w:eastAsia="zh"/>
              </w:rPr>
              <w:t>0.19%</w:t>
            </w:r>
            <w:r w:rsidRPr="004859EC">
              <w:rPr>
                <w:rFonts w:ascii="微软雅黑" w:eastAsia="微软雅黑" w:hAnsi="微软雅黑" w:hint="eastAsia"/>
                <w:lang w:eastAsia="zh"/>
              </w:rPr>
              <w:t>报</w:t>
            </w:r>
            <w:r w:rsidRPr="004859EC">
              <w:rPr>
                <w:rFonts w:ascii="微软雅黑" w:eastAsia="微软雅黑" w:hAnsi="微软雅黑"/>
                <w:lang w:eastAsia="zh"/>
              </w:rPr>
              <w:t>160.3265</w:t>
            </w:r>
            <w:r w:rsidRPr="004859EC">
              <w:rPr>
                <w:rFonts w:ascii="微软雅黑" w:eastAsia="微软雅黑" w:hAnsi="微软雅黑" w:hint="eastAsia"/>
                <w:lang w:eastAsia="zh"/>
              </w:rPr>
              <w:t>。</w:t>
            </w:r>
          </w:p>
          <w:p w14:paraId="198597D1" w14:textId="77777777" w:rsidR="004859EC" w:rsidRPr="004859EC" w:rsidRDefault="004859EC" w:rsidP="004859EC">
            <w:pPr>
              <w:rPr>
                <w:rFonts w:ascii="微软雅黑" w:eastAsia="微软雅黑" w:hAnsi="微软雅黑"/>
                <w:lang w:eastAsia="zh"/>
              </w:rPr>
            </w:pPr>
            <w:r w:rsidRPr="004859EC">
              <w:rPr>
                <w:rFonts w:ascii="微软雅黑" w:eastAsia="微软雅黑" w:hAnsi="微软雅黑" w:hint="eastAsia"/>
                <w:lang w:eastAsia="zh"/>
              </w:rPr>
              <w:t>美国就业数据延续强势，美元上周五再度突破</w:t>
            </w:r>
            <w:r w:rsidRPr="004859EC">
              <w:rPr>
                <w:rFonts w:ascii="微软雅黑" w:eastAsia="微软雅黑" w:hAnsi="微软雅黑"/>
                <w:lang w:eastAsia="zh"/>
              </w:rPr>
              <w:t>100</w:t>
            </w:r>
            <w:r w:rsidRPr="004859EC">
              <w:rPr>
                <w:rFonts w:ascii="微软雅黑" w:eastAsia="微软雅黑" w:hAnsi="微软雅黑" w:hint="eastAsia"/>
                <w:lang w:eastAsia="zh"/>
              </w:rPr>
              <w:t>美元整数关口。宏观数据方面，</w:t>
            </w:r>
            <w:r w:rsidRPr="004859EC">
              <w:rPr>
                <w:rFonts w:ascii="微软雅黑" w:eastAsia="微软雅黑" w:hAnsi="微软雅黑"/>
                <w:lang w:eastAsia="zh"/>
              </w:rPr>
              <w:t>5</w:t>
            </w:r>
            <w:r w:rsidRPr="004859EC">
              <w:rPr>
                <w:rFonts w:ascii="微软雅黑" w:eastAsia="微软雅黑" w:hAnsi="微软雅黑" w:hint="eastAsia"/>
                <w:lang w:eastAsia="zh"/>
              </w:rPr>
              <w:t>月非农就业新增录得</w:t>
            </w:r>
            <w:r w:rsidRPr="004859EC">
              <w:rPr>
                <w:rFonts w:ascii="微软雅黑" w:eastAsia="微软雅黑" w:hAnsi="微软雅黑"/>
                <w:lang w:eastAsia="zh"/>
              </w:rPr>
              <w:t>17.2</w:t>
            </w:r>
            <w:r w:rsidRPr="004859EC">
              <w:rPr>
                <w:rFonts w:ascii="微软雅黑" w:eastAsia="微软雅黑" w:hAnsi="微软雅黑" w:hint="eastAsia"/>
                <w:lang w:eastAsia="zh"/>
              </w:rPr>
              <w:t>万人，大幅超出市场预期，过去两个月数值亦同步录得上修，市场对于美联储年内加息担忧显著加剧，美元指数及美债收益率大幅走高，利率期货显示年内加息概率抬升至</w:t>
            </w:r>
            <w:r w:rsidRPr="004859EC">
              <w:rPr>
                <w:rFonts w:ascii="微软雅黑" w:eastAsia="微软雅黑" w:hAnsi="微软雅黑"/>
                <w:lang w:eastAsia="zh"/>
              </w:rPr>
              <w:t>50%</w:t>
            </w:r>
            <w:r w:rsidRPr="004859EC">
              <w:rPr>
                <w:rFonts w:ascii="微软雅黑" w:eastAsia="微软雅黑" w:hAnsi="微软雅黑" w:hint="eastAsia"/>
                <w:lang w:eastAsia="zh"/>
              </w:rPr>
              <w:t>水平。此外，美国</w:t>
            </w:r>
            <w:r w:rsidRPr="004859EC">
              <w:rPr>
                <w:rFonts w:ascii="微软雅黑" w:eastAsia="微软雅黑" w:hAnsi="微软雅黑"/>
                <w:lang w:eastAsia="zh"/>
              </w:rPr>
              <w:t>5</w:t>
            </w:r>
            <w:r w:rsidRPr="004859EC">
              <w:rPr>
                <w:rFonts w:ascii="微软雅黑" w:eastAsia="微软雅黑" w:hAnsi="微软雅黑" w:hint="eastAsia"/>
                <w:lang w:eastAsia="zh"/>
              </w:rPr>
              <w:t>月</w:t>
            </w:r>
            <w:r w:rsidRPr="004859EC">
              <w:rPr>
                <w:rFonts w:ascii="微软雅黑" w:eastAsia="微软雅黑" w:hAnsi="微软雅黑"/>
                <w:lang w:eastAsia="zh"/>
              </w:rPr>
              <w:t>ISM</w:t>
            </w:r>
            <w:r w:rsidRPr="004859EC">
              <w:rPr>
                <w:rFonts w:ascii="微软雅黑" w:eastAsia="微软雅黑" w:hAnsi="微软雅黑" w:hint="eastAsia"/>
                <w:lang w:eastAsia="zh"/>
              </w:rPr>
              <w:t>服务业</w:t>
            </w:r>
            <w:r w:rsidRPr="004859EC">
              <w:rPr>
                <w:rFonts w:ascii="微软雅黑" w:eastAsia="微软雅黑" w:hAnsi="微软雅黑"/>
                <w:lang w:eastAsia="zh"/>
              </w:rPr>
              <w:t>PMI</w:t>
            </w:r>
            <w:r w:rsidRPr="004859EC">
              <w:rPr>
                <w:rFonts w:ascii="微软雅黑" w:eastAsia="微软雅黑" w:hAnsi="微软雅黑" w:hint="eastAsia"/>
                <w:lang w:eastAsia="zh"/>
              </w:rPr>
              <w:t>再度走强，职位空缺数及裁员率表现亦优于预期，宏观数据韧性指向联储鹰派预期，当前</w:t>
            </w:r>
            <w:r w:rsidRPr="004859EC">
              <w:rPr>
                <w:rFonts w:ascii="微软雅黑" w:eastAsia="微软雅黑" w:hAnsi="微软雅黑"/>
                <w:lang w:eastAsia="zh"/>
              </w:rPr>
              <w:t>FOMC</w:t>
            </w:r>
            <w:r w:rsidRPr="004859EC">
              <w:rPr>
                <w:rFonts w:ascii="微软雅黑" w:eastAsia="微软雅黑" w:hAnsi="微软雅黑" w:hint="eastAsia"/>
                <w:lang w:eastAsia="zh"/>
              </w:rPr>
              <w:t>票委发言基调显著转鹰，多位官员公开支持通胀隐忧推动下的加息决策。往前看，美元短期仍受鹰派联储预期与地缘不确定性支撑，但市场对尾部风险定价趋于钝化，美伊达成停火协议为当前市场基准情形，叠加财政扩张下美元信用弱化叙事延续，美元上方或仍存在一定阻力，本周或震荡偏强运行。</w:t>
            </w:r>
          </w:p>
          <w:p w14:paraId="5F843723" w14:textId="59BD387B" w:rsidR="00B86245" w:rsidRPr="00380003" w:rsidRDefault="004859EC" w:rsidP="004859EC">
            <w:pPr>
              <w:rPr>
                <w:rFonts w:ascii="微软雅黑" w:eastAsia="微软雅黑" w:hAnsi="微软雅黑" w:hint="eastAsia"/>
                <w:lang w:eastAsia="zh-CN"/>
              </w:rPr>
            </w:pPr>
            <w:r w:rsidRPr="004859EC">
              <w:rPr>
                <w:rFonts w:ascii="微软雅黑" w:eastAsia="微软雅黑" w:hAnsi="微软雅黑" w:hint="eastAsia"/>
                <w:lang w:eastAsia="zh"/>
              </w:rPr>
              <w:t>非美方面，利率期货显示欧央行将于本月展开</w:t>
            </w:r>
            <w:r w:rsidRPr="004859EC">
              <w:rPr>
                <w:rFonts w:ascii="微软雅黑" w:eastAsia="微软雅黑" w:hAnsi="微软雅黑"/>
                <w:lang w:eastAsia="zh"/>
              </w:rPr>
              <w:t>25</w:t>
            </w:r>
            <w:r w:rsidRPr="004859EC">
              <w:rPr>
                <w:rFonts w:ascii="微软雅黑" w:eastAsia="微软雅黑" w:hAnsi="微软雅黑" w:hint="eastAsia"/>
                <w:lang w:eastAsia="zh"/>
              </w:rPr>
              <w:t>基点加息，后续或仍有</w:t>
            </w:r>
            <w:r w:rsidRPr="004859EC">
              <w:rPr>
                <w:rFonts w:ascii="微软雅黑" w:eastAsia="微软雅黑" w:hAnsi="微软雅黑"/>
                <w:lang w:eastAsia="zh"/>
              </w:rPr>
              <w:t>2-3</w:t>
            </w:r>
            <w:r w:rsidRPr="004859EC">
              <w:rPr>
                <w:rFonts w:ascii="微软雅黑" w:eastAsia="微软雅黑" w:hAnsi="微软雅黑" w:hint="eastAsia"/>
                <w:lang w:eastAsia="zh"/>
              </w:rPr>
              <w:t>次加息空间，当前鹰派定价主要受最新通胀数据驱动，欧元区</w:t>
            </w:r>
            <w:r w:rsidRPr="004859EC">
              <w:rPr>
                <w:rFonts w:ascii="微软雅黑" w:eastAsia="微软雅黑" w:hAnsi="微软雅黑"/>
                <w:lang w:eastAsia="zh"/>
              </w:rPr>
              <w:t>5</w:t>
            </w:r>
            <w:r w:rsidRPr="004859EC">
              <w:rPr>
                <w:rFonts w:ascii="微软雅黑" w:eastAsia="微软雅黑" w:hAnsi="微软雅黑" w:hint="eastAsia"/>
                <w:lang w:eastAsia="zh"/>
              </w:rPr>
              <w:t>月通胀增速创逾两年半新高，核心通胀同步加速，显示</w:t>
            </w:r>
            <w:r w:rsidRPr="004859EC">
              <w:rPr>
                <w:rFonts w:ascii="微软雅黑" w:eastAsia="微软雅黑" w:hAnsi="微软雅黑" w:hint="eastAsia"/>
                <w:lang w:eastAsia="zh"/>
              </w:rPr>
              <w:lastRenderedPageBreak/>
              <w:t>价格压力正从能源领域向更广泛的经济部门扩散。日本央行行长表示由油价驱动的通胀风险趋于上行，将依据经济与物价走势适时推进加息，使得日央行年内加息预期走强。往前看，伴随停火预期逐步兑现，美国与非美关键利差预期有望收敛，后续或对欧元及日元表现形成边际提振</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4B2E820" w:rsidR="00B86245" w:rsidRPr="00E63E1E" w:rsidRDefault="004859EC" w:rsidP="00B86245">
            <w:pPr>
              <w:rPr>
                <w:rFonts w:ascii="微软雅黑" w:eastAsia="微软雅黑" w:hAnsi="微软雅黑" w:hint="eastAsia"/>
                <w:lang w:eastAsia="zh"/>
              </w:rPr>
            </w:pPr>
            <w:r w:rsidRPr="004859EC">
              <w:rPr>
                <w:rFonts w:ascii="微软雅黑" w:eastAsia="微软雅黑" w:hAnsi="微软雅黑"/>
                <w:lang w:eastAsia="zh"/>
              </w:rPr>
              <w:t>截至6月5日，海外贵金属市场大幅下挫，伦敦金失守4400美元关口，相较年内高位下跌超20%，进入技术性熊市，伦敦银跌破70美元关口，COMEX黄金期货跌3.35%报4353.90美元/盎司，周跌5.21%，COMEX白银期货跌8.08%报68.00美元/盎司，周跌10.39%。地缘方面，以色列对黎巴嫩首都发动空袭，伊朗以导弹袭击回应；美伊谈判仍处僵持阶段，在浓缩铀处置、伊朗核问题和霍尔木兹海峡通行的问题达成协议之前，可信的和平协议落地可能性较低。宏观数据方面，美国5月非农就业人口超预期增加17.2万人，3-4月就业新增人数合计上修9.3万人，强劲的就业数据引发市场“紧缩”交易，市场完全定价美联储加息25个基点。全球黄金ETF五月转为净流出；中长期来看，各国央行逢低购金需求，金价下方逢低买盘需求或继续提供价格支撑。白银短期或跟随地缘冲突持续预期及金价走势震荡，受工业需求波动较大。操作上建议，逢低布局思路对待。技术面，伦敦金短线面临上方阻力位4500美元/盎司，下方支撑4300美元/盎司，金价短期承压，若下跌破位则下方空间至4200美元/盎司，日线RSI走低，MACD绿柱走扩；伦敦银关注上方阻力位76、80美元/盎司，下方支撑67、60美元/盎司</w:t>
            </w:r>
            <w:r w:rsidRPr="004859EC">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FE79A02" w:rsidR="006D4218" w:rsidRDefault="000358BC" w:rsidP="00C73781">
            <w:pPr>
              <w:spacing w:line="4053" w:lineRule="exact"/>
              <w:jc w:val="both"/>
              <w:rPr>
                <w:rFonts w:eastAsia="宋体"/>
                <w:lang w:eastAsia="zh-CN"/>
              </w:rPr>
            </w:pPr>
            <w:r>
              <w:rPr>
                <w:rFonts w:eastAsia="宋体"/>
                <w:noProof/>
                <w:lang w:eastAsia="zh-CN"/>
              </w:rPr>
              <w:object w:dxaOrig="7201" w:dyaOrig="4321" w14:anchorId="3FD9532D">
                <v:shape id="_x0000_i1027" type="#_x0000_t75" style="width:231.5pt;height:150.8pt" o:ole="">
                  <v:imagedata r:id="rId15" o:title=""/>
                </v:shape>
                <o:OLEObject Type="Link" ProgID="Excel.Sheet.12" ShapeID="_x0000_i1027"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28" type="#_x0000_t75" style="width:225.4pt;height:150.15pt" o:ole="">
                  <v:imagedata r:id="rId17" o:title=""/>
                </v:shape>
                <o:OLEObject Type="Link" ProgID="Excel.Sheet.12" ShapeID="_x0000_i1028"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3596B61E" w:rsidR="006D4218" w:rsidRDefault="009B3C7E" w:rsidP="00C73781">
            <w:pPr>
              <w:spacing w:line="4053" w:lineRule="exact"/>
              <w:jc w:val="both"/>
              <w:rPr>
                <w:rFonts w:eastAsia="宋体"/>
                <w:lang w:eastAsia="zh-CN"/>
              </w:rPr>
            </w:pPr>
            <w:r>
              <w:rPr>
                <w:noProof/>
                <w:snapToGrid/>
                <w:lang w:eastAsia="zh-CN"/>
              </w:rPr>
              <w:drawing>
                <wp:inline distT="0" distB="0" distL="0" distR="0" wp14:anchorId="658BDAA0" wp14:editId="155021EF">
                  <wp:extent cx="2845970" cy="1996495"/>
                  <wp:effectExtent l="0" t="0" r="0" b="3810"/>
                  <wp:docPr id="16121999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8210" cy="2012097"/>
                          </a:xfrm>
                          <a:prstGeom prst="rect">
                            <a:avLst/>
                          </a:prstGeom>
                          <a:noFill/>
                        </pic:spPr>
                      </pic:pic>
                    </a:graphicData>
                  </a:graphic>
                </wp:inline>
              </w:drawing>
            </w:r>
            <w:r>
              <w:rPr>
                <w:noProof/>
                <w:snapToGrid/>
                <w:lang w:eastAsia="zh-CN"/>
              </w:rPr>
              <w:t xml:space="preserve"> </w:t>
            </w:r>
            <w:r>
              <w:rPr>
                <w:noProof/>
                <w:snapToGrid/>
                <w:lang w:eastAsia="zh-CN"/>
              </w:rPr>
              <w:object w:dxaOrig="7126" w:dyaOrig="4321" w14:anchorId="02735971">
                <v:shape id="_x0000_i1029" type="#_x0000_t75" style="width:229.8pt;height:156pt" o:ole="">
                  <v:imagedata r:id="rId20" o:title=""/>
                </v:shape>
                <o:OLEObject Type="Link" ProgID="Excel.Sheet.12" ShapeID="_x0000_i1029"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71F8E2C8" w:rsidR="006D4218" w:rsidRDefault="000358BC" w:rsidP="00C73781">
            <w:pPr>
              <w:spacing w:line="4053" w:lineRule="exact"/>
              <w:rPr>
                <w:rFonts w:eastAsia="宋体"/>
                <w:lang w:eastAsia="zh-CN"/>
              </w:rPr>
            </w:pPr>
            <w:r>
              <w:rPr>
                <w:noProof/>
                <w:snapToGrid/>
              </w:rPr>
              <w:object w:dxaOrig="7126" w:dyaOrig="4321" w14:anchorId="0FCA993C">
                <v:shape id="_x0000_i1030" type="#_x0000_t75" style="width:230.55pt;height:146.5pt" o:ole="">
                  <v:imagedata r:id="rId22" o:title=""/>
                </v:shape>
                <o:OLEObject Type="Link" ProgID="Excel.Sheet.12" ShapeID="_x0000_i103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31" type="#_x0000_t75" style="width:226.65pt;height:146.5pt" o:ole="">
                  <v:imagedata r:id="rId24" o:title=""/>
                </v:shape>
                <o:OLEObject Type="Link" ProgID="Excel.Sheet.12" ShapeID="_x0000_i1031"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6E29C7A" w:rsidR="006D4218" w:rsidRDefault="000358BC" w:rsidP="00C73781">
            <w:pPr>
              <w:spacing w:line="4053" w:lineRule="exact"/>
              <w:jc w:val="both"/>
              <w:rPr>
                <w:rFonts w:eastAsia="宋体"/>
                <w:lang w:eastAsia="zh-CN"/>
              </w:rPr>
            </w:pPr>
            <w:r>
              <w:rPr>
                <w:noProof/>
                <w:snapToGrid/>
                <w:lang w:eastAsia="zh-CN"/>
              </w:rPr>
              <w:object w:dxaOrig="6916" w:dyaOrig="4321" w14:anchorId="77B2E435">
                <v:shape id="_x0000_i1032" type="#_x0000_t75" style="width:227.9pt;height:154pt" o:ole="">
                  <v:imagedata r:id="rId26" o:title=""/>
                </v:shape>
                <o:OLEObject Type="Link" ProgID="Excel.Sheet.12" ShapeID="_x0000_i1032"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33" type="#_x0000_t75" style="width:225.4pt;height:154pt" o:ole="">
                  <v:imagedata r:id="rId28" o:title=""/>
                </v:shape>
                <o:OLEObject Type="Link" ProgID="Excel.Sheet.12" ShapeID="_x0000_i1033"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32F7C76" w:rsidR="006D4218" w:rsidRDefault="000358BC" w:rsidP="00C73781">
            <w:pPr>
              <w:spacing w:line="4053" w:lineRule="exact"/>
              <w:jc w:val="both"/>
              <w:rPr>
                <w:rFonts w:eastAsia="宋体"/>
                <w:sz w:val="20"/>
                <w:lang w:eastAsia="zh-CN"/>
              </w:rPr>
            </w:pPr>
            <w:r>
              <w:rPr>
                <w:rFonts w:eastAsia="宋体"/>
                <w:noProof/>
                <w:sz w:val="20"/>
                <w:lang w:eastAsia="zh-CN"/>
              </w:rPr>
              <w:object w:dxaOrig="6720" w:dyaOrig="4321" w14:anchorId="0AAA68B6">
                <v:shape id="_x0000_i1034" type="#_x0000_t75" style="width:230.4pt;height:148.4pt" o:ole="">
                  <v:imagedata r:id="rId30" o:title=""/>
                </v:shape>
                <o:OLEObject Type="Link" ProgID="Excel.Sheet.12" ShapeID="_x0000_i1034"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35" type="#_x0000_t75" style="width:226.65pt;height:148.4pt" o:ole="">
                  <v:imagedata r:id="rId32" o:title=""/>
                </v:shape>
                <o:OLEObject Type="Link" ProgID="Excel.Sheet.12" ShapeID="_x0000_i1035"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9B3C7E"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26F3F" w:rsidRPr="00B90389" w14:paraId="475FDE2D" w14:textId="77777777" w:rsidTr="00C11EBD">
        <w:trPr>
          <w:trHeight w:val="620"/>
        </w:trPr>
        <w:tc>
          <w:tcPr>
            <w:tcW w:w="1731" w:type="dxa"/>
          </w:tcPr>
          <w:p w14:paraId="6F0C96C7" w14:textId="30483383" w:rsidR="00426F3F" w:rsidRPr="008E453D" w:rsidRDefault="008E453D" w:rsidP="00426F3F">
            <w:pPr>
              <w:pStyle w:val="TableText"/>
              <w:spacing w:before="221" w:line="180" w:lineRule="auto"/>
              <w:jc w:val="center"/>
              <w:rPr>
                <w:rFonts w:hint="eastAsia"/>
                <w:b/>
                <w:bCs/>
                <w:sz w:val="19"/>
                <w:szCs w:val="19"/>
                <w:lang w:eastAsia="zh-CN"/>
              </w:rPr>
            </w:pPr>
            <w:bookmarkStart w:id="0" w:name="_Hlk186443750"/>
            <w:r w:rsidRPr="008E453D">
              <w:rPr>
                <w:b/>
                <w:bCs/>
                <w:sz w:val="19"/>
                <w:szCs w:val="19"/>
                <w:lang w:eastAsia="zh-CN"/>
              </w:rPr>
              <w:t>2026/6/8</w:t>
            </w:r>
          </w:p>
        </w:tc>
        <w:tc>
          <w:tcPr>
            <w:tcW w:w="1314" w:type="dxa"/>
          </w:tcPr>
          <w:p w14:paraId="5101373E" w14:textId="29565A59" w:rsidR="00426F3F" w:rsidRPr="008E453D" w:rsidRDefault="008E453D" w:rsidP="00426F3F">
            <w:pPr>
              <w:pStyle w:val="TableText"/>
              <w:spacing w:before="221" w:line="180" w:lineRule="auto"/>
              <w:jc w:val="center"/>
              <w:rPr>
                <w:rFonts w:hint="eastAsia"/>
                <w:b/>
                <w:bCs/>
                <w:sz w:val="19"/>
                <w:szCs w:val="19"/>
                <w:lang w:eastAsia="zh-CN"/>
              </w:rPr>
            </w:pPr>
            <w:r w:rsidRPr="008E453D">
              <w:rPr>
                <w:b/>
                <w:bCs/>
                <w:sz w:val="19"/>
                <w:szCs w:val="19"/>
                <w:lang w:eastAsia="zh-CN"/>
              </w:rPr>
              <w:t>7:50</w:t>
            </w:r>
          </w:p>
        </w:tc>
        <w:tc>
          <w:tcPr>
            <w:tcW w:w="6344" w:type="dxa"/>
          </w:tcPr>
          <w:p w14:paraId="36B1358B" w14:textId="6268C4FA" w:rsidR="00426F3F" w:rsidRPr="008E453D" w:rsidRDefault="00D338AE" w:rsidP="00426F3F">
            <w:pPr>
              <w:pStyle w:val="TableText"/>
              <w:spacing w:before="221" w:line="180" w:lineRule="auto"/>
              <w:jc w:val="center"/>
              <w:rPr>
                <w:rFonts w:hint="eastAsia"/>
                <w:b/>
                <w:bCs/>
                <w:sz w:val="19"/>
                <w:szCs w:val="19"/>
                <w:lang w:eastAsia="zh-CN"/>
              </w:rPr>
            </w:pPr>
            <w:r w:rsidRPr="008E453D">
              <w:rPr>
                <w:b/>
                <w:bCs/>
                <w:sz w:val="19"/>
                <w:szCs w:val="19"/>
                <w:lang w:eastAsia="zh-CN"/>
              </w:rPr>
              <w:t>日本一季度实际 GDP 平减指数同比终值</w:t>
            </w:r>
          </w:p>
        </w:tc>
      </w:tr>
      <w:bookmarkEnd w:id="0"/>
      <w:tr w:rsidR="008E453D" w:rsidRPr="00B90389" w14:paraId="538C5248" w14:textId="77777777" w:rsidTr="00114051">
        <w:trPr>
          <w:trHeight w:val="620"/>
        </w:trPr>
        <w:tc>
          <w:tcPr>
            <w:tcW w:w="1731" w:type="dxa"/>
            <w:shd w:val="clear" w:color="auto" w:fill="DAE3F4" w:themeFill="accent1" w:themeFillTint="33"/>
          </w:tcPr>
          <w:p w14:paraId="5F62248C" w14:textId="74879AAB" w:rsidR="008E453D" w:rsidRPr="008E453D" w:rsidRDefault="008E453D" w:rsidP="008E453D">
            <w:pPr>
              <w:pStyle w:val="TableText"/>
              <w:spacing w:before="221" w:line="180" w:lineRule="auto"/>
              <w:jc w:val="center"/>
              <w:rPr>
                <w:rFonts w:hint="eastAsia"/>
                <w:b/>
                <w:bCs/>
                <w:sz w:val="19"/>
                <w:szCs w:val="19"/>
                <w:lang w:eastAsia="zh-CN"/>
              </w:rPr>
            </w:pPr>
            <w:r w:rsidRPr="008E453D">
              <w:rPr>
                <w:b/>
                <w:bCs/>
              </w:rPr>
              <w:t>2026/6/10</w:t>
            </w:r>
          </w:p>
        </w:tc>
        <w:tc>
          <w:tcPr>
            <w:tcW w:w="1314" w:type="dxa"/>
            <w:shd w:val="clear" w:color="auto" w:fill="DAE3F4" w:themeFill="accent1" w:themeFillTint="33"/>
          </w:tcPr>
          <w:p w14:paraId="5320F104" w14:textId="5C75B3A8"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9:30</w:t>
            </w:r>
          </w:p>
        </w:tc>
        <w:tc>
          <w:tcPr>
            <w:tcW w:w="6344" w:type="dxa"/>
            <w:shd w:val="clear" w:color="auto" w:fill="DAE3F4" w:themeFill="accent1" w:themeFillTint="33"/>
          </w:tcPr>
          <w:p w14:paraId="31CAFE58" w14:textId="25321D89"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中国 5 月 CPI 同比、中国 5 月 PPI 同比</w:t>
            </w:r>
          </w:p>
        </w:tc>
      </w:tr>
      <w:tr w:rsidR="008E453D" w:rsidRPr="00B90389" w14:paraId="1E0205C1" w14:textId="77777777" w:rsidTr="00A97801">
        <w:trPr>
          <w:trHeight w:val="620"/>
        </w:trPr>
        <w:tc>
          <w:tcPr>
            <w:tcW w:w="1731" w:type="dxa"/>
          </w:tcPr>
          <w:p w14:paraId="0F6E7AAC" w14:textId="3122F8E8" w:rsidR="008E453D" w:rsidRPr="008E453D" w:rsidRDefault="008E453D" w:rsidP="008E453D">
            <w:pPr>
              <w:pStyle w:val="TableText"/>
              <w:spacing w:before="221" w:line="180" w:lineRule="auto"/>
              <w:jc w:val="center"/>
              <w:rPr>
                <w:rFonts w:hint="eastAsia"/>
                <w:b/>
                <w:bCs/>
                <w:sz w:val="19"/>
                <w:szCs w:val="19"/>
                <w:lang w:eastAsia="zh-CN"/>
              </w:rPr>
            </w:pPr>
            <w:r w:rsidRPr="008E453D">
              <w:rPr>
                <w:b/>
                <w:bCs/>
              </w:rPr>
              <w:t>2026/6/10</w:t>
            </w:r>
          </w:p>
        </w:tc>
        <w:tc>
          <w:tcPr>
            <w:tcW w:w="1314" w:type="dxa"/>
          </w:tcPr>
          <w:p w14:paraId="1C64C080" w14:textId="10646FE5"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20:30</w:t>
            </w:r>
          </w:p>
        </w:tc>
        <w:tc>
          <w:tcPr>
            <w:tcW w:w="6344" w:type="dxa"/>
          </w:tcPr>
          <w:p w14:paraId="6039A1D3" w14:textId="16F959C8"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美国 5 月核心 CPI 同比、美国 5 月 CPI 同比</w:t>
            </w:r>
          </w:p>
        </w:tc>
      </w:tr>
      <w:tr w:rsidR="008E453D" w:rsidRPr="00B90389" w14:paraId="3039555E" w14:textId="77777777" w:rsidTr="007F6807">
        <w:trPr>
          <w:trHeight w:val="620"/>
        </w:trPr>
        <w:tc>
          <w:tcPr>
            <w:tcW w:w="1731" w:type="dxa"/>
            <w:shd w:val="clear" w:color="auto" w:fill="DAE3F4" w:themeFill="accent1" w:themeFillTint="33"/>
          </w:tcPr>
          <w:p w14:paraId="19B0A434" w14:textId="0B92D3D0" w:rsidR="008E453D" w:rsidRPr="008E453D" w:rsidRDefault="008E453D" w:rsidP="008E453D">
            <w:pPr>
              <w:pStyle w:val="TableText"/>
              <w:spacing w:before="221" w:line="180" w:lineRule="auto"/>
              <w:jc w:val="center"/>
              <w:rPr>
                <w:rFonts w:hint="eastAsia"/>
                <w:b/>
                <w:bCs/>
                <w:sz w:val="19"/>
                <w:szCs w:val="19"/>
                <w:lang w:eastAsia="zh-CN"/>
              </w:rPr>
            </w:pPr>
            <w:r w:rsidRPr="008E453D">
              <w:rPr>
                <w:b/>
                <w:bCs/>
              </w:rPr>
              <w:t>2026/6/11</w:t>
            </w:r>
          </w:p>
        </w:tc>
        <w:tc>
          <w:tcPr>
            <w:tcW w:w="1314" w:type="dxa"/>
            <w:shd w:val="clear" w:color="auto" w:fill="DAE3F4" w:themeFill="accent1" w:themeFillTint="33"/>
          </w:tcPr>
          <w:p w14:paraId="28981344" w14:textId="47A2AC71"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20:15</w:t>
            </w:r>
          </w:p>
        </w:tc>
        <w:tc>
          <w:tcPr>
            <w:tcW w:w="6344" w:type="dxa"/>
            <w:shd w:val="clear" w:color="auto" w:fill="DAE3F4" w:themeFill="accent1" w:themeFillTint="33"/>
          </w:tcPr>
          <w:p w14:paraId="6D27F044" w14:textId="0C2AB156"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欧洲央行公布利率决议</w:t>
            </w:r>
          </w:p>
        </w:tc>
      </w:tr>
      <w:tr w:rsidR="008E453D" w:rsidRPr="00B90389" w14:paraId="4659B553" w14:textId="77777777" w:rsidTr="00A97801">
        <w:trPr>
          <w:trHeight w:val="620"/>
        </w:trPr>
        <w:tc>
          <w:tcPr>
            <w:tcW w:w="1731" w:type="dxa"/>
          </w:tcPr>
          <w:p w14:paraId="4166195B" w14:textId="67B96D32" w:rsidR="008E453D" w:rsidRPr="008E453D" w:rsidRDefault="008E453D" w:rsidP="008E453D">
            <w:pPr>
              <w:pStyle w:val="TableText"/>
              <w:spacing w:before="221" w:line="180" w:lineRule="auto"/>
              <w:jc w:val="center"/>
              <w:rPr>
                <w:rFonts w:hint="eastAsia"/>
                <w:b/>
                <w:bCs/>
                <w:sz w:val="19"/>
                <w:szCs w:val="19"/>
                <w:lang w:eastAsia="zh-CN"/>
              </w:rPr>
            </w:pPr>
            <w:r w:rsidRPr="008E453D">
              <w:rPr>
                <w:b/>
                <w:bCs/>
              </w:rPr>
              <w:t>2026/6/11</w:t>
            </w:r>
          </w:p>
        </w:tc>
        <w:tc>
          <w:tcPr>
            <w:tcW w:w="1314" w:type="dxa"/>
          </w:tcPr>
          <w:p w14:paraId="04E77E1F" w14:textId="0089DBAF"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20:30</w:t>
            </w:r>
          </w:p>
        </w:tc>
        <w:tc>
          <w:tcPr>
            <w:tcW w:w="6344" w:type="dxa"/>
          </w:tcPr>
          <w:p w14:paraId="3FDE185E" w14:textId="7E7A130E" w:rsidR="008E453D" w:rsidRPr="008E453D" w:rsidRDefault="008E453D" w:rsidP="008E453D">
            <w:pPr>
              <w:pStyle w:val="TableText"/>
              <w:spacing w:before="221" w:line="180" w:lineRule="auto"/>
              <w:jc w:val="center"/>
              <w:rPr>
                <w:rFonts w:hint="eastAsia"/>
                <w:b/>
                <w:bCs/>
                <w:sz w:val="19"/>
                <w:szCs w:val="19"/>
                <w:lang w:eastAsia="zh-CN"/>
              </w:rPr>
            </w:pPr>
            <w:r w:rsidRPr="008E453D">
              <w:rPr>
                <w:b/>
                <w:bCs/>
                <w:sz w:val="19"/>
                <w:szCs w:val="19"/>
                <w:lang w:eastAsia="zh-CN"/>
              </w:rPr>
              <w:t>美国 6 月 6 日当周首次申请失业救济人数 (万人)</w:t>
            </w:r>
          </w:p>
        </w:tc>
      </w:tr>
      <w:tr w:rsidR="008E453D" w:rsidRPr="00B90389" w14:paraId="5B638662" w14:textId="77777777" w:rsidTr="008E453D">
        <w:trPr>
          <w:trHeight w:val="620"/>
        </w:trPr>
        <w:tc>
          <w:tcPr>
            <w:tcW w:w="1731" w:type="dxa"/>
            <w:shd w:val="clear" w:color="auto" w:fill="DAE3F4" w:themeFill="accent1" w:themeFillTint="33"/>
          </w:tcPr>
          <w:p w14:paraId="5CD88DF5" w14:textId="601DC497" w:rsidR="008E453D" w:rsidRPr="008E453D" w:rsidRDefault="008E453D" w:rsidP="008E453D">
            <w:pPr>
              <w:pStyle w:val="TableText"/>
              <w:spacing w:before="221" w:line="180" w:lineRule="auto"/>
              <w:jc w:val="center"/>
              <w:rPr>
                <w:b/>
                <w:bCs/>
              </w:rPr>
            </w:pPr>
            <w:r w:rsidRPr="008E453D">
              <w:rPr>
                <w:b/>
                <w:bCs/>
              </w:rPr>
              <w:t>2026/6/11</w:t>
            </w:r>
          </w:p>
        </w:tc>
        <w:tc>
          <w:tcPr>
            <w:tcW w:w="1314" w:type="dxa"/>
            <w:shd w:val="clear" w:color="auto" w:fill="DAE3F4" w:themeFill="accent1" w:themeFillTint="33"/>
          </w:tcPr>
          <w:p w14:paraId="7ACADDC5" w14:textId="06057CEC" w:rsidR="008E453D" w:rsidRPr="008E453D" w:rsidRDefault="008E453D" w:rsidP="008E453D">
            <w:pPr>
              <w:pStyle w:val="TableText"/>
              <w:spacing w:before="221" w:line="180" w:lineRule="auto"/>
              <w:jc w:val="center"/>
              <w:rPr>
                <w:b/>
                <w:bCs/>
                <w:sz w:val="19"/>
                <w:szCs w:val="19"/>
                <w:lang w:eastAsia="zh-CN"/>
              </w:rPr>
            </w:pPr>
            <w:r w:rsidRPr="008E453D">
              <w:rPr>
                <w:b/>
                <w:bCs/>
                <w:sz w:val="19"/>
                <w:szCs w:val="19"/>
                <w:lang w:eastAsia="zh-CN"/>
              </w:rPr>
              <w:t>20:30</w:t>
            </w:r>
          </w:p>
        </w:tc>
        <w:tc>
          <w:tcPr>
            <w:tcW w:w="6344" w:type="dxa"/>
            <w:shd w:val="clear" w:color="auto" w:fill="DAE3F4" w:themeFill="accent1" w:themeFillTint="33"/>
          </w:tcPr>
          <w:p w14:paraId="53AAD2BD" w14:textId="3B7F18CD" w:rsidR="008E453D" w:rsidRPr="008E453D" w:rsidRDefault="008E453D" w:rsidP="008E453D">
            <w:pPr>
              <w:pStyle w:val="TableText"/>
              <w:spacing w:before="221" w:line="180" w:lineRule="auto"/>
              <w:jc w:val="center"/>
              <w:rPr>
                <w:b/>
                <w:bCs/>
                <w:sz w:val="19"/>
                <w:szCs w:val="19"/>
                <w:lang w:eastAsia="zh-CN"/>
              </w:rPr>
            </w:pPr>
            <w:r w:rsidRPr="008E453D">
              <w:rPr>
                <w:b/>
                <w:bCs/>
                <w:sz w:val="19"/>
                <w:szCs w:val="19"/>
                <w:lang w:eastAsia="zh-CN"/>
              </w:rPr>
              <w:t>美国 5 月 PPI 同比</w:t>
            </w:r>
          </w:p>
        </w:tc>
      </w:tr>
      <w:tr w:rsidR="00426F3F" w:rsidRPr="00B90389" w14:paraId="46C9FBB6" w14:textId="77777777" w:rsidTr="008E453D">
        <w:trPr>
          <w:trHeight w:val="619"/>
        </w:trPr>
        <w:tc>
          <w:tcPr>
            <w:tcW w:w="1731" w:type="dxa"/>
          </w:tcPr>
          <w:p w14:paraId="4EA37862" w14:textId="5992F93D" w:rsidR="00426F3F" w:rsidRPr="008E453D" w:rsidRDefault="008E453D" w:rsidP="00426F3F">
            <w:pPr>
              <w:pStyle w:val="TableText"/>
              <w:spacing w:before="221" w:line="180" w:lineRule="auto"/>
              <w:jc w:val="center"/>
              <w:rPr>
                <w:rFonts w:hint="eastAsia"/>
                <w:b/>
                <w:bCs/>
                <w:sz w:val="19"/>
                <w:szCs w:val="19"/>
                <w:lang w:eastAsia="zh-CN"/>
              </w:rPr>
            </w:pPr>
            <w:r w:rsidRPr="008E453D">
              <w:rPr>
                <w:b/>
                <w:bCs/>
                <w:sz w:val="19"/>
                <w:szCs w:val="19"/>
                <w:lang w:eastAsia="zh-CN"/>
              </w:rPr>
              <w:t>2026/6/11</w:t>
            </w:r>
          </w:p>
        </w:tc>
        <w:tc>
          <w:tcPr>
            <w:tcW w:w="1314" w:type="dxa"/>
          </w:tcPr>
          <w:p w14:paraId="704E1513" w14:textId="6885255C" w:rsidR="00426F3F" w:rsidRPr="008E453D" w:rsidRDefault="008E453D" w:rsidP="00426F3F">
            <w:pPr>
              <w:pStyle w:val="TableText"/>
              <w:spacing w:before="221" w:line="180" w:lineRule="auto"/>
              <w:jc w:val="center"/>
              <w:rPr>
                <w:rFonts w:hint="eastAsia"/>
                <w:b/>
                <w:bCs/>
                <w:sz w:val="19"/>
                <w:szCs w:val="19"/>
                <w:lang w:eastAsia="zh-CN"/>
              </w:rPr>
            </w:pPr>
            <w:r w:rsidRPr="008E453D">
              <w:rPr>
                <w:b/>
                <w:bCs/>
                <w:sz w:val="19"/>
                <w:szCs w:val="19"/>
                <w:lang w:eastAsia="zh-CN"/>
              </w:rPr>
              <w:t>20:45</w:t>
            </w:r>
          </w:p>
        </w:tc>
        <w:tc>
          <w:tcPr>
            <w:tcW w:w="6344" w:type="dxa"/>
          </w:tcPr>
          <w:p w14:paraId="7E8B730F" w14:textId="395DD2BF" w:rsidR="00426F3F" w:rsidRPr="008E453D" w:rsidRDefault="008E453D" w:rsidP="00426F3F">
            <w:pPr>
              <w:pStyle w:val="TableText"/>
              <w:spacing w:before="221" w:line="180" w:lineRule="auto"/>
              <w:jc w:val="center"/>
              <w:rPr>
                <w:rFonts w:hint="eastAsia"/>
                <w:b/>
                <w:bCs/>
                <w:sz w:val="19"/>
                <w:szCs w:val="19"/>
                <w:lang w:eastAsia="zh-CN"/>
              </w:rPr>
            </w:pPr>
            <w:r w:rsidRPr="008E453D">
              <w:rPr>
                <w:b/>
                <w:bCs/>
                <w:sz w:val="19"/>
                <w:szCs w:val="19"/>
                <w:lang w:eastAsia="zh-CN"/>
              </w:rPr>
              <w:t>欧洲央行行长拉加德召开货币政策新闻发布会</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B597D" w14:textId="77777777" w:rsidR="00CF412E" w:rsidRDefault="00CF412E">
      <w:r>
        <w:separator/>
      </w:r>
    </w:p>
  </w:endnote>
  <w:endnote w:type="continuationSeparator" w:id="0">
    <w:p w14:paraId="790AE864" w14:textId="77777777" w:rsidR="00CF412E" w:rsidRDefault="00CF4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9A693" w14:textId="77777777" w:rsidR="00CF412E" w:rsidRDefault="00CF412E">
      <w:r>
        <w:separator/>
      </w:r>
    </w:p>
  </w:footnote>
  <w:footnote w:type="continuationSeparator" w:id="0">
    <w:p w14:paraId="6D00C13E" w14:textId="77777777" w:rsidR="00CF412E" w:rsidRDefault="00CF4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2026-06-08T00:38:00Z</dcterms:created>
  <dcterms:modified xsi:type="dcterms:W3CDTF">2026-06-08T01:02:00Z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