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062FFB0F"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40161">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月</w:t>
      </w:r>
      <w:r w:rsidR="00C44907">
        <w:rPr>
          <w:rFonts w:ascii="微软雅黑" w:eastAsia="微软雅黑" w:hAnsi="微软雅黑" w:cs="微软雅黑" w:hint="eastAsia"/>
          <w:b/>
          <w:bCs/>
          <w:color w:val="005D97"/>
          <w:spacing w:val="-22"/>
          <w:sz w:val="48"/>
          <w:szCs w:val="48"/>
          <w:lang w:eastAsia="zh-CN"/>
        </w:rPr>
        <w:t>30</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23B2FB47" w:rsidR="007B3E0B" w:rsidRDefault="00C44907"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C44907">
        <w:rPr>
          <w:rFonts w:ascii="微软雅黑" w:eastAsia="微软雅黑" w:hAnsi="微软雅黑" w:cs="微软雅黑"/>
          <w:spacing w:val="12"/>
          <w:lang w:eastAsia="zh-CN"/>
        </w:rPr>
        <w:t>美国三大股指全线收涨，道指涨0.59%报52182.74点，</w:t>
      </w:r>
      <w:proofErr w:type="gramStart"/>
      <w:r w:rsidRPr="00C44907">
        <w:rPr>
          <w:rFonts w:ascii="微软雅黑" w:eastAsia="微软雅黑" w:hAnsi="微软雅黑" w:cs="微软雅黑"/>
          <w:spacing w:val="12"/>
          <w:lang w:eastAsia="zh-CN"/>
        </w:rPr>
        <w:t>标普</w:t>
      </w:r>
      <w:proofErr w:type="gramEnd"/>
      <w:r w:rsidRPr="00C44907">
        <w:rPr>
          <w:rFonts w:ascii="微软雅黑" w:eastAsia="微软雅黑" w:hAnsi="微软雅黑" w:cs="微软雅黑"/>
          <w:spacing w:val="12"/>
          <w:lang w:eastAsia="zh-CN"/>
        </w:rPr>
        <w:t>500指数涨1.18%报7440.43点，</w:t>
      </w:r>
      <w:proofErr w:type="gramStart"/>
      <w:r w:rsidRPr="00C44907">
        <w:rPr>
          <w:rFonts w:ascii="微软雅黑" w:eastAsia="微软雅黑" w:hAnsi="微软雅黑" w:cs="微软雅黑"/>
          <w:spacing w:val="12"/>
          <w:lang w:eastAsia="zh-CN"/>
        </w:rPr>
        <w:t>纳指涨</w:t>
      </w:r>
      <w:proofErr w:type="gramEnd"/>
      <w:r w:rsidRPr="00C44907">
        <w:rPr>
          <w:rFonts w:ascii="微软雅黑" w:eastAsia="微软雅黑" w:hAnsi="微软雅黑" w:cs="微软雅黑"/>
          <w:spacing w:val="12"/>
          <w:lang w:eastAsia="zh-CN"/>
        </w:rPr>
        <w:t>2.07%报25820.14点美元指数跌0.24%报101.11，非美货币多数上涨，欧元兑美元涨0.34%报1.1424，英镑兑美元涨0.48%报1.3260，澳元兑美元跌0.12%报0.6887，美元兑日元涨0.12%报161.9360，美元兑加元涨0.12%报1.4211，美元兑</w:t>
      </w:r>
      <w:proofErr w:type="gramStart"/>
      <w:r w:rsidRPr="00C44907">
        <w:rPr>
          <w:rFonts w:ascii="微软雅黑" w:eastAsia="微软雅黑" w:hAnsi="微软雅黑" w:cs="微软雅黑"/>
          <w:spacing w:val="12"/>
          <w:lang w:eastAsia="zh-CN"/>
        </w:rPr>
        <w:t>瑞郎跌</w:t>
      </w:r>
      <w:proofErr w:type="gramEnd"/>
      <w:r w:rsidRPr="00C44907">
        <w:rPr>
          <w:rFonts w:ascii="微软雅黑" w:eastAsia="微软雅黑" w:hAnsi="微软雅黑" w:cs="微软雅黑"/>
          <w:spacing w:val="12"/>
          <w:lang w:eastAsia="zh-CN"/>
        </w:rPr>
        <w:t>0.29%报0.8075，离岸人民币对美元涨40个基点报6.8009。国际贵金属期货普遍收跌，COMEX黄金期货跌1.61%报4030.50美元/盎司，COMEX白银期货跌1.54%报58.76美元/盎司。</w:t>
      </w:r>
      <w:r w:rsidR="00491C4D" w:rsidRPr="008D27C1">
        <w:rPr>
          <w:rFonts w:ascii="微软雅黑" w:eastAsia="微软雅黑" w:hAnsi="微软雅黑" w:cs="微软雅黑" w:hint="eastAsia"/>
          <w:spacing w:val="12"/>
          <w:lang w:eastAsia="zh-CN"/>
        </w:rPr>
        <w:t>I</w:t>
      </w:r>
      <w:r w:rsidR="007B3E0B" w:rsidRPr="008D27C1">
        <w:rPr>
          <w:rFonts w:ascii="微软雅黑" w:eastAsia="微软雅黑" w:hAnsi="微软雅黑" w:cs="微软雅黑"/>
          <w:spacing w:val="12"/>
          <w:lang w:eastAsia="zh-CN"/>
        </w:rPr>
        <w:t>CE</w:t>
      </w:r>
      <w:r w:rsidR="007B3E0B" w:rsidRPr="008D27C1">
        <w:rPr>
          <w:rFonts w:ascii="微软雅黑" w:eastAsia="微软雅黑" w:hAnsi="微软雅黑" w:cs="微软雅黑" w:hint="eastAsia"/>
          <w:spacing w:val="12"/>
          <w:lang w:eastAsia="zh-CN"/>
        </w:rPr>
        <w:t>原糖主力合约</w:t>
      </w:r>
      <w:r w:rsidR="0024341E">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2.36</w:t>
      </w:r>
      <w:r w:rsidR="007B3E0B" w:rsidRPr="008D27C1">
        <w:rPr>
          <w:rFonts w:ascii="微软雅黑" w:eastAsia="微软雅黑" w:hAnsi="微软雅黑" w:cs="微软雅黑"/>
          <w:spacing w:val="12"/>
          <w:lang w:eastAsia="zh-CN"/>
        </w:rPr>
        <w:t>%</w:t>
      </w:r>
      <w:r w:rsidR="007B3E0B" w:rsidRPr="008D27C1">
        <w:rPr>
          <w:rFonts w:ascii="微软雅黑" w:eastAsia="微软雅黑" w:hAnsi="微软雅黑" w:cs="微软雅黑" w:hint="eastAsia"/>
          <w:spacing w:val="12"/>
          <w:lang w:eastAsia="zh-CN"/>
        </w:rPr>
        <w:t>报</w:t>
      </w:r>
      <w:r w:rsidR="008D5F7A" w:rsidRPr="008D27C1">
        <w:rPr>
          <w:rFonts w:ascii="微软雅黑" w:eastAsia="微软雅黑" w:hAnsi="微软雅黑" w:cs="微软雅黑" w:hint="eastAsia"/>
          <w:spacing w:val="12"/>
          <w:lang w:eastAsia="zh-CN"/>
        </w:rPr>
        <w:t>1</w:t>
      </w:r>
      <w:r w:rsidR="0024341E">
        <w:rPr>
          <w:rFonts w:ascii="微软雅黑" w:eastAsia="微软雅黑" w:hAnsi="微软雅黑" w:cs="微软雅黑" w:hint="eastAsia"/>
          <w:spacing w:val="12"/>
          <w:lang w:eastAsia="zh-CN"/>
        </w:rPr>
        <w:t>4</w:t>
      </w:r>
      <w:r>
        <w:rPr>
          <w:rFonts w:ascii="微软雅黑" w:eastAsia="微软雅黑" w:hAnsi="微软雅黑" w:cs="微软雅黑" w:hint="eastAsia"/>
          <w:spacing w:val="12"/>
          <w:lang w:eastAsia="zh-CN"/>
        </w:rPr>
        <w:t>.31</w:t>
      </w:r>
      <w:r w:rsidR="007B3E0B" w:rsidRPr="008D27C1">
        <w:rPr>
          <w:rFonts w:ascii="微软雅黑" w:eastAsia="微软雅黑" w:hAnsi="微软雅黑" w:cs="微软雅黑" w:hint="eastAsia"/>
          <w:spacing w:val="12"/>
          <w:lang w:eastAsia="zh-CN"/>
        </w:rPr>
        <w:t>美分</w:t>
      </w:r>
      <w:r w:rsidR="007B3E0B" w:rsidRPr="008D27C1">
        <w:rPr>
          <w:rFonts w:ascii="微软雅黑" w:eastAsia="微软雅黑" w:hAnsi="微软雅黑" w:cs="微软雅黑"/>
          <w:spacing w:val="12"/>
          <w:lang w:eastAsia="zh-CN"/>
        </w:rPr>
        <w:t>/</w:t>
      </w:r>
      <w:r w:rsidR="007B3E0B" w:rsidRPr="008D27C1">
        <w:rPr>
          <w:rFonts w:ascii="微软雅黑" w:eastAsia="微软雅黑" w:hAnsi="微软雅黑" w:cs="微软雅黑" w:hint="eastAsia"/>
          <w:spacing w:val="12"/>
          <w:lang w:eastAsia="zh-CN"/>
        </w:rPr>
        <w:t>磅，</w:t>
      </w:r>
      <w:r w:rsidR="007B3E0B" w:rsidRPr="008D27C1">
        <w:rPr>
          <w:rFonts w:ascii="微软雅黑" w:eastAsia="微软雅黑" w:hAnsi="微软雅黑" w:cs="微软雅黑"/>
          <w:spacing w:val="12"/>
          <w:lang w:eastAsia="zh-CN"/>
        </w:rPr>
        <w:t>ICE</w:t>
      </w:r>
      <w:r w:rsidR="007B3E0B" w:rsidRPr="008D27C1">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跌3.73</w:t>
      </w:r>
      <w:r w:rsidR="007B3E0B" w:rsidRPr="008D27C1">
        <w:rPr>
          <w:rFonts w:ascii="微软雅黑" w:eastAsia="微软雅黑" w:hAnsi="微软雅黑" w:cs="微软雅黑"/>
          <w:spacing w:val="12"/>
          <w:lang w:eastAsia="zh-CN"/>
        </w:rPr>
        <w:t>%</w:t>
      </w:r>
      <w:r w:rsidR="007B3E0B" w:rsidRPr="008D27C1">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70.66</w:t>
      </w:r>
      <w:r w:rsidR="00E43653" w:rsidRPr="008D27C1">
        <w:rPr>
          <w:rFonts w:ascii="微软雅黑" w:eastAsia="微软雅黑" w:hAnsi="微软雅黑" w:cs="微软雅黑" w:hint="eastAsia"/>
          <w:spacing w:val="12"/>
          <w:lang w:eastAsia="zh-CN"/>
        </w:rPr>
        <w:t>/</w:t>
      </w:r>
      <w:r w:rsidR="007B3E0B" w:rsidRPr="008D27C1">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7D5A6997" w:rsidR="00557736" w:rsidRPr="0022448B" w:rsidRDefault="00C44907"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4776D836" wp14:editId="3E694ED3">
            <wp:extent cx="5812376" cy="4010860"/>
            <wp:effectExtent l="0" t="0" r="0" b="8890"/>
            <wp:docPr id="20192190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3121" cy="4018274"/>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5F839681" w14:textId="52BDDF4F" w:rsidR="00D9111F" w:rsidRPr="0024341E" w:rsidRDefault="00D9111F"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A4242D">
        <w:rPr>
          <w:rFonts w:ascii="微软雅黑" w:eastAsia="微软雅黑" w:hAnsi="微软雅黑" w:cs="微软雅黑" w:hint="eastAsia"/>
          <w:color w:val="auto"/>
          <w:spacing w:val="4"/>
          <w:lang w:eastAsia="zh-CN"/>
        </w:rPr>
        <w:t>【</w:t>
      </w:r>
      <w:r w:rsidR="00C44907" w:rsidRPr="00C44907">
        <w:rPr>
          <w:rFonts w:ascii="微软雅黑" w:eastAsia="微软雅黑" w:hAnsi="微软雅黑" w:cs="微软雅黑"/>
          <w:color w:val="auto"/>
          <w:spacing w:val="4"/>
          <w:lang w:eastAsia="zh-CN"/>
        </w:rPr>
        <w:t>伊朗外交部发言人巴加埃表示，伊方未来几天没有与美方开展任何谈判的计划。伊朗专家代表团将前往多哈跟进《伊斯兰堡谅解备忘录》执行情况，但这一访问与美方代表团对卡塔尔访问无关。美国总统特朗普坚称，会谈将于6月30日在卡塔尔多哈举行。美国白宫新闻秘书莱维特表示，美国总统特使威特科夫和特朗普的女婿库什纳“本周将飞往多哈”参加会谈。</w:t>
      </w:r>
      <w:r w:rsidRPr="0024341E">
        <w:rPr>
          <w:rFonts w:ascii="微软雅黑" w:eastAsia="微软雅黑" w:hAnsi="微软雅黑" w:cs="微软雅黑" w:hint="eastAsia"/>
          <w:color w:val="auto"/>
          <w:spacing w:val="4"/>
          <w:lang w:eastAsia="zh-CN"/>
        </w:rPr>
        <w:t>】</w:t>
      </w:r>
    </w:p>
    <w:p w14:paraId="36CFDA55" w14:textId="56B83FE7" w:rsidR="008D27C1" w:rsidRPr="0024341E" w:rsidRDefault="008D27C1" w:rsidP="008D27C1">
      <w:pPr>
        <w:spacing w:before="102" w:line="257" w:lineRule="auto"/>
        <w:ind w:right="210" w:firstLine="436"/>
        <w:jc w:val="both"/>
        <w:rPr>
          <w:rFonts w:ascii="微软雅黑" w:eastAsia="微软雅黑" w:hAnsi="微软雅黑" w:cs="微软雅黑" w:hint="eastAsia"/>
          <w:color w:val="auto"/>
          <w:spacing w:val="4"/>
          <w:lang w:eastAsia="zh-CN"/>
        </w:rPr>
      </w:pPr>
      <w:r w:rsidRPr="0024341E">
        <w:rPr>
          <w:rFonts w:ascii="微软雅黑" w:eastAsia="微软雅黑" w:hAnsi="微软雅黑" w:cs="微软雅黑" w:hint="eastAsia"/>
          <w:color w:val="auto"/>
          <w:spacing w:val="4"/>
          <w:lang w:eastAsia="zh-CN"/>
        </w:rPr>
        <w:t>【</w:t>
      </w:r>
      <w:r w:rsidR="00C44907" w:rsidRPr="00C44907">
        <w:rPr>
          <w:rFonts w:ascii="微软雅黑" w:eastAsia="微软雅黑" w:hAnsi="微软雅黑" w:cs="微软雅黑"/>
          <w:color w:val="auto"/>
          <w:spacing w:val="4"/>
          <w:lang w:eastAsia="zh-CN"/>
        </w:rPr>
        <w:t>美国最高法院以6比3裁定推翻沿用近90年的行政法先例，大幅扩张总统解雇联邦独立机构官员的权力。裁决允许特朗普解雇联邦贸易委员会（FTC）民主党委员Rebecca Kelly Slaughter，尽管相关法律规定</w:t>
      </w:r>
      <w:r w:rsidR="00C44907" w:rsidRPr="00C44907">
        <w:rPr>
          <w:rFonts w:ascii="微软雅黑" w:eastAsia="微软雅黑" w:hAnsi="微软雅黑" w:cs="微软雅黑"/>
          <w:color w:val="auto"/>
          <w:spacing w:val="4"/>
          <w:lang w:eastAsia="zh-CN"/>
        </w:rPr>
        <w:lastRenderedPageBreak/>
        <w:t>委员只能因特定原因遭到免职。值得关注的是，最高法院明确将美联储排除在裁决适用范围之外，延续了今年5月设立的豁免条款，联储独立性暂获保全。</w:t>
      </w:r>
      <w:r w:rsidRPr="0024341E">
        <w:rPr>
          <w:rFonts w:ascii="微软雅黑" w:eastAsia="微软雅黑" w:hAnsi="微软雅黑" w:cs="微软雅黑" w:hint="eastAsia"/>
          <w:color w:val="auto"/>
          <w:spacing w:val="4"/>
          <w:lang w:eastAsia="zh-CN"/>
        </w:rPr>
        <w:t>】</w:t>
      </w:r>
    </w:p>
    <w:p w14:paraId="7535C52D" w14:textId="47E0D04C" w:rsidR="00B539F7" w:rsidRPr="0024341E" w:rsidRDefault="00B539F7"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24341E">
        <w:rPr>
          <w:rFonts w:ascii="微软雅黑" w:eastAsia="微软雅黑" w:hAnsi="微软雅黑" w:cs="微软雅黑" w:hint="eastAsia"/>
          <w:color w:val="auto"/>
          <w:spacing w:val="4"/>
          <w:sz w:val="22"/>
          <w:szCs w:val="22"/>
          <w:lang w:eastAsia="zh-CN"/>
        </w:rPr>
        <w:t>【</w:t>
      </w:r>
      <w:r w:rsidR="00C44907" w:rsidRPr="00C44907">
        <w:rPr>
          <w:rFonts w:ascii="微软雅黑" w:eastAsia="微软雅黑" w:hAnsi="微软雅黑" w:cs="微软雅黑"/>
          <w:color w:val="auto"/>
          <w:spacing w:val="4"/>
          <w:lang w:eastAsia="zh-CN"/>
        </w:rPr>
        <w:t>美国最高法院</w:t>
      </w:r>
      <w:proofErr w:type="gramStart"/>
      <w:r w:rsidR="00C44907" w:rsidRPr="00C44907">
        <w:rPr>
          <w:rFonts w:ascii="微软雅黑" w:eastAsia="微软雅黑" w:hAnsi="微软雅黑" w:cs="微软雅黑"/>
          <w:color w:val="auto"/>
          <w:spacing w:val="4"/>
          <w:lang w:eastAsia="zh-CN"/>
        </w:rPr>
        <w:t>作出</w:t>
      </w:r>
      <w:proofErr w:type="gramEnd"/>
      <w:r w:rsidR="00C44907" w:rsidRPr="00C44907">
        <w:rPr>
          <w:rFonts w:ascii="微软雅黑" w:eastAsia="微软雅黑" w:hAnsi="微软雅黑" w:cs="微软雅黑"/>
          <w:color w:val="auto"/>
          <w:spacing w:val="4"/>
          <w:lang w:eastAsia="zh-CN"/>
        </w:rPr>
        <w:t>裁定，驳回美国总统特朗普要求立即解除美联储理事库克职务的请求，但未就是否最终赋予特朗普解除美联储理事职务的权力</w:t>
      </w:r>
      <w:proofErr w:type="gramStart"/>
      <w:r w:rsidR="00C44907" w:rsidRPr="00C44907">
        <w:rPr>
          <w:rFonts w:ascii="微软雅黑" w:eastAsia="微软雅黑" w:hAnsi="微软雅黑" w:cs="微软雅黑"/>
          <w:color w:val="auto"/>
          <w:spacing w:val="4"/>
          <w:lang w:eastAsia="zh-CN"/>
        </w:rPr>
        <w:t>作出</w:t>
      </w:r>
      <w:proofErr w:type="gramEnd"/>
      <w:r w:rsidR="00C44907" w:rsidRPr="00C44907">
        <w:rPr>
          <w:rFonts w:ascii="微软雅黑" w:eastAsia="微软雅黑" w:hAnsi="微软雅黑" w:cs="微软雅黑"/>
          <w:color w:val="auto"/>
          <w:spacing w:val="4"/>
          <w:lang w:eastAsia="zh-CN"/>
        </w:rPr>
        <w:t>裁决。特朗普回应称，将确保库克不会在货币政策问题上做出重要决定。</w:t>
      </w:r>
      <w:r w:rsidR="00D9111F" w:rsidRPr="0024341E">
        <w:rPr>
          <w:rFonts w:ascii="微软雅黑" w:eastAsia="微软雅黑" w:hAnsi="微软雅黑" w:cs="微软雅黑" w:hint="eastAsia"/>
          <w:color w:val="auto"/>
          <w:spacing w:val="4"/>
          <w:lang w:eastAsia="zh-CN"/>
        </w:rPr>
        <w:t>】</w:t>
      </w:r>
    </w:p>
    <w:p w14:paraId="388BC3B4" w14:textId="27A2D158" w:rsidR="0052583F" w:rsidRPr="0024341E" w:rsidRDefault="0052583F" w:rsidP="0052583F">
      <w:pPr>
        <w:spacing w:before="102" w:line="257" w:lineRule="auto"/>
        <w:ind w:right="210" w:firstLine="436"/>
        <w:jc w:val="both"/>
        <w:rPr>
          <w:rFonts w:ascii="微软雅黑" w:eastAsia="微软雅黑" w:hAnsi="微软雅黑" w:cs="微软雅黑" w:hint="eastAsia"/>
          <w:color w:val="auto"/>
          <w:spacing w:val="4"/>
          <w:lang w:eastAsia="zh-CN"/>
        </w:rPr>
      </w:pPr>
      <w:r w:rsidRPr="0024341E">
        <w:rPr>
          <w:rFonts w:ascii="微软雅黑" w:eastAsia="微软雅黑" w:hAnsi="微软雅黑" w:cs="微软雅黑" w:hint="eastAsia"/>
          <w:color w:val="auto"/>
          <w:spacing w:val="4"/>
          <w:lang w:eastAsia="zh-CN"/>
        </w:rPr>
        <w:t>【</w:t>
      </w:r>
      <w:r w:rsidR="00C44907" w:rsidRPr="00C44907">
        <w:rPr>
          <w:rFonts w:ascii="微软雅黑" w:eastAsia="微软雅黑" w:hAnsi="微软雅黑" w:cs="微软雅黑"/>
          <w:color w:val="auto"/>
          <w:spacing w:val="4"/>
          <w:lang w:eastAsia="zh-CN"/>
        </w:rPr>
        <w:t>美国国家经济委员会主任凯文·哈塞特表示，根据目前看到的所有迹象，周四非农就业报告有望显示“又一个强劲的数字”。美国人工智能生产力的激增具有通缩效应，因此目前加息理由并不充分。</w:t>
      </w:r>
      <w:r w:rsidRPr="0024341E">
        <w:rPr>
          <w:rFonts w:ascii="微软雅黑" w:eastAsia="微软雅黑" w:hAnsi="微软雅黑" w:cs="微软雅黑" w:hint="eastAsia"/>
          <w:color w:val="auto"/>
          <w:spacing w:val="4"/>
          <w:lang w:eastAsia="zh-CN"/>
        </w:rPr>
        <w:t>】</w:t>
      </w:r>
    </w:p>
    <w:p w14:paraId="7C2591AE" w14:textId="77777777" w:rsidR="00540161" w:rsidRDefault="00540161"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C44907" w:rsidRPr="00491C4D" w14:paraId="5B8E297F" w14:textId="77777777" w:rsidTr="009119B8">
        <w:trPr>
          <w:trHeight w:val="652"/>
        </w:trPr>
        <w:tc>
          <w:tcPr>
            <w:tcW w:w="1701" w:type="dxa"/>
          </w:tcPr>
          <w:bookmarkEnd w:id="0"/>
          <w:p w14:paraId="4567D2AE" w14:textId="6189CB3C" w:rsidR="00C44907" w:rsidRPr="005A3D17" w:rsidRDefault="00C44907" w:rsidP="00C44907">
            <w:pPr>
              <w:spacing w:before="230" w:line="191" w:lineRule="auto"/>
              <w:ind w:right="210"/>
              <w:jc w:val="center"/>
              <w:rPr>
                <w:rFonts w:ascii="微软雅黑" w:eastAsia="微软雅黑" w:hAnsi="微软雅黑" w:cs="微软雅黑" w:hint="eastAsia"/>
                <w:b/>
                <w:bCs/>
                <w:spacing w:val="3"/>
                <w:sz w:val="19"/>
                <w:szCs w:val="19"/>
                <w:lang w:eastAsia="zh-CN"/>
              </w:rPr>
            </w:pPr>
            <w:r w:rsidRPr="00C44907">
              <w:rPr>
                <w:rFonts w:ascii="微软雅黑" w:eastAsia="微软雅黑" w:hAnsi="微软雅黑" w:cs="微软雅黑"/>
                <w:b/>
                <w:bCs/>
                <w:spacing w:val="3"/>
                <w:sz w:val="19"/>
                <w:szCs w:val="19"/>
                <w:lang w:eastAsia="zh-CN"/>
              </w:rPr>
              <w:t>2026/6/30</w:t>
            </w:r>
          </w:p>
        </w:tc>
        <w:tc>
          <w:tcPr>
            <w:tcW w:w="1314" w:type="dxa"/>
          </w:tcPr>
          <w:p w14:paraId="3B0A4895" w14:textId="779A284A" w:rsidR="00C44907" w:rsidRPr="005A3D17" w:rsidRDefault="00C44907" w:rsidP="00C44907">
            <w:pPr>
              <w:spacing w:before="230" w:line="191" w:lineRule="auto"/>
              <w:ind w:right="210"/>
              <w:jc w:val="center"/>
              <w:rPr>
                <w:rFonts w:ascii="微软雅黑" w:eastAsia="微软雅黑" w:hAnsi="微软雅黑" w:cs="微软雅黑" w:hint="eastAsia"/>
                <w:b/>
                <w:bCs/>
                <w:spacing w:val="3"/>
                <w:sz w:val="19"/>
                <w:szCs w:val="19"/>
                <w:lang w:eastAsia="zh-CN"/>
              </w:rPr>
            </w:pPr>
            <w:r w:rsidRPr="0024341E">
              <w:rPr>
                <w:rFonts w:ascii="微软雅黑" w:eastAsia="微软雅黑" w:hAnsi="微软雅黑" w:cs="微软雅黑"/>
                <w:b/>
                <w:bCs/>
                <w:spacing w:val="3"/>
                <w:sz w:val="19"/>
                <w:szCs w:val="19"/>
                <w:lang w:eastAsia="zh-CN"/>
              </w:rPr>
              <w:t>07:30</w:t>
            </w:r>
          </w:p>
        </w:tc>
        <w:tc>
          <w:tcPr>
            <w:tcW w:w="6344" w:type="dxa"/>
          </w:tcPr>
          <w:p w14:paraId="148F6123" w14:textId="1D69FAAB" w:rsidR="00C44907" w:rsidRPr="005A3D17" w:rsidRDefault="00C44907" w:rsidP="00C44907">
            <w:pPr>
              <w:spacing w:before="230" w:line="191" w:lineRule="auto"/>
              <w:ind w:right="210"/>
              <w:jc w:val="center"/>
              <w:rPr>
                <w:rFonts w:ascii="微软雅黑" w:eastAsia="微软雅黑" w:hAnsi="微软雅黑" w:cs="微软雅黑" w:hint="eastAsia"/>
                <w:b/>
                <w:bCs/>
                <w:spacing w:val="3"/>
                <w:sz w:val="19"/>
                <w:szCs w:val="19"/>
                <w:lang w:eastAsia="zh-CN"/>
              </w:rPr>
            </w:pPr>
            <w:r w:rsidRPr="00C44907">
              <w:rPr>
                <w:rFonts w:ascii="微软雅黑" w:eastAsia="微软雅黑" w:hAnsi="微软雅黑" w:cs="微软雅黑"/>
                <w:b/>
                <w:bCs/>
                <w:spacing w:val="3"/>
                <w:sz w:val="19"/>
                <w:szCs w:val="19"/>
                <w:lang w:eastAsia="zh-CN"/>
              </w:rPr>
              <w:t>日本 5 月失业率</w:t>
            </w:r>
          </w:p>
        </w:tc>
      </w:tr>
      <w:tr w:rsidR="00C44907" w:rsidRPr="00491C4D" w14:paraId="11459514" w14:textId="77777777" w:rsidTr="00257AE9">
        <w:trPr>
          <w:trHeight w:val="620"/>
        </w:trPr>
        <w:tc>
          <w:tcPr>
            <w:tcW w:w="1701" w:type="dxa"/>
            <w:shd w:val="clear" w:color="auto" w:fill="DAE3F4" w:themeFill="accent1" w:themeFillTint="33"/>
          </w:tcPr>
          <w:p w14:paraId="336E77A1" w14:textId="76F0A728" w:rsidR="00C44907" w:rsidRPr="005A3D17" w:rsidRDefault="00C44907" w:rsidP="00C44907">
            <w:pPr>
              <w:spacing w:before="230" w:line="191" w:lineRule="auto"/>
              <w:ind w:right="210"/>
              <w:jc w:val="center"/>
              <w:rPr>
                <w:rFonts w:ascii="微软雅黑" w:eastAsia="微软雅黑" w:hAnsi="微软雅黑" w:cs="微软雅黑" w:hint="eastAsia"/>
                <w:b/>
                <w:bCs/>
                <w:spacing w:val="3"/>
                <w:sz w:val="19"/>
                <w:szCs w:val="19"/>
                <w:lang w:eastAsia="zh-CN"/>
              </w:rPr>
            </w:pPr>
            <w:r w:rsidRPr="00C44907">
              <w:rPr>
                <w:rFonts w:ascii="微软雅黑" w:eastAsia="微软雅黑" w:hAnsi="微软雅黑" w:cs="微软雅黑"/>
                <w:b/>
                <w:bCs/>
                <w:spacing w:val="3"/>
                <w:sz w:val="19"/>
                <w:szCs w:val="19"/>
                <w:lang w:eastAsia="zh-CN"/>
              </w:rPr>
              <w:t>2026/6/30</w:t>
            </w:r>
          </w:p>
        </w:tc>
        <w:tc>
          <w:tcPr>
            <w:tcW w:w="1314" w:type="dxa"/>
            <w:shd w:val="clear" w:color="auto" w:fill="DAE3F4" w:themeFill="accent1" w:themeFillTint="33"/>
          </w:tcPr>
          <w:p w14:paraId="2FF031BB" w14:textId="4D757331" w:rsidR="00C44907" w:rsidRPr="005A3D17" w:rsidRDefault="00C44907" w:rsidP="00C44907">
            <w:pPr>
              <w:spacing w:before="230" w:line="191" w:lineRule="auto"/>
              <w:ind w:right="210"/>
              <w:jc w:val="center"/>
              <w:rPr>
                <w:rFonts w:ascii="微软雅黑" w:eastAsia="微软雅黑" w:hAnsi="微软雅黑" w:cs="微软雅黑" w:hint="eastAsia"/>
                <w:b/>
                <w:bCs/>
                <w:spacing w:val="3"/>
                <w:sz w:val="19"/>
                <w:szCs w:val="19"/>
                <w:lang w:eastAsia="zh-CN"/>
              </w:rPr>
            </w:pPr>
            <w:r w:rsidRPr="00C44907">
              <w:rPr>
                <w:rFonts w:ascii="微软雅黑" w:eastAsia="微软雅黑" w:hAnsi="微软雅黑" w:cs="微软雅黑"/>
                <w:b/>
                <w:bCs/>
                <w:spacing w:val="3"/>
                <w:sz w:val="19"/>
                <w:szCs w:val="19"/>
                <w:lang w:eastAsia="zh-CN"/>
              </w:rPr>
              <w:t>14:00</w:t>
            </w:r>
          </w:p>
        </w:tc>
        <w:tc>
          <w:tcPr>
            <w:tcW w:w="6344" w:type="dxa"/>
            <w:shd w:val="clear" w:color="auto" w:fill="DAE3F4" w:themeFill="accent1" w:themeFillTint="33"/>
          </w:tcPr>
          <w:p w14:paraId="2CB0AF66" w14:textId="214C2922" w:rsidR="00C44907" w:rsidRPr="005A3D17" w:rsidRDefault="00C44907" w:rsidP="00C44907">
            <w:pPr>
              <w:spacing w:before="230" w:line="191" w:lineRule="auto"/>
              <w:ind w:right="210"/>
              <w:jc w:val="center"/>
              <w:rPr>
                <w:rFonts w:ascii="微软雅黑" w:eastAsia="微软雅黑" w:hAnsi="微软雅黑" w:cs="微软雅黑" w:hint="eastAsia"/>
                <w:b/>
                <w:bCs/>
                <w:spacing w:val="3"/>
                <w:sz w:val="19"/>
                <w:szCs w:val="19"/>
                <w:lang w:eastAsia="zh-CN"/>
              </w:rPr>
            </w:pPr>
            <w:r w:rsidRPr="00C44907">
              <w:rPr>
                <w:rFonts w:ascii="微软雅黑" w:eastAsia="微软雅黑" w:hAnsi="微软雅黑" w:cs="微软雅黑"/>
                <w:b/>
                <w:bCs/>
                <w:spacing w:val="3"/>
                <w:sz w:val="19"/>
                <w:szCs w:val="19"/>
                <w:lang w:eastAsia="zh-CN"/>
              </w:rPr>
              <w:t>英国第一季度 GDP 终值</w:t>
            </w:r>
          </w:p>
        </w:tc>
      </w:tr>
      <w:tr w:rsidR="00C44907" w:rsidRPr="00491C4D" w14:paraId="026840DA" w14:textId="77777777" w:rsidTr="00E43653">
        <w:trPr>
          <w:trHeight w:val="620"/>
        </w:trPr>
        <w:tc>
          <w:tcPr>
            <w:tcW w:w="1701" w:type="dxa"/>
          </w:tcPr>
          <w:p w14:paraId="62457B81" w14:textId="69B0E6AA" w:rsidR="00C44907" w:rsidRPr="005A3D17" w:rsidRDefault="00C44907" w:rsidP="00C44907">
            <w:pPr>
              <w:spacing w:before="230" w:line="191" w:lineRule="auto"/>
              <w:ind w:right="210"/>
              <w:jc w:val="center"/>
              <w:rPr>
                <w:rFonts w:ascii="微软雅黑" w:eastAsia="微软雅黑" w:hAnsi="微软雅黑" w:cs="微软雅黑" w:hint="eastAsia"/>
                <w:b/>
                <w:bCs/>
                <w:spacing w:val="3"/>
                <w:sz w:val="19"/>
                <w:szCs w:val="19"/>
                <w:lang w:eastAsia="zh-CN"/>
              </w:rPr>
            </w:pPr>
            <w:r w:rsidRPr="00C44907">
              <w:rPr>
                <w:rFonts w:ascii="微软雅黑" w:eastAsia="微软雅黑" w:hAnsi="微软雅黑" w:cs="微软雅黑"/>
                <w:b/>
                <w:bCs/>
                <w:spacing w:val="3"/>
                <w:sz w:val="19"/>
                <w:szCs w:val="19"/>
                <w:lang w:eastAsia="zh-CN"/>
              </w:rPr>
              <w:t>2026/6/30</w:t>
            </w:r>
          </w:p>
        </w:tc>
        <w:tc>
          <w:tcPr>
            <w:tcW w:w="1314" w:type="dxa"/>
          </w:tcPr>
          <w:p w14:paraId="1E9FE62C" w14:textId="7F24ED9D" w:rsidR="00C44907" w:rsidRPr="005A3D17" w:rsidRDefault="00C44907" w:rsidP="00C44907">
            <w:pPr>
              <w:spacing w:before="230" w:line="191" w:lineRule="auto"/>
              <w:ind w:right="210"/>
              <w:jc w:val="center"/>
              <w:rPr>
                <w:rFonts w:ascii="微软雅黑" w:eastAsia="微软雅黑" w:hAnsi="微软雅黑" w:cs="微软雅黑" w:hint="eastAsia"/>
                <w:b/>
                <w:bCs/>
                <w:spacing w:val="3"/>
                <w:sz w:val="19"/>
                <w:szCs w:val="19"/>
                <w:lang w:eastAsia="zh-CN"/>
              </w:rPr>
            </w:pPr>
            <w:r w:rsidRPr="0024341E">
              <w:rPr>
                <w:rFonts w:ascii="微软雅黑" w:eastAsia="微软雅黑" w:hAnsi="微软雅黑" w:cs="微软雅黑"/>
                <w:b/>
                <w:bCs/>
                <w:spacing w:val="3"/>
                <w:sz w:val="19"/>
                <w:szCs w:val="19"/>
                <w:lang w:eastAsia="zh-CN"/>
              </w:rPr>
              <w:t>22:00</w:t>
            </w:r>
          </w:p>
        </w:tc>
        <w:tc>
          <w:tcPr>
            <w:tcW w:w="6344" w:type="dxa"/>
          </w:tcPr>
          <w:p w14:paraId="774DE572" w14:textId="4253FBD7" w:rsidR="00C44907" w:rsidRPr="005A3D17" w:rsidRDefault="00C44907" w:rsidP="00C44907">
            <w:pPr>
              <w:spacing w:before="230" w:line="191" w:lineRule="auto"/>
              <w:ind w:right="210"/>
              <w:jc w:val="center"/>
              <w:rPr>
                <w:rFonts w:ascii="微软雅黑" w:eastAsia="微软雅黑" w:hAnsi="微软雅黑" w:cs="微软雅黑" w:hint="eastAsia"/>
                <w:b/>
                <w:bCs/>
                <w:spacing w:val="3"/>
                <w:sz w:val="19"/>
                <w:szCs w:val="19"/>
                <w:lang w:eastAsia="zh-CN"/>
              </w:rPr>
            </w:pPr>
            <w:r w:rsidRPr="00C44907">
              <w:rPr>
                <w:rFonts w:ascii="微软雅黑" w:eastAsia="微软雅黑" w:hAnsi="微软雅黑" w:cs="微软雅黑" w:hint="eastAsia"/>
                <w:b/>
                <w:bCs/>
                <w:spacing w:val="3"/>
                <w:sz w:val="19"/>
                <w:szCs w:val="19"/>
                <w:lang w:eastAsia="zh-CN"/>
              </w:rPr>
              <w:t>美国</w:t>
            </w:r>
            <w:r w:rsidRPr="00C44907">
              <w:rPr>
                <w:rFonts w:ascii="微软雅黑" w:eastAsia="微软雅黑" w:hAnsi="微软雅黑" w:cs="微软雅黑"/>
                <w:b/>
                <w:bCs/>
                <w:spacing w:val="3"/>
                <w:sz w:val="19"/>
                <w:szCs w:val="19"/>
                <w:lang w:eastAsia="zh-CN"/>
              </w:rPr>
              <w:t>6</w:t>
            </w:r>
            <w:r w:rsidRPr="00C44907">
              <w:rPr>
                <w:rFonts w:ascii="微软雅黑" w:eastAsia="微软雅黑" w:hAnsi="微软雅黑" w:cs="微软雅黑" w:hint="eastAsia"/>
                <w:b/>
                <w:bCs/>
                <w:spacing w:val="3"/>
                <w:sz w:val="19"/>
                <w:szCs w:val="19"/>
                <w:lang w:eastAsia="zh-CN"/>
              </w:rPr>
              <w:t>月</w:t>
            </w:r>
            <w:proofErr w:type="gramStart"/>
            <w:r w:rsidRPr="00C44907">
              <w:rPr>
                <w:rFonts w:ascii="微软雅黑" w:eastAsia="微软雅黑" w:hAnsi="微软雅黑" w:cs="微软雅黑" w:hint="eastAsia"/>
                <w:b/>
                <w:bCs/>
                <w:spacing w:val="3"/>
                <w:sz w:val="19"/>
                <w:szCs w:val="19"/>
                <w:lang w:eastAsia="zh-CN"/>
              </w:rPr>
              <w:t>谘</w:t>
            </w:r>
            <w:proofErr w:type="gramEnd"/>
            <w:r w:rsidRPr="00C44907">
              <w:rPr>
                <w:rFonts w:ascii="微软雅黑" w:eastAsia="微软雅黑" w:hAnsi="微软雅黑" w:cs="微软雅黑" w:hint="eastAsia"/>
                <w:b/>
                <w:bCs/>
                <w:spacing w:val="3"/>
                <w:sz w:val="19"/>
                <w:szCs w:val="19"/>
                <w:lang w:eastAsia="zh-CN"/>
              </w:rPr>
              <w:t>商会消费者信心指数</w:t>
            </w:r>
          </w:p>
        </w:tc>
      </w:tr>
    </w:tbl>
    <w:p w14:paraId="61DAEED5" w14:textId="77777777" w:rsidR="00904B93" w:rsidRPr="00653A5D" w:rsidRDefault="00904B93" w:rsidP="006E4A37">
      <w:pPr>
        <w:spacing w:before="102" w:line="257" w:lineRule="auto"/>
        <w:ind w:right="210" w:firstLine="392"/>
        <w:jc w:val="both"/>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7CF486BE" w14:textId="77777777" w:rsidR="002E0533" w:rsidRPr="002E0533" w:rsidRDefault="002E0533" w:rsidP="002E0533">
      <w:pPr>
        <w:spacing w:before="103" w:line="256" w:lineRule="auto"/>
        <w:ind w:right="210" w:firstLineChars="200" w:firstLine="448"/>
        <w:rPr>
          <w:rFonts w:ascii="微软雅黑" w:eastAsia="微软雅黑" w:hAnsi="微软雅黑" w:cs="微软雅黑"/>
          <w:spacing w:val="7"/>
          <w:lang w:eastAsia="zh-CN"/>
        </w:rPr>
      </w:pPr>
      <w:r w:rsidRPr="002E0533">
        <w:rPr>
          <w:rFonts w:ascii="微软雅黑" w:eastAsia="微软雅黑" w:hAnsi="微软雅黑" w:cs="微软雅黑" w:hint="eastAsia"/>
          <w:spacing w:val="7"/>
          <w:lang w:eastAsia="zh-CN"/>
        </w:rPr>
        <w:t>隔夜，美元指数跌</w:t>
      </w:r>
      <w:r w:rsidRPr="002E0533">
        <w:rPr>
          <w:rFonts w:ascii="微软雅黑" w:eastAsia="微软雅黑" w:hAnsi="微软雅黑" w:cs="微软雅黑"/>
          <w:spacing w:val="7"/>
          <w:lang w:eastAsia="zh-CN"/>
        </w:rPr>
        <w:t>0.24%</w:t>
      </w:r>
      <w:r w:rsidRPr="002E0533">
        <w:rPr>
          <w:rFonts w:ascii="微软雅黑" w:eastAsia="微软雅黑" w:hAnsi="微软雅黑" w:cs="微软雅黑" w:hint="eastAsia"/>
          <w:spacing w:val="7"/>
          <w:lang w:eastAsia="zh-CN"/>
        </w:rPr>
        <w:t>报</w:t>
      </w:r>
      <w:r w:rsidRPr="002E0533">
        <w:rPr>
          <w:rFonts w:ascii="微软雅黑" w:eastAsia="微软雅黑" w:hAnsi="微软雅黑" w:cs="微软雅黑"/>
          <w:spacing w:val="7"/>
          <w:lang w:eastAsia="zh-CN"/>
        </w:rPr>
        <w:t>101.11</w:t>
      </w:r>
      <w:r w:rsidRPr="002E0533">
        <w:rPr>
          <w:rFonts w:ascii="微软雅黑" w:eastAsia="微软雅黑" w:hAnsi="微软雅黑" w:cs="微软雅黑" w:hint="eastAsia"/>
          <w:spacing w:val="7"/>
          <w:lang w:eastAsia="zh-CN"/>
        </w:rPr>
        <w:t>，非美货币多数上涨，欧元兑美元涨</w:t>
      </w:r>
      <w:r w:rsidRPr="002E0533">
        <w:rPr>
          <w:rFonts w:ascii="微软雅黑" w:eastAsia="微软雅黑" w:hAnsi="微软雅黑" w:cs="微软雅黑"/>
          <w:spacing w:val="7"/>
          <w:lang w:eastAsia="zh-CN"/>
        </w:rPr>
        <w:t>0.34%</w:t>
      </w:r>
      <w:r w:rsidRPr="002E0533">
        <w:rPr>
          <w:rFonts w:ascii="微软雅黑" w:eastAsia="微软雅黑" w:hAnsi="微软雅黑" w:cs="微软雅黑" w:hint="eastAsia"/>
          <w:spacing w:val="7"/>
          <w:lang w:eastAsia="zh-CN"/>
        </w:rPr>
        <w:t>报</w:t>
      </w:r>
      <w:r w:rsidRPr="002E0533">
        <w:rPr>
          <w:rFonts w:ascii="微软雅黑" w:eastAsia="微软雅黑" w:hAnsi="微软雅黑" w:cs="微软雅黑"/>
          <w:spacing w:val="7"/>
          <w:lang w:eastAsia="zh-CN"/>
        </w:rPr>
        <w:t>1.1424</w:t>
      </w:r>
      <w:r w:rsidRPr="002E0533">
        <w:rPr>
          <w:rFonts w:ascii="微软雅黑" w:eastAsia="微软雅黑" w:hAnsi="微软雅黑" w:cs="微软雅黑" w:hint="eastAsia"/>
          <w:spacing w:val="7"/>
          <w:lang w:eastAsia="zh-CN"/>
        </w:rPr>
        <w:t>，英镑兑美元涨</w:t>
      </w:r>
      <w:r w:rsidRPr="002E0533">
        <w:rPr>
          <w:rFonts w:ascii="微软雅黑" w:eastAsia="微软雅黑" w:hAnsi="微软雅黑" w:cs="微软雅黑"/>
          <w:spacing w:val="7"/>
          <w:lang w:eastAsia="zh-CN"/>
        </w:rPr>
        <w:t>0.48%</w:t>
      </w:r>
      <w:r w:rsidRPr="002E0533">
        <w:rPr>
          <w:rFonts w:ascii="微软雅黑" w:eastAsia="微软雅黑" w:hAnsi="微软雅黑" w:cs="微软雅黑" w:hint="eastAsia"/>
          <w:spacing w:val="7"/>
          <w:lang w:eastAsia="zh-CN"/>
        </w:rPr>
        <w:t>报</w:t>
      </w:r>
      <w:r w:rsidRPr="002E0533">
        <w:rPr>
          <w:rFonts w:ascii="微软雅黑" w:eastAsia="微软雅黑" w:hAnsi="微软雅黑" w:cs="微软雅黑"/>
          <w:spacing w:val="7"/>
          <w:lang w:eastAsia="zh-CN"/>
        </w:rPr>
        <w:t>1.3260</w:t>
      </w:r>
      <w:r w:rsidRPr="002E0533">
        <w:rPr>
          <w:rFonts w:ascii="微软雅黑" w:eastAsia="微软雅黑" w:hAnsi="微软雅黑" w:cs="微软雅黑" w:hint="eastAsia"/>
          <w:spacing w:val="7"/>
          <w:lang w:eastAsia="zh-CN"/>
        </w:rPr>
        <w:t>，美元兑日元涨</w:t>
      </w:r>
      <w:r w:rsidRPr="002E0533">
        <w:rPr>
          <w:rFonts w:ascii="微软雅黑" w:eastAsia="微软雅黑" w:hAnsi="微软雅黑" w:cs="微软雅黑"/>
          <w:spacing w:val="7"/>
          <w:lang w:eastAsia="zh-CN"/>
        </w:rPr>
        <w:t>0.12%</w:t>
      </w:r>
      <w:r w:rsidRPr="002E0533">
        <w:rPr>
          <w:rFonts w:ascii="微软雅黑" w:eastAsia="微软雅黑" w:hAnsi="微软雅黑" w:cs="微软雅黑" w:hint="eastAsia"/>
          <w:spacing w:val="7"/>
          <w:lang w:eastAsia="zh-CN"/>
        </w:rPr>
        <w:t>报</w:t>
      </w:r>
      <w:r w:rsidRPr="002E0533">
        <w:rPr>
          <w:rFonts w:ascii="微软雅黑" w:eastAsia="微软雅黑" w:hAnsi="微软雅黑" w:cs="微软雅黑"/>
          <w:spacing w:val="7"/>
          <w:lang w:eastAsia="zh-CN"/>
        </w:rPr>
        <w:t>161.9360</w:t>
      </w:r>
      <w:r w:rsidRPr="002E0533">
        <w:rPr>
          <w:rFonts w:ascii="微软雅黑" w:eastAsia="微软雅黑" w:hAnsi="微软雅黑" w:cs="微软雅黑" w:hint="eastAsia"/>
          <w:spacing w:val="7"/>
          <w:lang w:eastAsia="zh-CN"/>
        </w:rPr>
        <w:t>。</w:t>
      </w:r>
    </w:p>
    <w:p w14:paraId="4BE22D12" w14:textId="77777777" w:rsidR="002E0533" w:rsidRPr="002E0533" w:rsidRDefault="002E0533" w:rsidP="002E0533">
      <w:pPr>
        <w:spacing w:before="103" w:line="256" w:lineRule="auto"/>
        <w:ind w:right="210" w:firstLineChars="200" w:firstLine="448"/>
        <w:rPr>
          <w:rFonts w:ascii="微软雅黑" w:eastAsia="微软雅黑" w:hAnsi="微软雅黑" w:cs="微软雅黑"/>
          <w:spacing w:val="7"/>
          <w:lang w:eastAsia="zh-CN"/>
        </w:rPr>
      </w:pPr>
      <w:r w:rsidRPr="002E0533">
        <w:rPr>
          <w:rFonts w:ascii="微软雅黑" w:eastAsia="微软雅黑" w:hAnsi="微软雅黑" w:cs="微软雅黑" w:hint="eastAsia"/>
          <w:spacing w:val="7"/>
          <w:lang w:eastAsia="zh-CN"/>
        </w:rPr>
        <w:t>美伊停火预期再度升温，推动美元避险溢价边际收窄，美元指数高位震荡回落。宏观数据方面，美国</w:t>
      </w:r>
      <w:r w:rsidRPr="002E0533">
        <w:rPr>
          <w:rFonts w:ascii="微软雅黑" w:eastAsia="微软雅黑" w:hAnsi="微软雅黑" w:cs="微软雅黑"/>
          <w:spacing w:val="7"/>
          <w:lang w:eastAsia="zh-CN"/>
        </w:rPr>
        <w:t>5</w:t>
      </w:r>
      <w:r w:rsidRPr="002E0533">
        <w:rPr>
          <w:rFonts w:ascii="微软雅黑" w:eastAsia="微软雅黑" w:hAnsi="微软雅黑" w:cs="微软雅黑" w:hint="eastAsia"/>
          <w:spacing w:val="7"/>
          <w:lang w:eastAsia="zh-CN"/>
        </w:rPr>
        <w:t>月</w:t>
      </w:r>
      <w:r w:rsidRPr="002E0533">
        <w:rPr>
          <w:rFonts w:ascii="微软雅黑" w:eastAsia="微软雅黑" w:hAnsi="微软雅黑" w:cs="微软雅黑"/>
          <w:spacing w:val="7"/>
          <w:lang w:eastAsia="zh-CN"/>
        </w:rPr>
        <w:t>PCE</w:t>
      </w:r>
      <w:r w:rsidRPr="002E0533">
        <w:rPr>
          <w:rFonts w:ascii="微软雅黑" w:eastAsia="微软雅黑" w:hAnsi="微软雅黑" w:cs="微软雅黑" w:hint="eastAsia"/>
          <w:spacing w:val="7"/>
          <w:lang w:eastAsia="zh-CN"/>
        </w:rPr>
        <w:t>及核心</w:t>
      </w:r>
      <w:r w:rsidRPr="002E0533">
        <w:rPr>
          <w:rFonts w:ascii="微软雅黑" w:eastAsia="微软雅黑" w:hAnsi="微软雅黑" w:cs="微软雅黑"/>
          <w:spacing w:val="7"/>
          <w:lang w:eastAsia="zh-CN"/>
        </w:rPr>
        <w:t>PCE</w:t>
      </w:r>
      <w:proofErr w:type="gramStart"/>
      <w:r w:rsidRPr="002E0533">
        <w:rPr>
          <w:rFonts w:ascii="微软雅黑" w:eastAsia="微软雅黑" w:hAnsi="微软雅黑" w:cs="微软雅黑" w:hint="eastAsia"/>
          <w:spacing w:val="7"/>
          <w:lang w:eastAsia="zh-CN"/>
        </w:rPr>
        <w:t>同比仍</w:t>
      </w:r>
      <w:proofErr w:type="gramEnd"/>
      <w:r w:rsidRPr="002E0533">
        <w:rPr>
          <w:rFonts w:ascii="微软雅黑" w:eastAsia="微软雅黑" w:hAnsi="微软雅黑" w:cs="微软雅黑" w:hint="eastAsia"/>
          <w:spacing w:val="7"/>
          <w:lang w:eastAsia="zh-CN"/>
        </w:rPr>
        <w:t>处高位，表明能源冲击向核心价格传导尚未完全消退；美国</w:t>
      </w:r>
      <w:r w:rsidRPr="002E0533">
        <w:rPr>
          <w:rFonts w:ascii="微软雅黑" w:eastAsia="微软雅黑" w:hAnsi="微软雅黑" w:cs="微软雅黑"/>
          <w:spacing w:val="7"/>
          <w:lang w:eastAsia="zh-CN"/>
        </w:rPr>
        <w:t>6</w:t>
      </w:r>
      <w:r w:rsidRPr="002E0533">
        <w:rPr>
          <w:rFonts w:ascii="微软雅黑" w:eastAsia="微软雅黑" w:hAnsi="微软雅黑" w:cs="微软雅黑" w:hint="eastAsia"/>
          <w:spacing w:val="7"/>
          <w:lang w:eastAsia="zh-CN"/>
        </w:rPr>
        <w:t>月</w:t>
      </w:r>
      <w:proofErr w:type="gramStart"/>
      <w:r w:rsidRPr="002E0533">
        <w:rPr>
          <w:rFonts w:ascii="微软雅黑" w:eastAsia="微软雅黑" w:hAnsi="微软雅黑" w:cs="微软雅黑" w:hint="eastAsia"/>
          <w:spacing w:val="7"/>
          <w:lang w:eastAsia="zh-CN"/>
        </w:rPr>
        <w:t>标普全球</w:t>
      </w:r>
      <w:proofErr w:type="gramEnd"/>
      <w:r w:rsidRPr="002E0533">
        <w:rPr>
          <w:rFonts w:ascii="微软雅黑" w:eastAsia="微软雅黑" w:hAnsi="微软雅黑" w:cs="微软雅黑" w:hint="eastAsia"/>
          <w:spacing w:val="7"/>
          <w:lang w:eastAsia="zh-CN"/>
        </w:rPr>
        <w:t>制造业</w:t>
      </w:r>
      <w:r w:rsidRPr="002E0533">
        <w:rPr>
          <w:rFonts w:ascii="微软雅黑" w:eastAsia="微软雅黑" w:hAnsi="微软雅黑" w:cs="微软雅黑"/>
          <w:spacing w:val="7"/>
          <w:lang w:eastAsia="zh-CN"/>
        </w:rPr>
        <w:t>PMI</w:t>
      </w:r>
      <w:r w:rsidRPr="002E0533">
        <w:rPr>
          <w:rFonts w:ascii="微软雅黑" w:eastAsia="微软雅黑" w:hAnsi="微软雅黑" w:cs="微软雅黑" w:hint="eastAsia"/>
          <w:spacing w:val="7"/>
          <w:lang w:eastAsia="zh-CN"/>
        </w:rPr>
        <w:t>升至四年以来最高水平，产出及新订单改善显示实体需求仍具韧性；地缘局势及通胀前景尚未完全明朗的背景下，美联储整体维持鹰派立场，虽油价中枢回落及核心通胀表现平缓，但市场定价</w:t>
      </w:r>
      <w:r w:rsidRPr="002E0533">
        <w:rPr>
          <w:rFonts w:ascii="微软雅黑" w:eastAsia="微软雅黑" w:hAnsi="微软雅黑" w:cs="微软雅黑"/>
          <w:spacing w:val="7"/>
          <w:lang w:eastAsia="zh-CN"/>
        </w:rPr>
        <w:t>9</w:t>
      </w:r>
      <w:r w:rsidRPr="002E0533">
        <w:rPr>
          <w:rFonts w:ascii="微软雅黑" w:eastAsia="微软雅黑" w:hAnsi="微软雅黑" w:cs="微软雅黑" w:hint="eastAsia"/>
          <w:spacing w:val="7"/>
          <w:lang w:eastAsia="zh-CN"/>
        </w:rPr>
        <w:t>月加息概率仍高于</w:t>
      </w:r>
      <w:r w:rsidRPr="002E0533">
        <w:rPr>
          <w:rFonts w:ascii="微软雅黑" w:eastAsia="微软雅黑" w:hAnsi="微软雅黑" w:cs="微软雅黑"/>
          <w:spacing w:val="7"/>
          <w:lang w:eastAsia="zh-CN"/>
        </w:rPr>
        <w:t>60%</w:t>
      </w:r>
      <w:r w:rsidRPr="002E0533">
        <w:rPr>
          <w:rFonts w:ascii="微软雅黑" w:eastAsia="微软雅黑" w:hAnsi="微软雅黑" w:cs="微软雅黑" w:hint="eastAsia"/>
          <w:spacing w:val="7"/>
          <w:lang w:eastAsia="zh-CN"/>
        </w:rPr>
        <w:t>。地缘方面，美伊局势仍存在阶段性升温风险，霍尔木兹复航预期有所升温，但核问题及浓缩铀处置等相关议题未有进展，避险需求继续支撑美元，美元指数于</w:t>
      </w:r>
      <w:r w:rsidRPr="002E0533">
        <w:rPr>
          <w:rFonts w:ascii="微软雅黑" w:eastAsia="微软雅黑" w:hAnsi="微软雅黑" w:cs="微软雅黑"/>
          <w:spacing w:val="7"/>
          <w:lang w:eastAsia="zh-CN"/>
        </w:rPr>
        <w:t>100</w:t>
      </w:r>
      <w:r w:rsidRPr="002E0533">
        <w:rPr>
          <w:rFonts w:ascii="微软雅黑" w:eastAsia="微软雅黑" w:hAnsi="微软雅黑" w:cs="微软雅黑" w:hint="eastAsia"/>
          <w:spacing w:val="7"/>
          <w:lang w:eastAsia="zh-CN"/>
        </w:rPr>
        <w:t>美元关口或仍具较强支撑。</w:t>
      </w:r>
    </w:p>
    <w:p w14:paraId="502379A4" w14:textId="3EE7E3BB" w:rsidR="002760F0" w:rsidRPr="002760F0" w:rsidRDefault="002E0533" w:rsidP="002E0533">
      <w:pPr>
        <w:spacing w:before="103" w:line="256" w:lineRule="auto"/>
        <w:ind w:right="210" w:firstLineChars="200" w:firstLine="448"/>
        <w:rPr>
          <w:rFonts w:ascii="微软雅黑" w:eastAsia="微软雅黑" w:hAnsi="微软雅黑" w:cs="微软雅黑" w:hint="eastAsia"/>
          <w:spacing w:val="7"/>
          <w:lang w:eastAsia="zh-CN"/>
        </w:rPr>
      </w:pPr>
      <w:r w:rsidRPr="002E0533">
        <w:rPr>
          <w:rFonts w:ascii="微软雅黑" w:eastAsia="微软雅黑" w:hAnsi="微软雅黑" w:cs="微软雅黑" w:hint="eastAsia"/>
          <w:spacing w:val="7"/>
          <w:lang w:eastAsia="zh-CN"/>
        </w:rPr>
        <w:t>欧元区</w:t>
      </w:r>
      <w:r w:rsidRPr="002E0533">
        <w:rPr>
          <w:rFonts w:ascii="微软雅黑" w:eastAsia="微软雅黑" w:hAnsi="微软雅黑" w:cs="微软雅黑"/>
          <w:spacing w:val="7"/>
          <w:lang w:eastAsia="zh-CN"/>
        </w:rPr>
        <w:t>6</w:t>
      </w:r>
      <w:r w:rsidRPr="002E0533">
        <w:rPr>
          <w:rFonts w:ascii="微软雅黑" w:eastAsia="微软雅黑" w:hAnsi="微软雅黑" w:cs="微软雅黑" w:hint="eastAsia"/>
          <w:spacing w:val="7"/>
          <w:lang w:eastAsia="zh-CN"/>
        </w:rPr>
        <w:t>月综合</w:t>
      </w:r>
      <w:r w:rsidRPr="002E0533">
        <w:rPr>
          <w:rFonts w:ascii="微软雅黑" w:eastAsia="微软雅黑" w:hAnsi="微软雅黑" w:cs="微软雅黑"/>
          <w:spacing w:val="7"/>
          <w:lang w:eastAsia="zh-CN"/>
        </w:rPr>
        <w:t>PMI</w:t>
      </w:r>
      <w:r w:rsidRPr="002E0533">
        <w:rPr>
          <w:rFonts w:ascii="微软雅黑" w:eastAsia="微软雅黑" w:hAnsi="微软雅黑" w:cs="微软雅黑" w:hint="eastAsia"/>
          <w:spacing w:val="7"/>
          <w:lang w:eastAsia="zh-CN"/>
        </w:rPr>
        <w:t>回升至</w:t>
      </w:r>
      <w:r w:rsidRPr="002E0533">
        <w:rPr>
          <w:rFonts w:ascii="微软雅黑" w:eastAsia="微软雅黑" w:hAnsi="微软雅黑" w:cs="微软雅黑"/>
          <w:spacing w:val="7"/>
          <w:lang w:eastAsia="zh-CN"/>
        </w:rPr>
        <w:t>49.5</w:t>
      </w:r>
      <w:r w:rsidRPr="002E0533">
        <w:rPr>
          <w:rFonts w:ascii="微软雅黑" w:eastAsia="微软雅黑" w:hAnsi="微软雅黑" w:cs="微软雅黑" w:hint="eastAsia"/>
          <w:spacing w:val="7"/>
          <w:lang w:eastAsia="zh-CN"/>
        </w:rPr>
        <w:t>，经济动能边际修复，但</w:t>
      </w:r>
      <w:proofErr w:type="gramStart"/>
      <w:r w:rsidRPr="002E0533">
        <w:rPr>
          <w:rFonts w:ascii="微软雅黑" w:eastAsia="微软雅黑" w:hAnsi="微软雅黑" w:cs="微软雅黑" w:hint="eastAsia"/>
          <w:spacing w:val="7"/>
          <w:lang w:eastAsia="zh-CN"/>
        </w:rPr>
        <w:t>仍处弱复苏</w:t>
      </w:r>
      <w:proofErr w:type="gramEnd"/>
      <w:r w:rsidRPr="002E0533">
        <w:rPr>
          <w:rFonts w:ascii="微软雅黑" w:eastAsia="微软雅黑" w:hAnsi="微软雅黑" w:cs="微软雅黑" w:hint="eastAsia"/>
          <w:spacing w:val="7"/>
          <w:lang w:eastAsia="zh-CN"/>
        </w:rPr>
        <w:t>区间；同时输入型通胀压力显现，欧央行加息后基调转鹰，短期或对欧元形成支撑，但在美联储鹰派信号更强、美欧利差</w:t>
      </w:r>
      <w:proofErr w:type="gramStart"/>
      <w:r w:rsidRPr="002E0533">
        <w:rPr>
          <w:rFonts w:ascii="微软雅黑" w:eastAsia="微软雅黑" w:hAnsi="微软雅黑" w:cs="微软雅黑" w:hint="eastAsia"/>
          <w:spacing w:val="7"/>
          <w:lang w:eastAsia="zh-CN"/>
        </w:rPr>
        <w:t>持续走阔的</w:t>
      </w:r>
      <w:proofErr w:type="gramEnd"/>
      <w:r w:rsidRPr="002E0533">
        <w:rPr>
          <w:rFonts w:ascii="微软雅黑" w:eastAsia="微软雅黑" w:hAnsi="微软雅黑" w:cs="微软雅黑" w:hint="eastAsia"/>
          <w:spacing w:val="7"/>
          <w:lang w:eastAsia="zh-CN"/>
        </w:rPr>
        <w:t>背景下，欧元反弹空间有限。</w:t>
      </w:r>
      <w:proofErr w:type="gramStart"/>
      <w:r w:rsidRPr="002E0533">
        <w:rPr>
          <w:rFonts w:ascii="微软雅黑" w:eastAsia="微软雅黑" w:hAnsi="微软雅黑" w:cs="微软雅黑" w:hint="eastAsia"/>
          <w:spacing w:val="7"/>
          <w:lang w:eastAsia="zh-CN"/>
        </w:rPr>
        <w:t>日本日本</w:t>
      </w:r>
      <w:proofErr w:type="gramEnd"/>
      <w:r w:rsidRPr="002E0533">
        <w:rPr>
          <w:rFonts w:ascii="微软雅黑" w:eastAsia="微软雅黑" w:hAnsi="微软雅黑" w:cs="微软雅黑" w:hint="eastAsia"/>
          <w:spacing w:val="7"/>
          <w:lang w:eastAsia="zh-CN"/>
        </w:rPr>
        <w:t>央行前期展开</w:t>
      </w:r>
      <w:r w:rsidRPr="002E0533">
        <w:rPr>
          <w:rFonts w:ascii="微软雅黑" w:eastAsia="微软雅黑" w:hAnsi="微软雅黑" w:cs="微软雅黑"/>
          <w:spacing w:val="7"/>
          <w:lang w:eastAsia="zh-CN"/>
        </w:rPr>
        <w:t>25</w:t>
      </w:r>
      <w:r w:rsidRPr="002E0533">
        <w:rPr>
          <w:rFonts w:ascii="微软雅黑" w:eastAsia="微软雅黑" w:hAnsi="微软雅黑" w:cs="微软雅黑" w:hint="eastAsia"/>
          <w:spacing w:val="7"/>
          <w:lang w:eastAsia="zh-CN"/>
        </w:rPr>
        <w:t>基点加息操作，但政策力度不足以明显收窄利差，叠加能源价格上行及日元疲弱加重进口通胀压力，日元仍面临贬值压力。整体看，</w:t>
      </w:r>
      <w:proofErr w:type="gramStart"/>
      <w:r w:rsidRPr="002E0533">
        <w:rPr>
          <w:rFonts w:ascii="微软雅黑" w:eastAsia="微软雅黑" w:hAnsi="微软雅黑" w:cs="微软雅黑" w:hint="eastAsia"/>
          <w:spacing w:val="7"/>
          <w:lang w:eastAsia="zh-CN"/>
        </w:rPr>
        <w:t>强美元</w:t>
      </w:r>
      <w:proofErr w:type="gramEnd"/>
      <w:r w:rsidRPr="002E0533">
        <w:rPr>
          <w:rFonts w:ascii="微软雅黑" w:eastAsia="微软雅黑" w:hAnsi="微软雅黑" w:cs="微软雅黑" w:hint="eastAsia"/>
          <w:spacing w:val="7"/>
          <w:lang w:eastAsia="zh-CN"/>
        </w:rPr>
        <w:t>仍将压制欧元及日元短期表现，后续需关注美国加息预期、通胀回落节奏及美伊谈判进展</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68D34CCB" w:rsidR="007A477E" w:rsidRDefault="002E0533"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11450E">
        <w:rPr>
          <w:rFonts w:ascii="黑体" w:eastAsia="黑体" w:hAnsi="黑体" w:cs="黑体"/>
          <w:noProof/>
          <w:color w:val="000000" w:themeColor="text1"/>
          <w:sz w:val="22"/>
          <w:szCs w:val="22"/>
          <w:shd w:val="clear" w:color="auto" w:fill="FFFFFF"/>
          <w:lang w:bidi="ar"/>
        </w:rPr>
        <w:lastRenderedPageBreak/>
        <w:drawing>
          <wp:inline distT="0" distB="0" distL="0" distR="0" wp14:anchorId="0D35FA3D" wp14:editId="6ACDBE9D">
            <wp:extent cx="4467225" cy="2171700"/>
            <wp:effectExtent l="0" t="0" r="9525" b="0"/>
            <wp:docPr id="753923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7225" cy="217170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4BD915E3" w:rsidR="00ED4A18" w:rsidRDefault="002E0533" w:rsidP="00B00DB4">
      <w:pPr>
        <w:spacing w:before="103" w:line="256" w:lineRule="auto"/>
        <w:ind w:right="210" w:firstLine="448"/>
        <w:rPr>
          <w:rFonts w:ascii="微软雅黑" w:eastAsia="微软雅黑" w:hAnsi="微软雅黑" w:cs="微软雅黑" w:hint="eastAsia"/>
          <w:spacing w:val="7"/>
          <w:lang w:eastAsia="zh-CN"/>
        </w:rPr>
      </w:pPr>
      <w:r w:rsidRPr="002E0533">
        <w:rPr>
          <w:rFonts w:ascii="微软雅黑" w:eastAsia="微软雅黑" w:hAnsi="微软雅黑" w:cs="微软雅黑"/>
          <w:spacing w:val="7"/>
          <w:lang w:eastAsia="zh-CN"/>
        </w:rPr>
        <w:t>截至6月29日，</w:t>
      </w:r>
      <w:proofErr w:type="gramStart"/>
      <w:r w:rsidRPr="002E0533">
        <w:rPr>
          <w:rFonts w:ascii="微软雅黑" w:eastAsia="微软雅黑" w:hAnsi="微软雅黑" w:cs="微软雅黑"/>
          <w:spacing w:val="7"/>
          <w:lang w:eastAsia="zh-CN"/>
        </w:rPr>
        <w:t>标普</w:t>
      </w:r>
      <w:proofErr w:type="gramEnd"/>
      <w:r w:rsidRPr="002E0533">
        <w:rPr>
          <w:rFonts w:ascii="微软雅黑" w:eastAsia="微软雅黑" w:hAnsi="微软雅黑" w:cs="微软雅黑"/>
          <w:spacing w:val="7"/>
          <w:lang w:eastAsia="zh-CN"/>
        </w:rPr>
        <w:t>500指数上涨1.18%至7440.43；</w:t>
      </w:r>
      <w:proofErr w:type="gramStart"/>
      <w:r w:rsidRPr="002E0533">
        <w:rPr>
          <w:rFonts w:ascii="微软雅黑" w:eastAsia="微软雅黑" w:hAnsi="微软雅黑" w:cs="微软雅黑"/>
          <w:spacing w:val="7"/>
          <w:lang w:eastAsia="zh-CN"/>
        </w:rPr>
        <w:t>迷你标普</w:t>
      </w:r>
      <w:proofErr w:type="gramEnd"/>
      <w:r w:rsidRPr="002E0533">
        <w:rPr>
          <w:rFonts w:ascii="微软雅黑" w:eastAsia="微软雅黑" w:hAnsi="微软雅黑" w:cs="微软雅黑"/>
          <w:spacing w:val="7"/>
          <w:lang w:eastAsia="zh-CN"/>
        </w:rPr>
        <w:t>500主力合约下跌1.3%至7493.5点。地缘局势上，伊朗外交部发言人巴加埃表示，伊</w:t>
      </w:r>
      <w:proofErr w:type="gramStart"/>
      <w:r w:rsidRPr="002E0533">
        <w:rPr>
          <w:rFonts w:ascii="微软雅黑" w:eastAsia="微软雅黑" w:hAnsi="微软雅黑" w:cs="微软雅黑"/>
          <w:spacing w:val="7"/>
          <w:lang w:eastAsia="zh-CN"/>
        </w:rPr>
        <w:t>方未来</w:t>
      </w:r>
      <w:proofErr w:type="gramEnd"/>
      <w:r w:rsidRPr="002E0533">
        <w:rPr>
          <w:rFonts w:ascii="微软雅黑" w:eastAsia="微软雅黑" w:hAnsi="微软雅黑" w:cs="微软雅黑"/>
          <w:spacing w:val="7"/>
          <w:lang w:eastAsia="zh-CN"/>
        </w:rPr>
        <w:t>几天没有与美方开展任何谈判的计划。伊朗专家代表团将前往多哈跟进《伊斯兰堡谅解备忘录》执行情况，但这一访问与美方代表团对卡塔尔访问无关。消息再次增加市场对中东局势反复的担忧，国际油价再度站上70美元。产业层面，韩国政府联手三星电子、SK集团，公布以半导体、物理AI、AI数据中心为核心的“三大超级项目”，未来将在AI相关领域总计投入超过4755</w:t>
      </w:r>
      <w:proofErr w:type="gramStart"/>
      <w:r w:rsidRPr="002E0533">
        <w:rPr>
          <w:rFonts w:ascii="微软雅黑" w:eastAsia="微软雅黑" w:hAnsi="微软雅黑" w:cs="微软雅黑"/>
          <w:spacing w:val="7"/>
          <w:lang w:eastAsia="zh-CN"/>
        </w:rPr>
        <w:t>万亿</w:t>
      </w:r>
      <w:proofErr w:type="gramEnd"/>
      <w:r w:rsidRPr="002E0533">
        <w:rPr>
          <w:rFonts w:ascii="微软雅黑" w:eastAsia="微软雅黑" w:hAnsi="微软雅黑" w:cs="微软雅黑"/>
          <w:spacing w:val="7"/>
          <w:lang w:eastAsia="zh-CN"/>
        </w:rPr>
        <w:t>韩元，规模达韩国史上最大量级。消息带动昨日韩国股市跌幅明显收窄，并强化市场对于人工智能行情的信心。隔夜美股</w:t>
      </w:r>
      <w:proofErr w:type="gramStart"/>
      <w:r w:rsidRPr="002E0533">
        <w:rPr>
          <w:rFonts w:ascii="微软雅黑" w:eastAsia="微软雅黑" w:hAnsi="微软雅黑" w:cs="微软雅黑"/>
          <w:spacing w:val="7"/>
          <w:lang w:eastAsia="zh-CN"/>
        </w:rPr>
        <w:t>云计算商</w:t>
      </w:r>
      <w:proofErr w:type="gramEnd"/>
      <w:r w:rsidRPr="002E0533">
        <w:rPr>
          <w:rFonts w:ascii="微软雅黑" w:eastAsia="微软雅黑" w:hAnsi="微软雅黑" w:cs="微软雅黑"/>
          <w:spacing w:val="7"/>
          <w:lang w:eastAsia="zh-CN"/>
        </w:rPr>
        <w:t>及软件股亦重新受到资金追捧。整体来看，AI投资热仍在继续，预计将带动相关科技板块持续上行</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0B9A5D2E" w:rsidR="007A477E" w:rsidRPr="00EE7376" w:rsidRDefault="002E0533" w:rsidP="006B6996">
      <w:pPr>
        <w:spacing w:before="103" w:line="256" w:lineRule="auto"/>
        <w:ind w:right="210" w:firstLine="420"/>
        <w:jc w:val="center"/>
        <w:rPr>
          <w:rFonts w:ascii="微软雅黑" w:eastAsia="微软雅黑" w:hAnsi="微软雅黑" w:cs="微软雅黑" w:hint="eastAsia"/>
          <w:spacing w:val="7"/>
          <w:lang w:eastAsia="zh-CN"/>
        </w:rPr>
      </w:pPr>
      <w:r w:rsidRPr="00CB0EB3">
        <w:rPr>
          <w:rFonts w:ascii="Helvetica" w:hAnsi="Helvetica" w:cs="Helvetica"/>
          <w:noProof/>
          <w:shd w:val="clear" w:color="auto" w:fill="FFFFFF"/>
        </w:rPr>
        <w:drawing>
          <wp:inline distT="0" distB="0" distL="0" distR="0" wp14:anchorId="3BF5727F" wp14:editId="57284434">
            <wp:extent cx="5274310" cy="1610525"/>
            <wp:effectExtent l="0" t="0" r="2540" b="8890"/>
            <wp:docPr id="1378374644" name="图片 1378374644" descr="C:\Users\Administrator\xwechat_files\wxid_vkxlzo0vqu7s22_6f5b\temp\InputTemp\cd1f572f-2e5d-4611-964a-ad9b4cc64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cd1f572f-2e5d-4611-964a-ad9b4cc6468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1052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5AE26BBD" w14:textId="5F5EEBEE" w:rsidR="00B51D3C" w:rsidRDefault="002E0533" w:rsidP="000511AA">
      <w:pPr>
        <w:spacing w:before="103" w:line="256" w:lineRule="auto"/>
        <w:ind w:right="210" w:firstLine="448"/>
        <w:jc w:val="both"/>
        <w:rPr>
          <w:rFonts w:ascii="微软雅黑" w:eastAsia="微软雅黑" w:hAnsi="微软雅黑" w:cs="微软雅黑" w:hint="eastAsia"/>
          <w:spacing w:val="7"/>
          <w:lang w:eastAsia="zh-CN"/>
        </w:rPr>
      </w:pPr>
      <w:r w:rsidRPr="002E0533">
        <w:rPr>
          <w:rFonts w:ascii="微软雅黑" w:eastAsia="微软雅黑" w:hAnsi="微软雅黑" w:cs="微软雅黑"/>
          <w:spacing w:val="7"/>
          <w:lang w:eastAsia="zh-CN"/>
        </w:rPr>
        <w:t>截至6月29日，富时中国A50指数上涨1.43%至15550.97；新交所富时A50期指主力合约上涨0.48%至15379。海外方面，韩国政府联手三星电子、SK集团，公布以半导体、物理AI、AI数据中心为核心的“三大超级项目”，未来将在AI相关领域总计投入超过4755</w:t>
      </w:r>
      <w:proofErr w:type="gramStart"/>
      <w:r w:rsidRPr="002E0533">
        <w:rPr>
          <w:rFonts w:ascii="微软雅黑" w:eastAsia="微软雅黑" w:hAnsi="微软雅黑" w:cs="微软雅黑"/>
          <w:spacing w:val="7"/>
          <w:lang w:eastAsia="zh-CN"/>
        </w:rPr>
        <w:t>万亿</w:t>
      </w:r>
      <w:proofErr w:type="gramEnd"/>
      <w:r w:rsidRPr="002E0533">
        <w:rPr>
          <w:rFonts w:ascii="微软雅黑" w:eastAsia="微软雅黑" w:hAnsi="微软雅黑" w:cs="微软雅黑"/>
          <w:spacing w:val="7"/>
          <w:lang w:eastAsia="zh-CN"/>
        </w:rPr>
        <w:t>韩元，规模达韩国史上最大量级。消息带动昨日韩国股市跌幅明显收窄，并强化市场对于人工智能行情的信心。隔夜美股</w:t>
      </w:r>
      <w:proofErr w:type="gramStart"/>
      <w:r w:rsidRPr="002E0533">
        <w:rPr>
          <w:rFonts w:ascii="微软雅黑" w:eastAsia="微软雅黑" w:hAnsi="微软雅黑" w:cs="微软雅黑"/>
          <w:spacing w:val="7"/>
          <w:lang w:eastAsia="zh-CN"/>
        </w:rPr>
        <w:t>云计算商</w:t>
      </w:r>
      <w:proofErr w:type="gramEnd"/>
      <w:r w:rsidRPr="002E0533">
        <w:rPr>
          <w:rFonts w:ascii="微软雅黑" w:eastAsia="微软雅黑" w:hAnsi="微软雅黑" w:cs="微软雅黑"/>
          <w:spacing w:val="7"/>
          <w:lang w:eastAsia="zh-CN"/>
        </w:rPr>
        <w:t>及软件股亦重新受到资金追捧。国内方面，经济基本面，1—5月份，全国规模以上工业企业实现利润总额同比增速</w:t>
      </w:r>
      <w:r w:rsidRPr="002E0533">
        <w:rPr>
          <w:rFonts w:ascii="微软雅黑" w:eastAsia="微软雅黑" w:hAnsi="微软雅黑" w:cs="微软雅黑"/>
          <w:spacing w:val="7"/>
          <w:lang w:eastAsia="zh-CN"/>
        </w:rPr>
        <w:lastRenderedPageBreak/>
        <w:t>较1—4月份进一步加快。其中，规模以上高技术制造业拉动全部规模以上工业企业利润增长8.0个百分点。</w:t>
      </w:r>
      <w:proofErr w:type="gramStart"/>
      <w:r w:rsidRPr="002E0533">
        <w:rPr>
          <w:rFonts w:ascii="微软雅黑" w:eastAsia="微软雅黑" w:hAnsi="微软雅黑" w:cs="微软雅黑"/>
          <w:spacing w:val="7"/>
          <w:lang w:eastAsia="zh-CN"/>
        </w:rPr>
        <w:t>此前公布</w:t>
      </w:r>
      <w:proofErr w:type="gramEnd"/>
      <w:r w:rsidRPr="002E0533">
        <w:rPr>
          <w:rFonts w:ascii="微软雅黑" w:eastAsia="微软雅黑" w:hAnsi="微软雅黑" w:cs="微软雅黑"/>
          <w:spacing w:val="7"/>
          <w:lang w:eastAsia="zh-CN"/>
        </w:rPr>
        <w:t>的经济数据中高技术类产品与高技术制造业同样出口与</w:t>
      </w:r>
      <w:proofErr w:type="gramStart"/>
      <w:r w:rsidRPr="002E0533">
        <w:rPr>
          <w:rFonts w:ascii="微软雅黑" w:eastAsia="微软雅黑" w:hAnsi="微软雅黑" w:cs="微软雅黑"/>
          <w:spacing w:val="7"/>
          <w:lang w:eastAsia="zh-CN"/>
        </w:rPr>
        <w:t>规</w:t>
      </w:r>
      <w:proofErr w:type="gramEnd"/>
      <w:r w:rsidRPr="002E0533">
        <w:rPr>
          <w:rFonts w:ascii="微软雅黑" w:eastAsia="微软雅黑" w:hAnsi="微软雅黑" w:cs="微软雅黑"/>
          <w:spacing w:val="7"/>
          <w:lang w:eastAsia="zh-CN"/>
        </w:rPr>
        <w:t>上工业增加值起到支撑。整体来看，国内5月经济数据显示新质生产力相关行业依旧引领经济，对工业生产、盈利以及出口有显著支撑。同时，AI投资热仍在继续，预计将带动相关科技板块持续上行</w:t>
      </w:r>
      <w:r w:rsidR="00965C94" w:rsidRPr="00965C94">
        <w:rPr>
          <w:rFonts w:ascii="微软雅黑" w:eastAsia="微软雅黑" w:hAnsi="微软雅黑" w:cs="微软雅黑"/>
          <w:spacing w:val="7"/>
          <w:lang w:eastAsia="zh-CN"/>
        </w:rPr>
        <w:t>。</w:t>
      </w:r>
    </w:p>
    <w:p w14:paraId="11AC0A6A" w14:textId="77783DA9"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73F6476B" w:rsidR="00A10388" w:rsidRDefault="002E0533" w:rsidP="00A10388">
      <w:pPr>
        <w:spacing w:before="120" w:line="190" w:lineRule="auto"/>
        <w:ind w:right="210" w:firstLine="420"/>
        <w:jc w:val="center"/>
        <w:rPr>
          <w:rFonts w:ascii="新宋体" w:eastAsia="新宋体" w:hAnsi="新宋体" w:hint="eastAsia"/>
          <w:lang w:eastAsia="zh-CN"/>
        </w:rPr>
      </w:pPr>
      <w:r w:rsidRPr="005436FC">
        <w:rPr>
          <w:rFonts w:ascii="宋体" w:eastAsia="宋体" w:hAnsi="宋体"/>
          <w:b/>
          <w:noProof/>
        </w:rPr>
        <w:drawing>
          <wp:inline distT="0" distB="0" distL="0" distR="0" wp14:anchorId="4A1ED532" wp14:editId="59095C56">
            <wp:extent cx="5274310" cy="1616942"/>
            <wp:effectExtent l="0" t="0" r="2540" b="2540"/>
            <wp:docPr id="3" name="图片 3" descr="C:\Users\Administrator\xwechat_files\wxid_vkxlzo0vqu7s22_6f5b\temp\InputTemp\b04e3ea4-6061-42c3-b268-fe425621f7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b04e3ea4-6061-42c3-b268-fe425621f7e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616942"/>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6087F973" w:rsidR="005B5E6A" w:rsidRDefault="002E0533" w:rsidP="00F51117">
      <w:pPr>
        <w:spacing w:before="103" w:line="256" w:lineRule="auto"/>
        <w:ind w:right="210" w:firstLine="448"/>
        <w:jc w:val="both"/>
        <w:rPr>
          <w:rFonts w:ascii="微软雅黑" w:eastAsia="微软雅黑" w:hAnsi="微软雅黑" w:cs="微软雅黑" w:hint="eastAsia"/>
          <w:spacing w:val="12"/>
          <w:lang w:eastAsia="zh-CN"/>
        </w:rPr>
      </w:pPr>
      <w:r w:rsidRPr="002E0533">
        <w:rPr>
          <w:rFonts w:ascii="微软雅黑" w:eastAsia="微软雅黑" w:hAnsi="微软雅黑" w:cs="微软雅黑"/>
          <w:spacing w:val="12"/>
          <w:lang w:eastAsia="zh-CN"/>
        </w:rPr>
        <w:t>隔夜COMEX铜震荡走势，报收6.1735元/磅，涨跌幅-0.54%。国际方面，伊朗外交部发言人巴加埃表示，伊</w:t>
      </w:r>
      <w:proofErr w:type="gramStart"/>
      <w:r w:rsidRPr="002E0533">
        <w:rPr>
          <w:rFonts w:ascii="微软雅黑" w:eastAsia="微软雅黑" w:hAnsi="微软雅黑" w:cs="微软雅黑"/>
          <w:spacing w:val="12"/>
          <w:lang w:eastAsia="zh-CN"/>
        </w:rPr>
        <w:t>方未来</w:t>
      </w:r>
      <w:proofErr w:type="gramEnd"/>
      <w:r w:rsidRPr="002E0533">
        <w:rPr>
          <w:rFonts w:ascii="微软雅黑" w:eastAsia="微软雅黑" w:hAnsi="微软雅黑" w:cs="微软雅黑"/>
          <w:spacing w:val="12"/>
          <w:lang w:eastAsia="zh-CN"/>
        </w:rPr>
        <w:t>几天没有与美方开展任何谈判的计划。伊朗专家代表团将前往多哈跟进《伊斯兰堡谅解备忘录》执行情况，但这一访问与美方代表团对卡塔尔访问无关。美国总统特朗普坚称，会谈将于6月30日在卡塔尔多哈举行。美国白宫新闻秘书莱维特表示，美国总统特使威特科夫和特朗普的女婿库什纳“本周将飞往多哈”参加会谈。国内方面，国务院常务会议听取人工智能发展情况汇报。会议指出，要深刻把握人工智能演进趋势，完善支持政策和治理体系，牢牢掌握发展主动权。要加力推进人工智能创新突破，加快关键技术攻关和超</w:t>
      </w:r>
      <w:proofErr w:type="gramStart"/>
      <w:r w:rsidRPr="002E0533">
        <w:rPr>
          <w:rFonts w:ascii="微软雅黑" w:eastAsia="微软雅黑" w:hAnsi="微软雅黑" w:cs="微软雅黑"/>
          <w:spacing w:val="12"/>
          <w:lang w:eastAsia="zh-CN"/>
        </w:rPr>
        <w:t>大规模智算集群</w:t>
      </w:r>
      <w:proofErr w:type="gramEnd"/>
      <w:r w:rsidRPr="002E0533">
        <w:rPr>
          <w:rFonts w:ascii="微软雅黑" w:eastAsia="微软雅黑" w:hAnsi="微软雅黑" w:cs="微软雅黑"/>
          <w:spacing w:val="12"/>
          <w:lang w:eastAsia="zh-CN"/>
        </w:rPr>
        <w:t>建设。要深入实施“人工智能+”行动。要守</w:t>
      </w:r>
      <w:proofErr w:type="gramStart"/>
      <w:r w:rsidRPr="002E0533">
        <w:rPr>
          <w:rFonts w:ascii="微软雅黑" w:eastAsia="微软雅黑" w:hAnsi="微软雅黑" w:cs="微软雅黑"/>
          <w:spacing w:val="12"/>
          <w:lang w:eastAsia="zh-CN"/>
        </w:rPr>
        <w:t>牢</w:t>
      </w:r>
      <w:proofErr w:type="gramEnd"/>
      <w:r w:rsidRPr="002E0533">
        <w:rPr>
          <w:rFonts w:ascii="微软雅黑" w:eastAsia="微软雅黑" w:hAnsi="微软雅黑" w:cs="微软雅黑"/>
          <w:spacing w:val="12"/>
          <w:lang w:eastAsia="zh-CN"/>
        </w:rPr>
        <w:t>人工智能安全底线，构建动态适应、分级分类的安全监管体系。会议研究当前外贸形势和贸易强国建设有关工作，审议通过《“十五五”碳达峰行动方案》和《国民健康“十五五”规划》。库存方面，截至2026年6月29日，COMEX铜库存为664030短吨，环比+1228短吨；LME铜库存为333100吨，环比-3375吨；SHFE每日仓单73289吨，环比-1239吨。美元美债方面，伊朗指出当前重点是执行谅解备忘录，近期不与美国谈判。美伊紧张局势再度升温推高油价，并引发通胀担忧，增强了市场对利率将上升的预期。美元指数维持在13个月高点附近，</w:t>
      </w:r>
      <w:proofErr w:type="gramStart"/>
      <w:r w:rsidRPr="002E0533">
        <w:rPr>
          <w:rFonts w:ascii="微软雅黑" w:eastAsia="微软雅黑" w:hAnsi="微软雅黑" w:cs="微软雅黑"/>
          <w:spacing w:val="12"/>
          <w:lang w:eastAsia="zh-CN"/>
        </w:rPr>
        <w:t>最终收跌</w:t>
      </w:r>
      <w:proofErr w:type="gramEnd"/>
      <w:r w:rsidRPr="002E0533">
        <w:rPr>
          <w:rFonts w:ascii="微软雅黑" w:eastAsia="微软雅黑" w:hAnsi="微软雅黑" w:cs="微软雅黑"/>
          <w:spacing w:val="12"/>
          <w:lang w:eastAsia="zh-CN"/>
        </w:rPr>
        <w:t>0.02%，报101.11点；基准的</w:t>
      </w:r>
      <w:proofErr w:type="gramStart"/>
      <w:r w:rsidRPr="002E0533">
        <w:rPr>
          <w:rFonts w:ascii="微软雅黑" w:eastAsia="微软雅黑" w:hAnsi="微软雅黑" w:cs="微软雅黑"/>
          <w:spacing w:val="12"/>
          <w:lang w:eastAsia="zh-CN"/>
        </w:rPr>
        <w:t>10年期美债</w:t>
      </w:r>
      <w:proofErr w:type="gramEnd"/>
      <w:r w:rsidRPr="002E0533">
        <w:rPr>
          <w:rFonts w:ascii="微软雅黑" w:eastAsia="微软雅黑" w:hAnsi="微软雅黑" w:cs="微软雅黑"/>
          <w:spacing w:val="12"/>
          <w:lang w:eastAsia="zh-CN"/>
        </w:rPr>
        <w:t>收益率收报4.379%，对美联储政策利率敏感的</w:t>
      </w:r>
      <w:proofErr w:type="gramStart"/>
      <w:r w:rsidRPr="002E0533">
        <w:rPr>
          <w:rFonts w:ascii="微软雅黑" w:eastAsia="微软雅黑" w:hAnsi="微软雅黑" w:cs="微软雅黑"/>
          <w:spacing w:val="12"/>
          <w:lang w:eastAsia="zh-CN"/>
        </w:rPr>
        <w:t>2年期美债</w:t>
      </w:r>
      <w:proofErr w:type="gramEnd"/>
      <w:r w:rsidRPr="002E0533">
        <w:rPr>
          <w:rFonts w:ascii="微软雅黑" w:eastAsia="微软雅黑" w:hAnsi="微软雅黑" w:cs="微软雅黑"/>
          <w:spacing w:val="12"/>
          <w:lang w:eastAsia="zh-CN"/>
        </w:rPr>
        <w:t>收益率收报4.115%。操作建议，</w:t>
      </w:r>
      <w:proofErr w:type="gramStart"/>
      <w:r w:rsidRPr="002E0533">
        <w:rPr>
          <w:rFonts w:ascii="微软雅黑" w:eastAsia="微软雅黑" w:hAnsi="微软雅黑" w:cs="微软雅黑"/>
          <w:spacing w:val="12"/>
          <w:lang w:eastAsia="zh-CN"/>
        </w:rPr>
        <w:t>纽</w:t>
      </w:r>
      <w:proofErr w:type="gramEnd"/>
      <w:r w:rsidRPr="002E0533">
        <w:rPr>
          <w:rFonts w:ascii="微软雅黑" w:eastAsia="微软雅黑" w:hAnsi="微软雅黑" w:cs="微软雅黑"/>
          <w:spacing w:val="12"/>
          <w:lang w:eastAsia="zh-CN"/>
        </w:rPr>
        <w:t>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w:t>
      </w:r>
      <w:proofErr w:type="gramStart"/>
      <w:r>
        <w:rPr>
          <w:rFonts w:ascii="微软雅黑" w:eastAsia="微软雅黑" w:hAnsi="微软雅黑" w:cs="微软雅黑" w:hint="eastAsia"/>
          <w:spacing w:val="7"/>
          <w:lang w:eastAsia="zh-CN"/>
        </w:rPr>
        <w:t>铜日线</w:t>
      </w:r>
      <w:proofErr w:type="gramEnd"/>
      <w:r>
        <w:rPr>
          <w:rFonts w:ascii="微软雅黑" w:eastAsia="微软雅黑" w:hAnsi="微软雅黑" w:cs="微软雅黑" w:hint="eastAsia"/>
          <w:spacing w:val="7"/>
          <w:lang w:eastAsia="zh-CN"/>
        </w:rPr>
        <w:t>走势图</w:t>
      </w:r>
    </w:p>
    <w:p w14:paraId="44011355" w14:textId="54B4FFFB" w:rsidR="00A02266" w:rsidRDefault="002E0533" w:rsidP="006B6996">
      <w:pPr>
        <w:spacing w:before="103" w:line="256" w:lineRule="auto"/>
        <w:ind w:right="210" w:firstLine="420"/>
        <w:jc w:val="center"/>
      </w:pPr>
      <w:r>
        <w:rPr>
          <w:noProof/>
        </w:rPr>
        <w:lastRenderedPageBreak/>
        <w:drawing>
          <wp:inline distT="0" distB="0" distL="0" distR="0" wp14:anchorId="3ECD17DA" wp14:editId="5D18CD9A">
            <wp:extent cx="5274310" cy="2879090"/>
            <wp:effectExtent l="0" t="0" r="2540" b="0"/>
            <wp:docPr id="463099127" name="图片 463099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31725E6E" w:rsidR="00F850DC" w:rsidRDefault="002E0533" w:rsidP="00B00DB4">
      <w:pPr>
        <w:spacing w:before="103" w:line="256" w:lineRule="auto"/>
        <w:ind w:right="210" w:firstLine="468"/>
        <w:jc w:val="both"/>
        <w:rPr>
          <w:rFonts w:ascii="微软雅黑" w:eastAsia="微软雅黑" w:hAnsi="微软雅黑" w:cs="微软雅黑" w:hint="eastAsia"/>
          <w:noProof/>
          <w:spacing w:val="7"/>
          <w:lang w:eastAsia="zh-CN"/>
        </w:rPr>
      </w:pPr>
      <w:r w:rsidRPr="002E0533">
        <w:rPr>
          <w:rFonts w:ascii="微软雅黑" w:eastAsia="微软雅黑" w:hAnsi="微软雅黑" w:cs="微软雅黑"/>
          <w:noProof/>
          <w:spacing w:val="7"/>
          <w:lang w:eastAsia="zh-CN"/>
        </w:rPr>
        <w:t>隔夜，贵金属市场震荡走弱，COMEX黄金期货跌1.61%报4030.50美元/盎司，COMEX白银期货跌1.54%报58.76美元/盎司。地缘方面，美伊局势延续反复交织态势，周末期间美方连续两日对伊朗设施进行空袭，当前双边同意暂停军事袭击，后续将围绕海峡复航问题展开谈判。虽然战争尾部风险显著回落，油价中枢难回前期高位，但市场做多情绪仍相对谨慎。宏观层面，美国6月标普全球PMI再超市场预期，制造业景气度延续改善，进一步抬升市场对美国经济韧性及加息前景的定价。美国5月PCE环比涨幅低于预期，核心PCE符合预期，通胀传导较市场担忧略显缓和，美元高位回落，带动金银价格低位小幅反弹。短期来看，贵金属上行空间仍受鹰派联储、强美元及实际利率高位运行约束，趋势性反弹仍需等待更明确的宏观催化。一方面，美国经济数据仍具韧性，通胀同比维持近年高位，美联储在通胀压力下较难迅速转向宽松，美元及美债收益率对金银价格的压制短期仍难完全解除；另一方面，美伊谈判虽推动霍尔木兹海峡复航议程，地缘尾部风险阶段性回落，油价中枢有望随之下移，进而缓解通胀反弹担忧，但若核问题及浓缩铀处置谈判迟迟未取得突破，不排除美伊恢复军事打击的可能性。中长期来看，新兴市场央行维持逢低购金节奏，央行购金及全球储备资产再配置逻辑尚未松动，仍为黄金提供底层支撑。整体而言，贵金属短期或维持宽幅震荡格局，操作上建议暂时观望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4B0B5795" w:rsidR="007A477E" w:rsidRDefault="002E0533"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11450E">
        <w:rPr>
          <w:rFonts w:ascii="黑体" w:eastAsia="黑体" w:hAnsi="黑体"/>
          <w:noProof/>
          <w:sz w:val="22"/>
          <w:szCs w:val="22"/>
          <w:shd w:val="clear" w:color="auto" w:fill="FFFFFF"/>
          <w:lang w:bidi="ar"/>
        </w:rPr>
        <w:lastRenderedPageBreak/>
        <w:drawing>
          <wp:inline distT="0" distB="0" distL="0" distR="0" wp14:anchorId="0D2BC23A" wp14:editId="62C6EF67">
            <wp:extent cx="4419600" cy="2193290"/>
            <wp:effectExtent l="0" t="0" r="0" b="0"/>
            <wp:docPr id="13102672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9600" cy="219329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6E26FF1D" w14:textId="77777777" w:rsidR="002E0533" w:rsidRPr="002E0533" w:rsidRDefault="002E0533" w:rsidP="002E0533">
      <w:pPr>
        <w:spacing w:before="103" w:line="256" w:lineRule="auto"/>
        <w:ind w:right="210" w:firstLine="448"/>
        <w:jc w:val="both"/>
        <w:rPr>
          <w:rFonts w:ascii="微软雅黑" w:eastAsia="微软雅黑" w:hAnsi="微软雅黑" w:cs="微软雅黑"/>
          <w:noProof/>
          <w:spacing w:val="7"/>
          <w:lang w:eastAsia="zh-CN"/>
        </w:rPr>
      </w:pPr>
      <w:r w:rsidRPr="002E0533">
        <w:rPr>
          <w:rFonts w:ascii="微软雅黑" w:eastAsia="微软雅黑" w:hAnsi="微软雅黑" w:cs="微软雅黑" w:hint="eastAsia"/>
          <w:noProof/>
          <w:spacing w:val="7"/>
          <w:lang w:eastAsia="zh-CN"/>
        </w:rPr>
        <w:t>洲际交易所</w:t>
      </w:r>
      <w:r w:rsidRPr="002E0533">
        <w:rPr>
          <w:rFonts w:ascii="微软雅黑" w:eastAsia="微软雅黑" w:hAnsi="微软雅黑" w:cs="微软雅黑"/>
          <w:noProof/>
          <w:spacing w:val="7"/>
          <w:lang w:eastAsia="zh-CN"/>
        </w:rPr>
        <w:t>(ICE)</w:t>
      </w:r>
      <w:r w:rsidRPr="002E0533">
        <w:rPr>
          <w:rFonts w:ascii="微软雅黑" w:eastAsia="微软雅黑" w:hAnsi="微软雅黑" w:cs="微软雅黑" w:hint="eastAsia"/>
          <w:noProof/>
          <w:spacing w:val="7"/>
          <w:lang w:eastAsia="zh-CN"/>
        </w:rPr>
        <w:t>原糖期货周一收涨，主要因为欧盟高温天气引发市场对这一主要白糖产区产量的担忧以及厄尔尼诺气候可能影响亚洲国家糖产量。</w:t>
      </w:r>
      <w:r w:rsidRPr="002E0533">
        <w:rPr>
          <w:rFonts w:ascii="微软雅黑" w:eastAsia="微软雅黑" w:hAnsi="微软雅黑" w:cs="微软雅黑"/>
          <w:noProof/>
          <w:spacing w:val="7"/>
          <w:lang w:eastAsia="zh-CN"/>
        </w:rPr>
        <w:t>ICE</w:t>
      </w:r>
      <w:r w:rsidRPr="002E0533">
        <w:rPr>
          <w:rFonts w:ascii="微软雅黑" w:eastAsia="微软雅黑" w:hAnsi="微软雅黑" w:cs="微软雅黑" w:hint="eastAsia"/>
          <w:noProof/>
          <w:spacing w:val="7"/>
          <w:lang w:eastAsia="zh-CN"/>
        </w:rPr>
        <w:t>交投最活跃的</w:t>
      </w:r>
      <w:r w:rsidRPr="002E0533">
        <w:rPr>
          <w:rFonts w:ascii="微软雅黑" w:eastAsia="微软雅黑" w:hAnsi="微软雅黑" w:cs="微软雅黑"/>
          <w:noProof/>
          <w:spacing w:val="7"/>
          <w:lang w:eastAsia="zh-CN"/>
        </w:rPr>
        <w:t>10</w:t>
      </w:r>
      <w:r w:rsidRPr="002E0533">
        <w:rPr>
          <w:rFonts w:ascii="微软雅黑" w:eastAsia="微软雅黑" w:hAnsi="微软雅黑" w:cs="微软雅黑" w:hint="eastAsia"/>
          <w:noProof/>
          <w:spacing w:val="7"/>
          <w:lang w:eastAsia="zh-CN"/>
        </w:rPr>
        <w:t>月原糖期货收涨</w:t>
      </w:r>
      <w:r w:rsidRPr="002E0533">
        <w:rPr>
          <w:rFonts w:ascii="微软雅黑" w:eastAsia="微软雅黑" w:hAnsi="微软雅黑" w:cs="微软雅黑"/>
          <w:noProof/>
          <w:spacing w:val="7"/>
          <w:lang w:eastAsia="zh-CN"/>
        </w:rPr>
        <w:t>0.27</w:t>
      </w:r>
      <w:r w:rsidRPr="002E0533">
        <w:rPr>
          <w:rFonts w:ascii="微软雅黑" w:eastAsia="微软雅黑" w:hAnsi="微软雅黑" w:cs="微软雅黑" w:hint="eastAsia"/>
          <w:noProof/>
          <w:spacing w:val="7"/>
          <w:lang w:eastAsia="zh-CN"/>
        </w:rPr>
        <w:t>美分或</w:t>
      </w:r>
      <w:r w:rsidRPr="002E0533">
        <w:rPr>
          <w:rFonts w:ascii="微软雅黑" w:eastAsia="微软雅黑" w:hAnsi="微软雅黑" w:cs="微软雅黑"/>
          <w:noProof/>
          <w:spacing w:val="7"/>
          <w:lang w:eastAsia="zh-CN"/>
        </w:rPr>
        <w:t>1.86%</w:t>
      </w:r>
      <w:r w:rsidRPr="002E0533">
        <w:rPr>
          <w:rFonts w:ascii="微软雅黑" w:eastAsia="微软雅黑" w:hAnsi="微软雅黑" w:cs="微软雅黑" w:hint="eastAsia"/>
          <w:noProof/>
          <w:spacing w:val="7"/>
          <w:lang w:eastAsia="zh-CN"/>
        </w:rPr>
        <w:t>，结算价报每磅</w:t>
      </w:r>
      <w:r w:rsidRPr="002E0533">
        <w:rPr>
          <w:rFonts w:ascii="微软雅黑" w:eastAsia="微软雅黑" w:hAnsi="微软雅黑" w:cs="微软雅黑"/>
          <w:noProof/>
          <w:spacing w:val="7"/>
          <w:lang w:eastAsia="zh-CN"/>
        </w:rPr>
        <w:t>14.78</w:t>
      </w:r>
      <w:r w:rsidRPr="002E0533">
        <w:rPr>
          <w:rFonts w:ascii="微软雅黑" w:eastAsia="微软雅黑" w:hAnsi="微软雅黑" w:cs="微软雅黑" w:hint="eastAsia"/>
          <w:noProof/>
          <w:spacing w:val="7"/>
          <w:lang w:eastAsia="zh-CN"/>
        </w:rPr>
        <w:t>美分。</w:t>
      </w:r>
    </w:p>
    <w:p w14:paraId="6915F85D" w14:textId="77777777" w:rsidR="002E0533" w:rsidRPr="002E0533" w:rsidRDefault="002E0533" w:rsidP="002E0533">
      <w:pPr>
        <w:spacing w:before="103" w:line="256" w:lineRule="auto"/>
        <w:ind w:right="210" w:firstLine="448"/>
        <w:jc w:val="both"/>
        <w:rPr>
          <w:rFonts w:ascii="微软雅黑" w:eastAsia="微软雅黑" w:hAnsi="微软雅黑" w:cs="微软雅黑"/>
          <w:noProof/>
          <w:spacing w:val="7"/>
          <w:lang w:eastAsia="zh-CN"/>
        </w:rPr>
      </w:pPr>
      <w:r w:rsidRPr="002E0533">
        <w:rPr>
          <w:rFonts w:ascii="微软雅黑" w:eastAsia="微软雅黑" w:hAnsi="微软雅黑" w:cs="微软雅黑" w:hint="eastAsia"/>
          <w:noProof/>
          <w:spacing w:val="7"/>
          <w:lang w:eastAsia="zh-CN"/>
        </w:rPr>
        <w:t>国际方面，巴西航运机构</w:t>
      </w:r>
      <w:r w:rsidRPr="002E0533">
        <w:rPr>
          <w:rFonts w:ascii="微软雅黑" w:eastAsia="微软雅黑" w:hAnsi="微软雅黑" w:cs="微软雅黑"/>
          <w:noProof/>
          <w:spacing w:val="7"/>
          <w:lang w:eastAsia="zh-CN"/>
        </w:rPr>
        <w:t>Williams</w:t>
      </w:r>
      <w:r w:rsidRPr="002E0533">
        <w:rPr>
          <w:rFonts w:ascii="微软雅黑" w:eastAsia="微软雅黑" w:hAnsi="微软雅黑" w:cs="微软雅黑" w:hint="eastAsia"/>
          <w:noProof/>
          <w:spacing w:val="7"/>
          <w:lang w:eastAsia="zh-CN"/>
        </w:rPr>
        <w:t>发布的数据显示，截至</w:t>
      </w:r>
      <w:r w:rsidRPr="002E0533">
        <w:rPr>
          <w:rFonts w:ascii="微软雅黑" w:eastAsia="微软雅黑" w:hAnsi="微软雅黑" w:cs="微软雅黑"/>
          <w:noProof/>
          <w:spacing w:val="7"/>
          <w:lang w:eastAsia="zh-CN"/>
        </w:rPr>
        <w:t>6</w:t>
      </w:r>
      <w:r w:rsidRPr="002E0533">
        <w:rPr>
          <w:rFonts w:ascii="微软雅黑" w:eastAsia="微软雅黑" w:hAnsi="微软雅黑" w:cs="微软雅黑" w:hint="eastAsia"/>
          <w:noProof/>
          <w:spacing w:val="7"/>
          <w:lang w:eastAsia="zh-CN"/>
        </w:rPr>
        <w:t>月</w:t>
      </w:r>
      <w:r w:rsidRPr="002E0533">
        <w:rPr>
          <w:rFonts w:ascii="微软雅黑" w:eastAsia="微软雅黑" w:hAnsi="微软雅黑" w:cs="微软雅黑"/>
          <w:noProof/>
          <w:spacing w:val="7"/>
          <w:lang w:eastAsia="zh-CN"/>
        </w:rPr>
        <w:t>24</w:t>
      </w:r>
      <w:r w:rsidRPr="002E0533">
        <w:rPr>
          <w:rFonts w:ascii="微软雅黑" w:eastAsia="微软雅黑" w:hAnsi="微软雅黑" w:cs="微软雅黑" w:hint="eastAsia"/>
          <w:noProof/>
          <w:spacing w:val="7"/>
          <w:lang w:eastAsia="zh-CN"/>
        </w:rPr>
        <w:t>日当周，巴西港口等待装运食糖的船只数量为</w:t>
      </w:r>
      <w:r w:rsidRPr="002E0533">
        <w:rPr>
          <w:rFonts w:ascii="微软雅黑" w:eastAsia="微软雅黑" w:hAnsi="微软雅黑" w:cs="微软雅黑"/>
          <w:noProof/>
          <w:spacing w:val="7"/>
          <w:lang w:eastAsia="zh-CN"/>
        </w:rPr>
        <w:t>47</w:t>
      </w:r>
      <w:r w:rsidRPr="002E0533">
        <w:rPr>
          <w:rFonts w:ascii="微软雅黑" w:eastAsia="微软雅黑" w:hAnsi="微软雅黑" w:cs="微软雅黑" w:hint="eastAsia"/>
          <w:noProof/>
          <w:spacing w:val="7"/>
          <w:lang w:eastAsia="zh-CN"/>
        </w:rPr>
        <w:t>艘，此前一周为</w:t>
      </w:r>
      <w:r w:rsidRPr="002E0533">
        <w:rPr>
          <w:rFonts w:ascii="微软雅黑" w:eastAsia="微软雅黑" w:hAnsi="微软雅黑" w:cs="微软雅黑"/>
          <w:noProof/>
          <w:spacing w:val="7"/>
          <w:lang w:eastAsia="zh-CN"/>
        </w:rPr>
        <w:t>41</w:t>
      </w:r>
      <w:r w:rsidRPr="002E0533">
        <w:rPr>
          <w:rFonts w:ascii="微软雅黑" w:eastAsia="微软雅黑" w:hAnsi="微软雅黑" w:cs="微软雅黑" w:hint="eastAsia"/>
          <w:noProof/>
          <w:spacing w:val="7"/>
          <w:lang w:eastAsia="zh-CN"/>
        </w:rPr>
        <w:t>艘。港口等待装运的食糖数量为</w:t>
      </w:r>
      <w:r w:rsidRPr="002E0533">
        <w:rPr>
          <w:rFonts w:ascii="微软雅黑" w:eastAsia="微软雅黑" w:hAnsi="微软雅黑" w:cs="微软雅黑"/>
          <w:noProof/>
          <w:spacing w:val="7"/>
          <w:lang w:eastAsia="zh-CN"/>
        </w:rPr>
        <w:t>198.46</w:t>
      </w:r>
      <w:r w:rsidRPr="002E0533">
        <w:rPr>
          <w:rFonts w:ascii="微软雅黑" w:eastAsia="微软雅黑" w:hAnsi="微软雅黑" w:cs="微软雅黑" w:hint="eastAsia"/>
          <w:noProof/>
          <w:spacing w:val="7"/>
          <w:lang w:eastAsia="zh-CN"/>
        </w:rPr>
        <w:t>万吨，此前一周为</w:t>
      </w:r>
      <w:r w:rsidRPr="002E0533">
        <w:rPr>
          <w:rFonts w:ascii="微软雅黑" w:eastAsia="微软雅黑" w:hAnsi="微软雅黑" w:cs="微软雅黑"/>
          <w:noProof/>
          <w:spacing w:val="7"/>
          <w:lang w:eastAsia="zh-CN"/>
        </w:rPr>
        <w:t>163.26</w:t>
      </w:r>
      <w:r w:rsidRPr="002E0533">
        <w:rPr>
          <w:rFonts w:ascii="微软雅黑" w:eastAsia="微软雅黑" w:hAnsi="微软雅黑" w:cs="微软雅黑" w:hint="eastAsia"/>
          <w:noProof/>
          <w:spacing w:val="7"/>
          <w:lang w:eastAsia="zh-CN"/>
        </w:rPr>
        <w:t>万吨增加</w:t>
      </w:r>
      <w:r w:rsidRPr="002E0533">
        <w:rPr>
          <w:rFonts w:ascii="微软雅黑" w:eastAsia="微软雅黑" w:hAnsi="微软雅黑" w:cs="微软雅黑"/>
          <w:noProof/>
          <w:spacing w:val="7"/>
          <w:lang w:eastAsia="zh-CN"/>
        </w:rPr>
        <w:t>21.56%</w:t>
      </w:r>
      <w:r w:rsidRPr="002E0533">
        <w:rPr>
          <w:rFonts w:ascii="微软雅黑" w:eastAsia="微软雅黑" w:hAnsi="微软雅黑" w:cs="微软雅黑" w:hint="eastAsia"/>
          <w:noProof/>
          <w:spacing w:val="7"/>
          <w:lang w:eastAsia="zh-CN"/>
        </w:rPr>
        <w:t>。其中桑托斯港等待出口的食糖数量为</w:t>
      </w:r>
      <w:r w:rsidRPr="002E0533">
        <w:rPr>
          <w:rFonts w:ascii="微软雅黑" w:eastAsia="微软雅黑" w:hAnsi="微软雅黑" w:cs="微软雅黑"/>
          <w:noProof/>
          <w:spacing w:val="7"/>
          <w:lang w:eastAsia="zh-CN"/>
        </w:rPr>
        <w:t>155.02</w:t>
      </w:r>
      <w:r w:rsidRPr="002E0533">
        <w:rPr>
          <w:rFonts w:ascii="微软雅黑" w:eastAsia="微软雅黑" w:hAnsi="微软雅黑" w:cs="微软雅黑" w:hint="eastAsia"/>
          <w:noProof/>
          <w:spacing w:val="7"/>
          <w:lang w:eastAsia="zh-CN"/>
        </w:rPr>
        <w:t>万吨。当周等待装运出口的食糖船只数量大幅回升。</w:t>
      </w:r>
    </w:p>
    <w:p w14:paraId="3F44DEBC" w14:textId="0AE5F94E" w:rsidR="00C27A84" w:rsidRDefault="002E0533" w:rsidP="002E0533">
      <w:pPr>
        <w:spacing w:before="103" w:line="256" w:lineRule="auto"/>
        <w:ind w:right="210" w:firstLine="448"/>
        <w:jc w:val="both"/>
        <w:rPr>
          <w:rFonts w:ascii="微软雅黑" w:eastAsia="微软雅黑" w:hAnsi="微软雅黑" w:cs="微软雅黑" w:hint="eastAsia"/>
          <w:noProof/>
          <w:spacing w:val="7"/>
          <w:lang w:eastAsia="zh-CN"/>
        </w:rPr>
      </w:pPr>
      <w:r w:rsidRPr="002E0533">
        <w:rPr>
          <w:rFonts w:ascii="微软雅黑" w:eastAsia="微软雅黑" w:hAnsi="微软雅黑" w:cs="微软雅黑" w:hint="eastAsia"/>
          <w:noProof/>
          <w:spacing w:val="7"/>
          <w:lang w:eastAsia="zh-CN"/>
        </w:rPr>
        <w:t>美糖主力价格关注上方压力</w:t>
      </w:r>
      <w:r w:rsidRPr="002E0533">
        <w:rPr>
          <w:rFonts w:ascii="微软雅黑" w:eastAsia="微软雅黑" w:hAnsi="微软雅黑" w:cs="微软雅黑"/>
          <w:noProof/>
          <w:spacing w:val="7"/>
          <w:lang w:eastAsia="zh-CN"/>
        </w:rPr>
        <w:t>16</w:t>
      </w:r>
      <w:r w:rsidRPr="002E0533">
        <w:rPr>
          <w:rFonts w:ascii="微软雅黑" w:eastAsia="微软雅黑" w:hAnsi="微软雅黑" w:cs="微软雅黑" w:hint="eastAsia"/>
          <w:noProof/>
          <w:spacing w:val="7"/>
          <w:lang w:eastAsia="zh-CN"/>
        </w:rPr>
        <w:t>美分</w:t>
      </w:r>
      <w:r w:rsidRPr="002E0533">
        <w:rPr>
          <w:rFonts w:ascii="微软雅黑" w:eastAsia="微软雅黑" w:hAnsi="微软雅黑" w:cs="微软雅黑"/>
          <w:noProof/>
          <w:spacing w:val="7"/>
          <w:lang w:eastAsia="zh-CN"/>
        </w:rPr>
        <w:t>/</w:t>
      </w:r>
      <w:r w:rsidRPr="002E0533">
        <w:rPr>
          <w:rFonts w:ascii="微软雅黑" w:eastAsia="微软雅黑" w:hAnsi="微软雅黑" w:cs="微软雅黑" w:hint="eastAsia"/>
          <w:noProof/>
          <w:spacing w:val="7"/>
          <w:lang w:eastAsia="zh-CN"/>
        </w:rPr>
        <w:t>磅，下方支撑</w:t>
      </w:r>
      <w:r w:rsidRPr="002E0533">
        <w:rPr>
          <w:rFonts w:ascii="微软雅黑" w:eastAsia="微软雅黑" w:hAnsi="微软雅黑" w:cs="微软雅黑"/>
          <w:noProof/>
          <w:spacing w:val="7"/>
          <w:lang w:eastAsia="zh-CN"/>
        </w:rPr>
        <w:t>13.0</w:t>
      </w:r>
      <w:r w:rsidRPr="002E0533">
        <w:rPr>
          <w:rFonts w:ascii="微软雅黑" w:eastAsia="微软雅黑" w:hAnsi="微软雅黑" w:cs="微软雅黑" w:hint="eastAsia"/>
          <w:noProof/>
          <w:spacing w:val="7"/>
          <w:lang w:eastAsia="zh-CN"/>
        </w:rPr>
        <w:t>美分</w:t>
      </w:r>
      <w:r w:rsidRPr="002E0533">
        <w:rPr>
          <w:rFonts w:ascii="微软雅黑" w:eastAsia="微软雅黑" w:hAnsi="微软雅黑" w:cs="微软雅黑"/>
          <w:noProof/>
          <w:spacing w:val="7"/>
          <w:lang w:eastAsia="zh-CN"/>
        </w:rPr>
        <w:t>/</w:t>
      </w:r>
      <w:r w:rsidRPr="002E0533">
        <w:rPr>
          <w:rFonts w:ascii="微软雅黑" w:eastAsia="微软雅黑" w:hAnsi="微软雅黑" w:cs="微软雅黑" w:hint="eastAsia"/>
          <w:noProof/>
          <w:spacing w:val="7"/>
          <w:lang w:eastAsia="zh-CN"/>
        </w:rPr>
        <w:t>磅。建议</w:t>
      </w:r>
      <w:r w:rsidRPr="002E0533">
        <w:rPr>
          <w:rFonts w:ascii="微软雅黑" w:eastAsia="微软雅黑" w:hAnsi="微软雅黑" w:cs="微软雅黑"/>
          <w:noProof/>
          <w:spacing w:val="7"/>
          <w:lang w:eastAsia="zh-CN"/>
        </w:rPr>
        <w:t>10</w:t>
      </w:r>
      <w:r w:rsidRPr="002E0533">
        <w:rPr>
          <w:rFonts w:ascii="微软雅黑" w:eastAsia="微软雅黑" w:hAnsi="微软雅黑" w:cs="微软雅黑" w:hint="eastAsia"/>
          <w:noProof/>
          <w:spacing w:val="7"/>
          <w:lang w:eastAsia="zh-CN"/>
        </w:rPr>
        <w:t>月</w:t>
      </w:r>
      <w:r w:rsidRPr="002E0533">
        <w:rPr>
          <w:rFonts w:ascii="微软雅黑" w:eastAsia="微软雅黑" w:hAnsi="微软雅黑" w:cs="微软雅黑"/>
          <w:noProof/>
          <w:spacing w:val="7"/>
          <w:lang w:eastAsia="zh-CN"/>
        </w:rPr>
        <w:t xml:space="preserve"> ICE </w:t>
      </w:r>
      <w:r w:rsidRPr="002E0533">
        <w:rPr>
          <w:rFonts w:ascii="微软雅黑" w:eastAsia="微软雅黑" w:hAnsi="微软雅黑" w:cs="微软雅黑" w:hint="eastAsia"/>
          <w:noProof/>
          <w:spacing w:val="7"/>
          <w:lang w:eastAsia="zh-CN"/>
        </w:rPr>
        <w:t>期糖短期逢低短多</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5D8BAD5A" w:rsidR="007A477E" w:rsidRPr="00786136" w:rsidRDefault="002E0533" w:rsidP="007A477E">
      <w:pPr>
        <w:spacing w:before="103" w:line="256" w:lineRule="auto"/>
        <w:ind w:right="210" w:firstLine="420"/>
        <w:jc w:val="center"/>
        <w:rPr>
          <w:rFonts w:ascii="微软雅黑" w:eastAsia="微软雅黑" w:hAnsi="微软雅黑" w:cs="微软雅黑" w:hint="eastAsia"/>
          <w:spacing w:val="7"/>
          <w:lang w:eastAsia="zh-CN"/>
        </w:rPr>
      </w:pPr>
      <w:r>
        <w:rPr>
          <w:noProof/>
        </w:rPr>
        <w:drawing>
          <wp:inline distT="0" distB="0" distL="0" distR="0" wp14:anchorId="77DACCDC" wp14:editId="6019CE39">
            <wp:extent cx="5257800" cy="1885950"/>
            <wp:effectExtent l="0" t="0" r="0" b="0"/>
            <wp:docPr id="301478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57800" cy="1885950"/>
                    </a:xfrm>
                    <a:prstGeom prst="rect">
                      <a:avLst/>
                    </a:prstGeom>
                    <a:noFill/>
                    <a:ln>
                      <a:noFill/>
                    </a:ln>
                    <a:effectLst/>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6E901584" w14:textId="77777777" w:rsidR="002E0533" w:rsidRPr="002E0533" w:rsidRDefault="002E0533" w:rsidP="002E0533">
      <w:pPr>
        <w:spacing w:before="103" w:line="256" w:lineRule="auto"/>
        <w:ind w:right="210" w:firstLine="448"/>
        <w:jc w:val="both"/>
        <w:rPr>
          <w:rFonts w:ascii="微软雅黑" w:eastAsia="微软雅黑" w:hAnsi="微软雅黑" w:cs="微软雅黑"/>
          <w:noProof/>
          <w:spacing w:val="7"/>
          <w:lang w:eastAsia="zh-CN"/>
        </w:rPr>
      </w:pPr>
      <w:r w:rsidRPr="002E0533">
        <w:rPr>
          <w:rFonts w:ascii="微软雅黑" w:eastAsia="微软雅黑" w:hAnsi="微软雅黑" w:cs="微软雅黑" w:hint="eastAsia"/>
          <w:noProof/>
          <w:spacing w:val="7"/>
          <w:lang w:eastAsia="zh-CN"/>
        </w:rPr>
        <w:t>洲际交易所</w:t>
      </w:r>
      <w:r w:rsidRPr="002E0533">
        <w:rPr>
          <w:rFonts w:ascii="微软雅黑" w:eastAsia="微软雅黑" w:hAnsi="微软雅黑" w:cs="微软雅黑"/>
          <w:noProof/>
          <w:spacing w:val="7"/>
          <w:lang w:eastAsia="zh-CN"/>
        </w:rPr>
        <w:t>(ICE)</w:t>
      </w:r>
      <w:r w:rsidRPr="002E0533">
        <w:rPr>
          <w:rFonts w:ascii="微软雅黑" w:eastAsia="微软雅黑" w:hAnsi="微软雅黑" w:cs="微软雅黑" w:hint="eastAsia"/>
          <w:noProof/>
          <w:spacing w:val="7"/>
          <w:lang w:eastAsia="zh-CN"/>
        </w:rPr>
        <w:t>棉花期货周一小幅上涨，受油价上涨和美元走软提振，市场关注美国即将公布的种植和库存报告。</w:t>
      </w:r>
      <w:r w:rsidRPr="002E0533">
        <w:rPr>
          <w:rFonts w:ascii="微软雅黑" w:eastAsia="微软雅黑" w:hAnsi="微软雅黑" w:cs="微软雅黑"/>
          <w:noProof/>
          <w:spacing w:val="7"/>
          <w:lang w:eastAsia="zh-CN"/>
        </w:rPr>
        <w:t>ICE 12</w:t>
      </w:r>
      <w:r w:rsidRPr="002E0533">
        <w:rPr>
          <w:rFonts w:ascii="微软雅黑" w:eastAsia="微软雅黑" w:hAnsi="微软雅黑" w:cs="微软雅黑" w:hint="eastAsia"/>
          <w:noProof/>
          <w:spacing w:val="7"/>
          <w:lang w:eastAsia="zh-CN"/>
        </w:rPr>
        <w:t>月棉花期货合约上涨</w:t>
      </w:r>
      <w:r w:rsidRPr="002E0533">
        <w:rPr>
          <w:rFonts w:ascii="微软雅黑" w:eastAsia="微软雅黑" w:hAnsi="微软雅黑" w:cs="微软雅黑"/>
          <w:noProof/>
          <w:spacing w:val="7"/>
          <w:lang w:eastAsia="zh-CN"/>
        </w:rPr>
        <w:t>0.07</w:t>
      </w:r>
      <w:r w:rsidRPr="002E0533">
        <w:rPr>
          <w:rFonts w:ascii="微软雅黑" w:eastAsia="微软雅黑" w:hAnsi="微软雅黑" w:cs="微软雅黑" w:hint="eastAsia"/>
          <w:noProof/>
          <w:spacing w:val="7"/>
          <w:lang w:eastAsia="zh-CN"/>
        </w:rPr>
        <w:t>美分或</w:t>
      </w:r>
      <w:r w:rsidRPr="002E0533">
        <w:rPr>
          <w:rFonts w:ascii="微软雅黑" w:eastAsia="微软雅黑" w:hAnsi="微软雅黑" w:cs="微软雅黑"/>
          <w:noProof/>
          <w:spacing w:val="7"/>
          <w:lang w:eastAsia="zh-CN"/>
        </w:rPr>
        <w:t>0.09%</w:t>
      </w:r>
      <w:r w:rsidRPr="002E0533">
        <w:rPr>
          <w:rFonts w:ascii="微软雅黑" w:eastAsia="微软雅黑" w:hAnsi="微软雅黑" w:cs="微软雅黑" w:hint="eastAsia"/>
          <w:noProof/>
          <w:spacing w:val="7"/>
          <w:lang w:eastAsia="zh-CN"/>
        </w:rPr>
        <w:t>，结算价报每磅</w:t>
      </w:r>
      <w:r w:rsidRPr="002E0533">
        <w:rPr>
          <w:rFonts w:ascii="微软雅黑" w:eastAsia="微软雅黑" w:hAnsi="微软雅黑" w:cs="微软雅黑"/>
          <w:noProof/>
          <w:spacing w:val="7"/>
          <w:lang w:eastAsia="zh-CN"/>
        </w:rPr>
        <w:t>76.45</w:t>
      </w:r>
      <w:r w:rsidRPr="002E0533">
        <w:rPr>
          <w:rFonts w:ascii="微软雅黑" w:eastAsia="微软雅黑" w:hAnsi="微软雅黑" w:cs="微软雅黑" w:hint="eastAsia"/>
          <w:noProof/>
          <w:spacing w:val="7"/>
          <w:lang w:eastAsia="zh-CN"/>
        </w:rPr>
        <w:t>美分。</w:t>
      </w:r>
    </w:p>
    <w:p w14:paraId="0DE264A7" w14:textId="2896687C" w:rsidR="00ED4A18" w:rsidRDefault="002E0533" w:rsidP="002E0533">
      <w:pPr>
        <w:spacing w:before="103" w:line="256" w:lineRule="auto"/>
        <w:ind w:right="210" w:firstLine="448"/>
        <w:jc w:val="both"/>
        <w:rPr>
          <w:rFonts w:ascii="微软雅黑" w:eastAsia="微软雅黑" w:hAnsi="微软雅黑" w:cs="微软雅黑" w:hint="eastAsia"/>
          <w:noProof/>
          <w:spacing w:val="7"/>
          <w:lang w:eastAsia="zh-CN"/>
        </w:rPr>
      </w:pPr>
      <w:r w:rsidRPr="002E0533">
        <w:rPr>
          <w:rFonts w:ascii="微软雅黑" w:eastAsia="微软雅黑" w:hAnsi="微软雅黑" w:cs="微软雅黑" w:hint="eastAsia"/>
          <w:noProof/>
          <w:spacing w:val="7"/>
          <w:lang w:eastAsia="zh-CN"/>
        </w:rPr>
        <w:lastRenderedPageBreak/>
        <w:t>国际方面，据美国农业部</w:t>
      </w:r>
      <w:r w:rsidRPr="002E0533">
        <w:rPr>
          <w:rFonts w:ascii="微软雅黑" w:eastAsia="微软雅黑" w:hAnsi="微软雅黑" w:cs="微软雅黑"/>
          <w:noProof/>
          <w:spacing w:val="7"/>
          <w:lang w:eastAsia="zh-CN"/>
        </w:rPr>
        <w:t>(USDA)</w:t>
      </w:r>
      <w:r w:rsidRPr="002E0533">
        <w:rPr>
          <w:rFonts w:ascii="微软雅黑" w:eastAsia="微软雅黑" w:hAnsi="微软雅黑" w:cs="微软雅黑" w:hint="eastAsia"/>
          <w:noProof/>
          <w:spacing w:val="7"/>
          <w:lang w:eastAsia="zh-CN"/>
        </w:rPr>
        <w:t>报告显示，截至</w:t>
      </w:r>
      <w:r w:rsidRPr="002E0533">
        <w:rPr>
          <w:rFonts w:ascii="微软雅黑" w:eastAsia="微软雅黑" w:hAnsi="微软雅黑" w:cs="微软雅黑"/>
          <w:noProof/>
          <w:spacing w:val="7"/>
          <w:lang w:eastAsia="zh-CN"/>
        </w:rPr>
        <w:t>2026</w:t>
      </w:r>
      <w:r w:rsidRPr="002E0533">
        <w:rPr>
          <w:rFonts w:ascii="微软雅黑" w:eastAsia="微软雅黑" w:hAnsi="微软雅黑" w:cs="微软雅黑" w:hint="eastAsia"/>
          <w:noProof/>
          <w:spacing w:val="7"/>
          <w:lang w:eastAsia="zh-CN"/>
        </w:rPr>
        <w:t>年</w:t>
      </w:r>
      <w:r w:rsidRPr="002E0533">
        <w:rPr>
          <w:rFonts w:ascii="微软雅黑" w:eastAsia="微软雅黑" w:hAnsi="微软雅黑" w:cs="微软雅黑"/>
          <w:noProof/>
          <w:spacing w:val="7"/>
          <w:lang w:eastAsia="zh-CN"/>
        </w:rPr>
        <w:t>6</w:t>
      </w:r>
      <w:r w:rsidRPr="002E0533">
        <w:rPr>
          <w:rFonts w:ascii="微软雅黑" w:eastAsia="微软雅黑" w:hAnsi="微软雅黑" w:cs="微软雅黑" w:hint="eastAsia"/>
          <w:noProof/>
          <w:spacing w:val="7"/>
          <w:lang w:eastAsia="zh-CN"/>
        </w:rPr>
        <w:t>月</w:t>
      </w:r>
      <w:r w:rsidRPr="002E0533">
        <w:rPr>
          <w:rFonts w:ascii="微软雅黑" w:eastAsia="微软雅黑" w:hAnsi="微软雅黑" w:cs="微软雅黑"/>
          <w:noProof/>
          <w:spacing w:val="7"/>
          <w:lang w:eastAsia="zh-CN"/>
        </w:rPr>
        <w:t>28</w:t>
      </w:r>
      <w:r w:rsidRPr="002E0533">
        <w:rPr>
          <w:rFonts w:ascii="微软雅黑" w:eastAsia="微软雅黑" w:hAnsi="微软雅黑" w:cs="微软雅黑" w:hint="eastAsia"/>
          <w:noProof/>
          <w:spacing w:val="7"/>
          <w:lang w:eastAsia="zh-CN"/>
        </w:rPr>
        <w:t>日当周，美国棉花优良率为</w:t>
      </w:r>
      <w:r w:rsidRPr="002E0533">
        <w:rPr>
          <w:rFonts w:ascii="微软雅黑" w:eastAsia="微软雅黑" w:hAnsi="微软雅黑" w:cs="微软雅黑"/>
          <w:noProof/>
          <w:spacing w:val="7"/>
          <w:lang w:eastAsia="zh-CN"/>
        </w:rPr>
        <w:t>48%</w:t>
      </w:r>
      <w:r w:rsidRPr="002E0533">
        <w:rPr>
          <w:rFonts w:ascii="微软雅黑" w:eastAsia="微软雅黑" w:hAnsi="微软雅黑" w:cs="微软雅黑" w:hint="eastAsia"/>
          <w:noProof/>
          <w:spacing w:val="7"/>
          <w:lang w:eastAsia="zh-CN"/>
        </w:rPr>
        <w:t>，前一周为</w:t>
      </w:r>
      <w:r w:rsidRPr="002E0533">
        <w:rPr>
          <w:rFonts w:ascii="微软雅黑" w:eastAsia="微软雅黑" w:hAnsi="微软雅黑" w:cs="微软雅黑"/>
          <w:noProof/>
          <w:spacing w:val="7"/>
          <w:lang w:eastAsia="zh-CN"/>
        </w:rPr>
        <w:t>53%</w:t>
      </w:r>
      <w:r w:rsidRPr="002E0533">
        <w:rPr>
          <w:rFonts w:ascii="微软雅黑" w:eastAsia="微软雅黑" w:hAnsi="微软雅黑" w:cs="微软雅黑" w:hint="eastAsia"/>
          <w:noProof/>
          <w:spacing w:val="7"/>
          <w:lang w:eastAsia="zh-CN"/>
        </w:rPr>
        <w:t>，上年同期为</w:t>
      </w:r>
      <w:r w:rsidRPr="002E0533">
        <w:rPr>
          <w:rFonts w:ascii="微软雅黑" w:eastAsia="微软雅黑" w:hAnsi="微软雅黑" w:cs="微软雅黑"/>
          <w:noProof/>
          <w:spacing w:val="7"/>
          <w:lang w:eastAsia="zh-CN"/>
        </w:rPr>
        <w:t>51%</w:t>
      </w:r>
      <w:r w:rsidRPr="002E0533">
        <w:rPr>
          <w:rFonts w:ascii="微软雅黑" w:eastAsia="微软雅黑" w:hAnsi="微软雅黑" w:cs="微软雅黑" w:hint="eastAsia"/>
          <w:noProof/>
          <w:spacing w:val="7"/>
          <w:lang w:eastAsia="zh-CN"/>
        </w:rPr>
        <w:t>。截至当周，美国棉花种植率为</w:t>
      </w:r>
      <w:r w:rsidRPr="002E0533">
        <w:rPr>
          <w:rFonts w:ascii="微软雅黑" w:eastAsia="微软雅黑" w:hAnsi="微软雅黑" w:cs="微软雅黑"/>
          <w:noProof/>
          <w:spacing w:val="7"/>
          <w:lang w:eastAsia="zh-CN"/>
        </w:rPr>
        <w:t>97%</w:t>
      </w:r>
      <w:r w:rsidRPr="002E0533">
        <w:rPr>
          <w:rFonts w:ascii="微软雅黑" w:eastAsia="微软雅黑" w:hAnsi="微软雅黑" w:cs="微软雅黑" w:hint="eastAsia"/>
          <w:noProof/>
          <w:spacing w:val="7"/>
          <w:lang w:eastAsia="zh-CN"/>
        </w:rPr>
        <w:t>，去年同期为</w:t>
      </w:r>
      <w:r w:rsidRPr="002E0533">
        <w:rPr>
          <w:rFonts w:ascii="微软雅黑" w:eastAsia="微软雅黑" w:hAnsi="微软雅黑" w:cs="微软雅黑"/>
          <w:noProof/>
          <w:spacing w:val="7"/>
          <w:lang w:eastAsia="zh-CN"/>
        </w:rPr>
        <w:t>95%</w:t>
      </w:r>
      <w:r w:rsidRPr="002E0533">
        <w:rPr>
          <w:rFonts w:ascii="微软雅黑" w:eastAsia="微软雅黑" w:hAnsi="微软雅黑" w:cs="微软雅黑" w:hint="eastAsia"/>
          <w:noProof/>
          <w:spacing w:val="7"/>
          <w:lang w:eastAsia="zh-CN"/>
        </w:rPr>
        <w:t>，五年均值为</w:t>
      </w:r>
      <w:r w:rsidRPr="002E0533">
        <w:rPr>
          <w:rFonts w:ascii="微软雅黑" w:eastAsia="微软雅黑" w:hAnsi="微软雅黑" w:cs="微软雅黑"/>
          <w:noProof/>
          <w:spacing w:val="7"/>
          <w:lang w:eastAsia="zh-CN"/>
        </w:rPr>
        <w:t>97%</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55531CE8" w:rsidR="00C24CC6" w:rsidRDefault="002E0533" w:rsidP="00B44F00">
      <w:pPr>
        <w:spacing w:before="103" w:line="256" w:lineRule="auto"/>
        <w:ind w:right="210" w:firstLine="420"/>
        <w:jc w:val="center"/>
        <w:rPr>
          <w:rFonts w:ascii="微软雅黑" w:eastAsia="微软雅黑" w:hAnsi="微软雅黑" w:cs="微软雅黑" w:hint="eastAsia"/>
          <w:noProof/>
          <w:spacing w:val="7"/>
          <w:lang w:eastAsia="zh-CN"/>
        </w:rPr>
      </w:pPr>
      <w:r>
        <w:rPr>
          <w:noProof/>
        </w:rPr>
        <w:drawing>
          <wp:inline distT="0" distB="0" distL="0" distR="0" wp14:anchorId="102487B0" wp14:editId="403F868E">
            <wp:extent cx="5276850" cy="1695450"/>
            <wp:effectExtent l="0" t="0" r="0" b="0"/>
            <wp:docPr id="12451740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6850" cy="169545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w:t>
      </w:r>
      <w:proofErr w:type="gramStart"/>
      <w:r>
        <w:rPr>
          <w:rFonts w:ascii="微软雅黑" w:eastAsia="微软雅黑" w:hAnsi="微软雅黑" w:cs="微软雅黑"/>
          <w:color w:val="898989"/>
          <w:spacing w:val="3"/>
          <w:sz w:val="18"/>
          <w:szCs w:val="18"/>
          <w:lang w:eastAsia="zh-CN"/>
        </w:rPr>
        <w:t>均相信</w:t>
      </w:r>
      <w:proofErr w:type="gramEnd"/>
      <w:r>
        <w:rPr>
          <w:rFonts w:ascii="微软雅黑" w:eastAsia="微软雅黑" w:hAnsi="微软雅黑" w:cs="微软雅黑"/>
          <w:color w:val="898989"/>
          <w:spacing w:val="3"/>
          <w:sz w:val="18"/>
          <w:szCs w:val="18"/>
          <w:lang w:eastAsia="zh-CN"/>
        </w:rPr>
        <w:t>可靠及准确</w:t>
      </w:r>
      <w:r>
        <w:rPr>
          <w:rFonts w:ascii="微软雅黑" w:eastAsia="微软雅黑" w:hAnsi="微软雅黑" w:cs="微软雅黑"/>
          <w:color w:val="898989"/>
          <w:spacing w:val="2"/>
          <w:sz w:val="18"/>
          <w:szCs w:val="18"/>
          <w:lang w:eastAsia="zh-CN"/>
        </w:rPr>
        <w:t>，但本公司并不对</w:t>
      </w:r>
      <w:proofErr w:type="gramStart"/>
      <w:r>
        <w:rPr>
          <w:rFonts w:ascii="微软雅黑" w:eastAsia="微软雅黑" w:hAnsi="微软雅黑" w:cs="微软雅黑"/>
          <w:color w:val="898989"/>
          <w:spacing w:val="2"/>
          <w:sz w:val="18"/>
          <w:szCs w:val="18"/>
          <w:lang w:eastAsia="zh-CN"/>
        </w:rPr>
        <w:t>各分析</w:t>
      </w:r>
      <w:proofErr w:type="gramEnd"/>
      <w:r>
        <w:rPr>
          <w:rFonts w:ascii="微软雅黑" w:eastAsia="微软雅黑" w:hAnsi="微软雅黑" w:cs="微软雅黑"/>
          <w:color w:val="898989"/>
          <w:spacing w:val="2"/>
          <w:sz w:val="18"/>
          <w:szCs w:val="18"/>
          <w:lang w:eastAsia="zh-CN"/>
        </w:rPr>
        <w:t>或有关资料之可</w:t>
      </w:r>
      <w:r>
        <w:rPr>
          <w:rFonts w:ascii="微软雅黑" w:eastAsia="微软雅黑" w:hAnsi="微软雅黑" w:cs="微软雅黑"/>
          <w:color w:val="898989"/>
          <w:spacing w:val="3"/>
          <w:sz w:val="18"/>
          <w:szCs w:val="18"/>
          <w:lang w:eastAsia="zh-CN"/>
        </w:rPr>
        <w:t>靠性及准确性</w:t>
      </w:r>
      <w:proofErr w:type="gramStart"/>
      <w:r>
        <w:rPr>
          <w:rFonts w:ascii="微软雅黑" w:eastAsia="微软雅黑" w:hAnsi="微软雅黑" w:cs="微软雅黑"/>
          <w:color w:val="898989"/>
          <w:spacing w:val="3"/>
          <w:sz w:val="18"/>
          <w:szCs w:val="18"/>
          <w:lang w:eastAsia="zh-CN"/>
        </w:rPr>
        <w:t>作出</w:t>
      </w:r>
      <w:proofErr w:type="gramEnd"/>
      <w:r>
        <w:rPr>
          <w:rFonts w:ascii="微软雅黑" w:eastAsia="微软雅黑" w:hAnsi="微软雅黑" w:cs="微软雅黑"/>
          <w:color w:val="898989"/>
          <w:spacing w:val="3"/>
          <w:sz w:val="18"/>
          <w:szCs w:val="18"/>
          <w:lang w:eastAsia="zh-CN"/>
        </w:rPr>
        <w:t>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w:t>
      </w:r>
      <w:proofErr w:type="gramStart"/>
      <w:r>
        <w:rPr>
          <w:rFonts w:ascii="微软雅黑" w:eastAsia="微软雅黑" w:hAnsi="微软雅黑" w:cs="微软雅黑"/>
          <w:color w:val="898989"/>
          <w:spacing w:val="3"/>
          <w:sz w:val="18"/>
          <w:szCs w:val="18"/>
          <w:lang w:eastAsia="zh-CN"/>
        </w:rPr>
        <w:t>图</w:t>
      </w:r>
      <w:r>
        <w:rPr>
          <w:rFonts w:ascii="微软雅黑" w:eastAsia="微软雅黑" w:hAnsi="微软雅黑" w:cs="微软雅黑"/>
          <w:color w:val="898989"/>
          <w:spacing w:val="2"/>
          <w:sz w:val="18"/>
          <w:szCs w:val="18"/>
          <w:lang w:eastAsia="zh-CN"/>
        </w:rPr>
        <w:t>构成</w:t>
      </w:r>
      <w:proofErr w:type="gramEnd"/>
      <w:r>
        <w:rPr>
          <w:rFonts w:ascii="微软雅黑" w:eastAsia="微软雅黑" w:hAnsi="微软雅黑" w:cs="微软雅黑"/>
          <w:color w:val="898989"/>
          <w:spacing w:val="2"/>
          <w:sz w:val="18"/>
          <w:szCs w:val="18"/>
          <w:lang w:eastAsia="zh-CN"/>
        </w:rPr>
        <w:t>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w:t>
      </w:r>
      <w:proofErr w:type="gramStart"/>
      <w:r>
        <w:rPr>
          <w:rFonts w:ascii="微软雅黑" w:eastAsia="微软雅黑" w:hAnsi="微软雅黑" w:cs="微软雅黑"/>
          <w:color w:val="898989"/>
          <w:spacing w:val="2"/>
          <w:sz w:val="18"/>
          <w:szCs w:val="18"/>
          <w:lang w:eastAsia="zh-CN"/>
        </w:rPr>
        <w:t>作出</w:t>
      </w:r>
      <w:proofErr w:type="gramEnd"/>
      <w:r>
        <w:rPr>
          <w:rFonts w:ascii="微软雅黑" w:eastAsia="微软雅黑" w:hAnsi="微软雅黑" w:cs="微软雅黑"/>
          <w:color w:val="898989"/>
          <w:spacing w:val="2"/>
          <w:sz w:val="18"/>
          <w:szCs w:val="18"/>
          <w:lang w:eastAsia="zh-CN"/>
        </w:rPr>
        <w:t>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02F1F" w14:textId="77777777" w:rsidR="006671FF" w:rsidRDefault="006671FF">
      <w:pPr>
        <w:ind w:right="210" w:firstLine="420"/>
      </w:pPr>
      <w:r>
        <w:separator/>
      </w:r>
    </w:p>
  </w:endnote>
  <w:endnote w:type="continuationSeparator" w:id="0">
    <w:p w14:paraId="2520DD0E" w14:textId="77777777" w:rsidR="006671FF" w:rsidRDefault="006671FF">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B69F1" w14:textId="77777777" w:rsidR="006671FF" w:rsidRDefault="006671FF">
      <w:pPr>
        <w:ind w:right="210" w:firstLine="420"/>
      </w:pPr>
      <w:r>
        <w:separator/>
      </w:r>
    </w:p>
  </w:footnote>
  <w:footnote w:type="continuationSeparator" w:id="0">
    <w:p w14:paraId="6A87F3AD" w14:textId="77777777" w:rsidR="006671FF" w:rsidRDefault="006671FF">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684988483"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D87"/>
    <w:rsid w:val="000159F9"/>
    <w:rsid w:val="0001628C"/>
    <w:rsid w:val="00017EDD"/>
    <w:rsid w:val="000204B8"/>
    <w:rsid w:val="00020747"/>
    <w:rsid w:val="00020CFA"/>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43C7"/>
    <w:rsid w:val="000A4DC4"/>
    <w:rsid w:val="000A785F"/>
    <w:rsid w:val="000B0395"/>
    <w:rsid w:val="000B0AE3"/>
    <w:rsid w:val="000B2865"/>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107B"/>
    <w:rsid w:val="000E1CD6"/>
    <w:rsid w:val="000E37BF"/>
    <w:rsid w:val="000F04E9"/>
    <w:rsid w:val="000F2E96"/>
    <w:rsid w:val="000F434E"/>
    <w:rsid w:val="000F5752"/>
    <w:rsid w:val="000F5A15"/>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4937"/>
    <w:rsid w:val="005F4A09"/>
    <w:rsid w:val="005F5D93"/>
    <w:rsid w:val="005F62DA"/>
    <w:rsid w:val="005F7926"/>
    <w:rsid w:val="005F7A56"/>
    <w:rsid w:val="005F7D1A"/>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36EA"/>
    <w:rsid w:val="00653A5D"/>
    <w:rsid w:val="00653C3C"/>
    <w:rsid w:val="00654E6B"/>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6FCE"/>
    <w:rsid w:val="007F08A9"/>
    <w:rsid w:val="007F17B0"/>
    <w:rsid w:val="007F1B3F"/>
    <w:rsid w:val="007F283F"/>
    <w:rsid w:val="007F3EAB"/>
    <w:rsid w:val="007F6813"/>
    <w:rsid w:val="00800C12"/>
    <w:rsid w:val="00800F46"/>
    <w:rsid w:val="00801B68"/>
    <w:rsid w:val="00803093"/>
    <w:rsid w:val="00803E98"/>
    <w:rsid w:val="0080461F"/>
    <w:rsid w:val="00805D32"/>
    <w:rsid w:val="00807BA2"/>
    <w:rsid w:val="00810407"/>
    <w:rsid w:val="008118B4"/>
    <w:rsid w:val="0081211E"/>
    <w:rsid w:val="00812277"/>
    <w:rsid w:val="00812AAB"/>
    <w:rsid w:val="00812B1A"/>
    <w:rsid w:val="00813E5C"/>
    <w:rsid w:val="0081401A"/>
    <w:rsid w:val="0081486F"/>
    <w:rsid w:val="00814EE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49CC"/>
    <w:rsid w:val="00864EDB"/>
    <w:rsid w:val="008656C5"/>
    <w:rsid w:val="00865974"/>
    <w:rsid w:val="00865A5F"/>
    <w:rsid w:val="0086670B"/>
    <w:rsid w:val="008667F2"/>
    <w:rsid w:val="00866E7E"/>
    <w:rsid w:val="00867981"/>
    <w:rsid w:val="00870367"/>
    <w:rsid w:val="008708FE"/>
    <w:rsid w:val="008709D6"/>
    <w:rsid w:val="00871619"/>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A40"/>
    <w:rsid w:val="00C1433E"/>
    <w:rsid w:val="00C150D9"/>
    <w:rsid w:val="00C15DB8"/>
    <w:rsid w:val="00C1693C"/>
    <w:rsid w:val="00C169A2"/>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519D"/>
    <w:rsid w:val="00CA6717"/>
    <w:rsid w:val="00CA6EA5"/>
    <w:rsid w:val="00CA7281"/>
    <w:rsid w:val="00CA74C6"/>
    <w:rsid w:val="00CA7EEA"/>
    <w:rsid w:val="00CB0281"/>
    <w:rsid w:val="00CB0B1E"/>
    <w:rsid w:val="00CB0D7B"/>
    <w:rsid w:val="00CB1480"/>
    <w:rsid w:val="00CB21C8"/>
    <w:rsid w:val="00CB2E6B"/>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56BC"/>
    <w:rsid w:val="00E85F1D"/>
    <w:rsid w:val="00E86954"/>
    <w:rsid w:val="00E906CA"/>
    <w:rsid w:val="00E90B87"/>
    <w:rsid w:val="00E90E28"/>
    <w:rsid w:val="00E91FCB"/>
    <w:rsid w:val="00E930B0"/>
    <w:rsid w:val="00E942DC"/>
    <w:rsid w:val="00E94E71"/>
    <w:rsid w:val="00E96B67"/>
    <w:rsid w:val="00EA0E7E"/>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734</Words>
  <Characters>4184</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2026-06-30T01:34:00Z</dcterms:created>
  <dcterms:modified xsi:type="dcterms:W3CDTF">2026-06-30T01:34:00Z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