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447940D0"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147FE4">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515C3465" w:rsidR="007B3E0B" w:rsidRDefault="00147FE4"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014988">
        <w:rPr>
          <w:rFonts w:ascii="微软雅黑" w:eastAsia="微软雅黑" w:hAnsi="微软雅黑" w:cs="微软雅黑"/>
          <w:spacing w:val="12"/>
          <w:lang w:eastAsia="zh-CN"/>
        </w:rPr>
        <w:t>美</w:t>
      </w:r>
      <w:r w:rsidRPr="00147FE4">
        <w:rPr>
          <w:rFonts w:ascii="微软雅黑" w:eastAsia="微软雅黑" w:hAnsi="微软雅黑" w:cs="微软雅黑"/>
          <w:spacing w:val="12"/>
          <w:lang w:eastAsia="zh-CN"/>
        </w:rPr>
        <w:t>国三大股指收盘涨跌不一，道指跌1.09%报52348.39点，</w:t>
      </w:r>
      <w:proofErr w:type="gramStart"/>
      <w:r w:rsidRPr="00147FE4">
        <w:rPr>
          <w:rFonts w:ascii="微软雅黑" w:eastAsia="微软雅黑" w:hAnsi="微软雅黑" w:cs="微软雅黑"/>
          <w:spacing w:val="12"/>
          <w:lang w:eastAsia="zh-CN"/>
        </w:rPr>
        <w:t>标普</w:t>
      </w:r>
      <w:proofErr w:type="gramEnd"/>
      <w:r w:rsidRPr="00147FE4">
        <w:rPr>
          <w:rFonts w:ascii="微软雅黑" w:eastAsia="微软雅黑" w:hAnsi="微软雅黑" w:cs="微软雅黑"/>
          <w:spacing w:val="12"/>
          <w:lang w:eastAsia="zh-CN"/>
        </w:rPr>
        <w:t>500指数跌0.28%报7482.71点，</w:t>
      </w:r>
      <w:proofErr w:type="gramStart"/>
      <w:r w:rsidRPr="00147FE4">
        <w:rPr>
          <w:rFonts w:ascii="微软雅黑" w:eastAsia="微软雅黑" w:hAnsi="微软雅黑" w:cs="微软雅黑"/>
          <w:spacing w:val="12"/>
          <w:lang w:eastAsia="zh-CN"/>
        </w:rPr>
        <w:t>纳指涨</w:t>
      </w:r>
      <w:proofErr w:type="gramEnd"/>
      <w:r w:rsidRPr="00147FE4">
        <w:rPr>
          <w:rFonts w:ascii="微软雅黑" w:eastAsia="微软雅黑" w:hAnsi="微软雅黑" w:cs="微软雅黑"/>
          <w:spacing w:val="12"/>
          <w:lang w:eastAsia="zh-CN"/>
        </w:rPr>
        <w:t>0.2%报25870.65点。美元指数跌0.02%报101.07，非美货币多数上涨，欧元兑美元涨0.05%报1.1417，英镑兑美元涨0.23%报1.3390，澳元兑美元涨0.03%报0.6931，美元兑日元涨0.32%报162.6370，美元兑加元跌0.18%报1.4174，美元兑瑞郎持平报0.8085，离岸人民币对美元跌28个基点报6.8064。国际贵金属期货普遍收跌，COMEX黄金期货跌1.70%报4086.60美元/盎司，COMEX白银期货跌4.30%报58.69美元/盎司。</w:t>
      </w:r>
      <w:r w:rsidR="00900347" w:rsidRPr="00147FE4">
        <w:rPr>
          <w:rFonts w:ascii="微软雅黑" w:eastAsia="微软雅黑" w:hAnsi="微软雅黑" w:cs="微软雅黑" w:hint="eastAsia"/>
          <w:spacing w:val="12"/>
          <w:lang w:eastAsia="zh-CN"/>
        </w:rPr>
        <w:t>I</w:t>
      </w:r>
      <w:r w:rsidR="007B3E0B" w:rsidRPr="00147FE4">
        <w:rPr>
          <w:rFonts w:ascii="微软雅黑" w:eastAsia="微软雅黑" w:hAnsi="微软雅黑" w:cs="微软雅黑"/>
          <w:spacing w:val="12"/>
          <w:lang w:eastAsia="zh-CN"/>
        </w:rPr>
        <w:t>CE</w:t>
      </w:r>
      <w:r w:rsidR="007B3E0B" w:rsidRPr="00147FE4">
        <w:rPr>
          <w:rFonts w:ascii="微软雅黑" w:eastAsia="微软雅黑" w:hAnsi="微软雅黑" w:cs="微软雅黑" w:hint="eastAsia"/>
          <w:spacing w:val="12"/>
          <w:lang w:eastAsia="zh-CN"/>
        </w:rPr>
        <w:t>原糖主力合约</w:t>
      </w:r>
      <w:r w:rsidR="00863E18" w:rsidRPr="00147FE4">
        <w:rPr>
          <w:rFonts w:ascii="微软雅黑" w:eastAsia="微软雅黑" w:hAnsi="微软雅黑" w:cs="微软雅黑" w:hint="eastAsia"/>
          <w:spacing w:val="12"/>
          <w:lang w:eastAsia="zh-CN"/>
        </w:rPr>
        <w:t>跌</w:t>
      </w:r>
      <w:r w:rsidRPr="00147FE4">
        <w:rPr>
          <w:rFonts w:ascii="微软雅黑" w:eastAsia="微软雅黑" w:hAnsi="微软雅黑" w:cs="微软雅黑" w:hint="eastAsia"/>
          <w:spacing w:val="12"/>
          <w:lang w:eastAsia="zh-CN"/>
        </w:rPr>
        <w:t>0.13</w:t>
      </w:r>
      <w:r w:rsidR="007B3E0B" w:rsidRPr="00147FE4">
        <w:rPr>
          <w:rFonts w:ascii="微软雅黑" w:eastAsia="微软雅黑" w:hAnsi="微软雅黑" w:cs="微软雅黑"/>
          <w:spacing w:val="12"/>
          <w:lang w:eastAsia="zh-CN"/>
        </w:rPr>
        <w:t>%</w:t>
      </w:r>
      <w:r w:rsidR="007B3E0B" w:rsidRPr="00147FE4">
        <w:rPr>
          <w:rFonts w:ascii="微软雅黑" w:eastAsia="微软雅黑" w:hAnsi="微软雅黑" w:cs="微软雅黑" w:hint="eastAsia"/>
          <w:spacing w:val="12"/>
          <w:lang w:eastAsia="zh-CN"/>
        </w:rPr>
        <w:t>报</w:t>
      </w:r>
      <w:r w:rsidR="008D5F7A" w:rsidRPr="00147FE4">
        <w:rPr>
          <w:rFonts w:ascii="微软雅黑" w:eastAsia="微软雅黑" w:hAnsi="微软雅黑" w:cs="微软雅黑" w:hint="eastAsia"/>
          <w:spacing w:val="12"/>
          <w:lang w:eastAsia="zh-CN"/>
        </w:rPr>
        <w:t>1</w:t>
      </w:r>
      <w:r w:rsidR="00014988" w:rsidRPr="00147FE4">
        <w:rPr>
          <w:rFonts w:ascii="微软雅黑" w:eastAsia="微软雅黑" w:hAnsi="微软雅黑" w:cs="微软雅黑" w:hint="eastAsia"/>
          <w:spacing w:val="12"/>
          <w:lang w:eastAsia="zh-CN"/>
        </w:rPr>
        <w:t>5.1</w:t>
      </w:r>
      <w:r w:rsidRPr="00147FE4">
        <w:rPr>
          <w:rFonts w:ascii="微软雅黑" w:eastAsia="微软雅黑" w:hAnsi="微软雅黑" w:cs="微软雅黑" w:hint="eastAsia"/>
          <w:spacing w:val="12"/>
          <w:lang w:eastAsia="zh-CN"/>
        </w:rPr>
        <w:t>2</w:t>
      </w:r>
      <w:r w:rsidR="007B3E0B" w:rsidRPr="00147FE4">
        <w:rPr>
          <w:rFonts w:ascii="微软雅黑" w:eastAsia="微软雅黑" w:hAnsi="微软雅黑" w:cs="微软雅黑" w:hint="eastAsia"/>
          <w:spacing w:val="12"/>
          <w:lang w:eastAsia="zh-CN"/>
        </w:rPr>
        <w:t>美分</w:t>
      </w:r>
      <w:r w:rsidR="007B3E0B" w:rsidRPr="00147FE4">
        <w:rPr>
          <w:rFonts w:ascii="微软雅黑" w:eastAsia="微软雅黑" w:hAnsi="微软雅黑" w:cs="微软雅黑"/>
          <w:spacing w:val="12"/>
          <w:lang w:eastAsia="zh-CN"/>
        </w:rPr>
        <w:t>/</w:t>
      </w:r>
      <w:r w:rsidR="007B3E0B" w:rsidRPr="00147FE4">
        <w:rPr>
          <w:rFonts w:ascii="微软雅黑" w:eastAsia="微软雅黑" w:hAnsi="微软雅黑" w:cs="微软雅黑" w:hint="eastAsia"/>
          <w:spacing w:val="12"/>
          <w:lang w:eastAsia="zh-CN"/>
        </w:rPr>
        <w:t>磅，</w:t>
      </w:r>
      <w:r w:rsidR="007B3E0B" w:rsidRPr="00147FE4">
        <w:rPr>
          <w:rFonts w:ascii="微软雅黑" w:eastAsia="微软雅黑" w:hAnsi="微软雅黑" w:cs="微软雅黑"/>
          <w:spacing w:val="12"/>
          <w:lang w:eastAsia="zh-CN"/>
        </w:rPr>
        <w:t>ICE</w:t>
      </w:r>
      <w:r w:rsidR="007B3E0B" w:rsidRPr="00147FE4">
        <w:rPr>
          <w:rFonts w:ascii="微软雅黑" w:eastAsia="微软雅黑" w:hAnsi="微软雅黑" w:cs="微软雅黑" w:hint="eastAsia"/>
          <w:spacing w:val="12"/>
          <w:lang w:eastAsia="zh-CN"/>
        </w:rPr>
        <w:t>棉花主力合约</w:t>
      </w:r>
      <w:r w:rsidRPr="00147FE4">
        <w:rPr>
          <w:rFonts w:ascii="微软雅黑" w:eastAsia="微软雅黑" w:hAnsi="微软雅黑" w:cs="微软雅黑" w:hint="eastAsia"/>
          <w:spacing w:val="12"/>
          <w:lang w:eastAsia="zh-CN"/>
        </w:rPr>
        <w:t>跌0.8</w:t>
      </w:r>
      <w:r>
        <w:rPr>
          <w:rFonts w:ascii="微软雅黑" w:eastAsia="微软雅黑" w:hAnsi="微软雅黑" w:cs="微软雅黑" w:hint="eastAsia"/>
          <w:spacing w:val="12"/>
          <w:lang w:eastAsia="zh-CN"/>
        </w:rPr>
        <w:t>7</w:t>
      </w:r>
      <w:r w:rsidR="007B3E0B" w:rsidRPr="00900347">
        <w:rPr>
          <w:rFonts w:ascii="微软雅黑" w:eastAsia="微软雅黑" w:hAnsi="微软雅黑" w:cs="微软雅黑"/>
          <w:spacing w:val="12"/>
          <w:lang w:eastAsia="zh-CN"/>
        </w:rPr>
        <w:t>%</w:t>
      </w:r>
      <w:r w:rsidR="007B3E0B" w:rsidRPr="00900347">
        <w:rPr>
          <w:rFonts w:ascii="微软雅黑" w:eastAsia="微软雅黑" w:hAnsi="微软雅黑" w:cs="微软雅黑" w:hint="eastAsia"/>
          <w:spacing w:val="12"/>
          <w:lang w:eastAsia="zh-CN"/>
        </w:rPr>
        <w:t>报</w:t>
      </w:r>
      <w:r w:rsidR="00014988">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0.58</w:t>
      </w:r>
      <w:r w:rsidR="00E43653" w:rsidRPr="00CB3D26">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6B28EC10" w:rsidR="00557736" w:rsidRPr="0022448B" w:rsidRDefault="00147FE4"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37BE9CA" wp14:editId="1B020A80">
            <wp:extent cx="5973409" cy="3936668"/>
            <wp:effectExtent l="0" t="0" r="8890" b="6985"/>
            <wp:docPr id="10412083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85418" cy="3944582"/>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773616EF" w:rsidR="00863E18" w:rsidRPr="00AB5B05"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AB5B05" w:rsidRPr="00AB5B05">
        <w:rPr>
          <w:rFonts w:ascii="微软雅黑" w:eastAsia="微软雅黑" w:hAnsi="微软雅黑" w:cs="微软雅黑"/>
          <w:color w:val="auto"/>
          <w:spacing w:val="4"/>
          <w:lang w:eastAsia="zh-CN"/>
        </w:rPr>
        <w:t>美军中央司令部表示，美军开始对伊朗目标实施进一步打击。美国总统特朗普表示，美伊谅解备忘录“已终结”，可能恢复对伊朗海上封锁，但封锁“只针对伊朗”。特朗普再次威胁打击伊朗重要民用基础设施，并称可能控制哈尔克岛，但随后又表示自己不认为会再度爆发与伊朗战争。伊朗表示，任何冒险行为都将遭到立即回应，任何为美军事行动提供支持的来源都将是合法打击目标。只要伊朗面临任何新的袭击，都将关闭霍尔木兹海峡。</w:t>
      </w:r>
      <w:r w:rsidRPr="00AB5B05">
        <w:rPr>
          <w:rFonts w:ascii="微软雅黑" w:eastAsia="微软雅黑" w:hAnsi="微软雅黑" w:cs="微软雅黑" w:hint="eastAsia"/>
          <w:color w:val="auto"/>
          <w:spacing w:val="4"/>
          <w:lang w:eastAsia="zh-CN"/>
        </w:rPr>
        <w:t>】</w:t>
      </w:r>
    </w:p>
    <w:p w14:paraId="5F839681" w14:textId="3F9B7D1A" w:rsidR="00D9111F" w:rsidRPr="00AB5B05" w:rsidRDefault="00D9111F"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AB5B05">
        <w:rPr>
          <w:rFonts w:ascii="微软雅黑" w:eastAsia="微软雅黑" w:hAnsi="微软雅黑" w:cs="微软雅黑" w:hint="eastAsia"/>
          <w:color w:val="auto"/>
          <w:spacing w:val="4"/>
          <w:lang w:eastAsia="zh-CN"/>
        </w:rPr>
        <w:t>【</w:t>
      </w:r>
      <w:r w:rsidR="00AB5B05" w:rsidRPr="00AB5B05">
        <w:rPr>
          <w:rFonts w:ascii="微软雅黑" w:eastAsia="微软雅黑" w:hAnsi="微软雅黑" w:cs="微软雅黑"/>
          <w:color w:val="auto"/>
          <w:spacing w:val="4"/>
          <w:lang w:eastAsia="zh-CN"/>
        </w:rPr>
        <w:t>消息人士称，伊朗武装部队导弹部队和无人机部队将对美军在中东地区的基地发动大规模打击。由于受到美方威胁，伊朗方面已正式暂停与美国就最终解决方案进行的谈判。</w:t>
      </w:r>
      <w:r w:rsidRPr="00AB5B05">
        <w:rPr>
          <w:rFonts w:ascii="微软雅黑" w:eastAsia="微软雅黑" w:hAnsi="微软雅黑" w:cs="微软雅黑" w:hint="eastAsia"/>
          <w:color w:val="auto"/>
          <w:spacing w:val="4"/>
          <w:lang w:eastAsia="zh-CN"/>
        </w:rPr>
        <w:t>】</w:t>
      </w:r>
    </w:p>
    <w:p w14:paraId="34EB28CB" w14:textId="6BFB378A" w:rsidR="00900347" w:rsidRPr="00AB5B05" w:rsidRDefault="00900347" w:rsidP="00D9111F">
      <w:pPr>
        <w:spacing w:before="102" w:line="257" w:lineRule="auto"/>
        <w:ind w:right="210" w:firstLine="436"/>
        <w:jc w:val="both"/>
        <w:rPr>
          <w:rFonts w:ascii="微软雅黑" w:eastAsia="微软雅黑" w:hAnsi="微软雅黑" w:cs="微软雅黑" w:hint="eastAsia"/>
          <w:color w:val="auto"/>
          <w:spacing w:val="4"/>
          <w:lang w:eastAsia="zh-CN"/>
        </w:rPr>
      </w:pPr>
      <w:r w:rsidRPr="00AB5B05">
        <w:rPr>
          <w:rFonts w:ascii="微软雅黑" w:eastAsia="微软雅黑" w:hAnsi="微软雅黑" w:cs="微软雅黑" w:hint="eastAsia"/>
          <w:color w:val="auto"/>
          <w:spacing w:val="4"/>
          <w:lang w:eastAsia="zh-CN"/>
        </w:rPr>
        <w:lastRenderedPageBreak/>
        <w:t>【</w:t>
      </w:r>
      <w:r w:rsidR="00AB5B05" w:rsidRPr="00AB5B05">
        <w:rPr>
          <w:rFonts w:ascii="微软雅黑" w:eastAsia="微软雅黑" w:hAnsi="微软雅黑" w:cs="微软雅黑"/>
          <w:color w:val="auto"/>
          <w:spacing w:val="4"/>
          <w:lang w:eastAsia="zh-CN"/>
        </w:rPr>
        <w:t>受中东地区硝烟再起影响，霍尔木兹海峡油轮通行已“基本停止”。国际海事组织秘书长多明格斯谴责近期发生在霍尔木兹海峡海域针对商船的袭击事件，称仍有数百艘船舶和约6000名海员因安全原因滞留波斯湾。他指出，在海员安全无法得到保障之前，应避免安排船舶通过霍尔木兹海峡。</w:t>
      </w:r>
      <w:r w:rsidRPr="00AB5B05">
        <w:rPr>
          <w:rFonts w:ascii="微软雅黑" w:eastAsia="微软雅黑" w:hAnsi="微软雅黑" w:cs="微软雅黑" w:hint="eastAsia"/>
          <w:color w:val="auto"/>
          <w:spacing w:val="4"/>
          <w:lang w:eastAsia="zh-CN"/>
        </w:rPr>
        <w:t>】</w:t>
      </w:r>
    </w:p>
    <w:p w14:paraId="36CFDA55" w14:textId="6153D73E" w:rsidR="008D27C1" w:rsidRPr="00AB5B05" w:rsidRDefault="008D27C1" w:rsidP="008D27C1">
      <w:pPr>
        <w:spacing w:before="102" w:line="257" w:lineRule="auto"/>
        <w:ind w:right="210" w:firstLine="436"/>
        <w:jc w:val="both"/>
        <w:rPr>
          <w:rFonts w:ascii="微软雅黑" w:eastAsia="微软雅黑" w:hAnsi="微软雅黑" w:cs="微软雅黑" w:hint="eastAsia"/>
          <w:color w:val="auto"/>
          <w:spacing w:val="4"/>
          <w:lang w:eastAsia="zh-CN"/>
        </w:rPr>
      </w:pPr>
      <w:r w:rsidRPr="00AB5B05">
        <w:rPr>
          <w:rFonts w:ascii="微软雅黑" w:eastAsia="微软雅黑" w:hAnsi="微软雅黑" w:cs="微软雅黑" w:hint="eastAsia"/>
          <w:color w:val="auto"/>
          <w:spacing w:val="4"/>
          <w:lang w:eastAsia="zh-CN"/>
        </w:rPr>
        <w:t>【</w:t>
      </w:r>
      <w:r w:rsidR="00AB5B05" w:rsidRPr="00AB5B05">
        <w:rPr>
          <w:rFonts w:ascii="微软雅黑" w:eastAsia="微软雅黑" w:hAnsi="微软雅黑" w:cs="微软雅黑"/>
          <w:color w:val="auto"/>
          <w:spacing w:val="4"/>
          <w:lang w:eastAsia="zh-CN"/>
        </w:rPr>
        <w:t>美联储6月纪要显示，尽管决策者们一致同意维持利率不变，但政策分歧凸显。通胀上行风险突出，纪要移除降息指引，明确若物价持续高企存在加息空间；同时保留降息可能，强调若通胀回落或经济转弱将转向宽松。未来政策完全依赖数据，通胀、就业及地缘局势将成为决定加息或降息的关键变量，货币政策进入双向博弈的观望期。</w:t>
      </w:r>
      <w:r w:rsidRPr="00AB5B05">
        <w:rPr>
          <w:rFonts w:ascii="微软雅黑" w:eastAsia="微软雅黑" w:hAnsi="微软雅黑" w:cs="微软雅黑" w:hint="eastAsia"/>
          <w:color w:val="auto"/>
          <w:spacing w:val="4"/>
          <w:lang w:eastAsia="zh-CN"/>
        </w:rPr>
        <w:t>】</w:t>
      </w:r>
    </w:p>
    <w:p w14:paraId="11EAC7BB" w14:textId="6B0DCCE5" w:rsidR="00014988" w:rsidRPr="00014988" w:rsidRDefault="00014988" w:rsidP="008D27C1">
      <w:pPr>
        <w:spacing w:before="102" w:line="257" w:lineRule="auto"/>
        <w:ind w:right="210" w:firstLine="436"/>
        <w:jc w:val="both"/>
        <w:rPr>
          <w:rFonts w:ascii="微软雅黑" w:eastAsia="微软雅黑" w:hAnsi="微软雅黑" w:cs="微软雅黑" w:hint="eastAsia"/>
          <w:color w:val="auto"/>
          <w:spacing w:val="4"/>
          <w:lang w:eastAsia="zh-CN"/>
        </w:rPr>
      </w:pPr>
      <w:r w:rsidRPr="00AB5B05">
        <w:rPr>
          <w:rFonts w:ascii="微软雅黑" w:eastAsia="微软雅黑" w:hAnsi="微软雅黑" w:cs="微软雅黑" w:hint="eastAsia"/>
          <w:color w:val="auto"/>
          <w:spacing w:val="4"/>
          <w:lang w:eastAsia="zh-CN"/>
        </w:rPr>
        <w:t>【</w:t>
      </w:r>
      <w:r w:rsidR="00AB5B05" w:rsidRPr="00AB5B05">
        <w:rPr>
          <w:rFonts w:ascii="微软雅黑" w:eastAsia="微软雅黑" w:hAnsi="微软雅黑" w:cs="微软雅黑"/>
          <w:color w:val="auto"/>
          <w:spacing w:val="4"/>
          <w:lang w:eastAsia="zh-CN"/>
        </w:rPr>
        <w:t>国际货币基金组织（IMF）更新《世界经济展望报告》，将2026年世界经济增长预期下调0.1个百分点至3%，以反映中东战事带来的冲击。这是IMF继今年4月下调0.2个百分点后，再次下调今年世界经济增长预期。报告预计，今年全球整体通胀率将从去年的4.1%升至4.7%。</w:t>
      </w:r>
      <w:r w:rsidRPr="00014988">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AB5B05" w:rsidRPr="00491C4D" w14:paraId="5B8E297F" w14:textId="77777777" w:rsidTr="009119B8">
        <w:trPr>
          <w:trHeight w:val="652"/>
        </w:trPr>
        <w:tc>
          <w:tcPr>
            <w:tcW w:w="1701" w:type="dxa"/>
          </w:tcPr>
          <w:bookmarkEnd w:id="0"/>
          <w:p w14:paraId="4567D2AE" w14:textId="55DB4613"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2026/7/9</w:t>
            </w:r>
          </w:p>
        </w:tc>
        <w:tc>
          <w:tcPr>
            <w:tcW w:w="1314" w:type="dxa"/>
          </w:tcPr>
          <w:p w14:paraId="3B0A4895" w14:textId="4CA67321"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09:30</w:t>
            </w:r>
          </w:p>
        </w:tc>
        <w:tc>
          <w:tcPr>
            <w:tcW w:w="6344" w:type="dxa"/>
          </w:tcPr>
          <w:p w14:paraId="148F6123" w14:textId="0018EB8F"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中国 6 月 PPI、CPI</w:t>
            </w:r>
          </w:p>
        </w:tc>
      </w:tr>
      <w:tr w:rsidR="00AB5B05" w:rsidRPr="00491C4D" w14:paraId="11459514" w14:textId="77777777" w:rsidTr="00257AE9">
        <w:trPr>
          <w:trHeight w:val="620"/>
        </w:trPr>
        <w:tc>
          <w:tcPr>
            <w:tcW w:w="1701" w:type="dxa"/>
            <w:shd w:val="clear" w:color="auto" w:fill="DAE3F4" w:themeFill="accent1" w:themeFillTint="33"/>
          </w:tcPr>
          <w:p w14:paraId="336E77A1" w14:textId="4E11DD4D"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2026/7/9</w:t>
            </w:r>
          </w:p>
        </w:tc>
        <w:tc>
          <w:tcPr>
            <w:tcW w:w="1314" w:type="dxa"/>
            <w:shd w:val="clear" w:color="auto" w:fill="DAE3F4" w:themeFill="accent1" w:themeFillTint="33"/>
          </w:tcPr>
          <w:p w14:paraId="2FF031BB" w14:textId="7F80CF2A"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19:30</w:t>
            </w:r>
          </w:p>
        </w:tc>
        <w:tc>
          <w:tcPr>
            <w:tcW w:w="6344" w:type="dxa"/>
            <w:shd w:val="clear" w:color="auto" w:fill="DAE3F4" w:themeFill="accent1" w:themeFillTint="33"/>
          </w:tcPr>
          <w:p w14:paraId="2CB0AF66" w14:textId="45019F0B"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 xml:space="preserve">7 月欧洲央行公布 6 </w:t>
            </w:r>
            <w:proofErr w:type="gramStart"/>
            <w:r w:rsidRPr="00AB5B05">
              <w:rPr>
                <w:rFonts w:ascii="微软雅黑" w:eastAsia="微软雅黑" w:hAnsi="微软雅黑" w:cs="微软雅黑"/>
                <w:b/>
                <w:bCs/>
                <w:spacing w:val="3"/>
                <w:sz w:val="19"/>
                <w:szCs w:val="19"/>
                <w:lang w:eastAsia="zh-CN"/>
              </w:rPr>
              <w:t>月货币</w:t>
            </w:r>
            <w:proofErr w:type="gramEnd"/>
            <w:r w:rsidRPr="00AB5B05">
              <w:rPr>
                <w:rFonts w:ascii="微软雅黑" w:eastAsia="微软雅黑" w:hAnsi="微软雅黑" w:cs="微软雅黑"/>
                <w:b/>
                <w:bCs/>
                <w:spacing w:val="3"/>
                <w:sz w:val="19"/>
                <w:szCs w:val="19"/>
                <w:lang w:eastAsia="zh-CN"/>
              </w:rPr>
              <w:t>政策会议纪要</w:t>
            </w:r>
          </w:p>
        </w:tc>
      </w:tr>
      <w:tr w:rsidR="00AB5B05" w:rsidRPr="00491C4D" w14:paraId="026840DA" w14:textId="77777777" w:rsidTr="00E43653">
        <w:trPr>
          <w:trHeight w:val="620"/>
        </w:trPr>
        <w:tc>
          <w:tcPr>
            <w:tcW w:w="1701" w:type="dxa"/>
          </w:tcPr>
          <w:p w14:paraId="62457B81" w14:textId="728A467B"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2026/7/9</w:t>
            </w:r>
          </w:p>
        </w:tc>
        <w:tc>
          <w:tcPr>
            <w:tcW w:w="1314" w:type="dxa"/>
          </w:tcPr>
          <w:p w14:paraId="1E9FE62C" w14:textId="20F2B0B0"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20:30</w:t>
            </w:r>
          </w:p>
        </w:tc>
        <w:tc>
          <w:tcPr>
            <w:tcW w:w="6344" w:type="dxa"/>
          </w:tcPr>
          <w:p w14:paraId="774DE572" w14:textId="474DE1D6" w:rsidR="00AB5B05" w:rsidRPr="00900347" w:rsidRDefault="00AB5B05" w:rsidP="00AB5B05">
            <w:pPr>
              <w:spacing w:before="230" w:line="191" w:lineRule="auto"/>
              <w:ind w:right="210"/>
              <w:jc w:val="center"/>
              <w:rPr>
                <w:rFonts w:ascii="微软雅黑" w:eastAsia="微软雅黑" w:hAnsi="微软雅黑" w:cs="微软雅黑" w:hint="eastAsia"/>
                <w:b/>
                <w:bCs/>
                <w:spacing w:val="3"/>
                <w:sz w:val="19"/>
                <w:szCs w:val="19"/>
                <w:lang w:eastAsia="zh-CN"/>
              </w:rPr>
            </w:pPr>
            <w:r w:rsidRPr="00AB5B05">
              <w:rPr>
                <w:rFonts w:ascii="微软雅黑" w:eastAsia="微软雅黑" w:hAnsi="微软雅黑" w:cs="微软雅黑"/>
                <w:b/>
                <w:bCs/>
                <w:spacing w:val="3"/>
                <w:sz w:val="19"/>
                <w:szCs w:val="19"/>
                <w:lang w:eastAsia="zh-CN"/>
              </w:rPr>
              <w:t>美国上周初请失业</w:t>
            </w:r>
            <w:proofErr w:type="gramStart"/>
            <w:r w:rsidRPr="00AB5B05">
              <w:rPr>
                <w:rFonts w:ascii="微软雅黑" w:eastAsia="微软雅黑" w:hAnsi="微软雅黑" w:cs="微软雅黑"/>
                <w:b/>
                <w:bCs/>
                <w:spacing w:val="3"/>
                <w:sz w:val="19"/>
                <w:szCs w:val="19"/>
                <w:lang w:eastAsia="zh-CN"/>
              </w:rPr>
              <w:t>金人数</w:t>
            </w:r>
            <w:proofErr w:type="gramEnd"/>
          </w:p>
        </w:tc>
      </w:tr>
    </w:tbl>
    <w:p w14:paraId="61DAEED5" w14:textId="77777777" w:rsidR="00904B93" w:rsidRPr="00653A5D" w:rsidRDefault="00904B93" w:rsidP="006E4A37">
      <w:pPr>
        <w:spacing w:before="102" w:line="257" w:lineRule="auto"/>
        <w:ind w:right="210" w:firstLine="392"/>
        <w:jc w:val="both"/>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4780D51B" w14:textId="77777777" w:rsidR="005F7717" w:rsidRPr="005F7717" w:rsidRDefault="005F7717" w:rsidP="005F7717">
      <w:pPr>
        <w:spacing w:before="103" w:line="256" w:lineRule="auto"/>
        <w:ind w:right="210" w:firstLineChars="200" w:firstLine="448"/>
        <w:rPr>
          <w:rFonts w:ascii="微软雅黑" w:eastAsia="微软雅黑" w:hAnsi="微软雅黑" w:cs="微软雅黑"/>
          <w:spacing w:val="7"/>
          <w:lang w:eastAsia="zh-CN"/>
        </w:rPr>
      </w:pPr>
      <w:r w:rsidRPr="005F7717">
        <w:rPr>
          <w:rFonts w:ascii="微软雅黑" w:eastAsia="微软雅黑" w:hAnsi="微软雅黑" w:cs="微软雅黑" w:hint="eastAsia"/>
          <w:spacing w:val="7"/>
          <w:lang w:eastAsia="zh-CN"/>
        </w:rPr>
        <w:t>隔夜，美元指数跌</w:t>
      </w:r>
      <w:r w:rsidRPr="005F7717">
        <w:rPr>
          <w:rFonts w:ascii="微软雅黑" w:eastAsia="微软雅黑" w:hAnsi="微软雅黑" w:cs="微软雅黑"/>
          <w:spacing w:val="7"/>
          <w:lang w:eastAsia="zh-CN"/>
        </w:rPr>
        <w:t>0.02%</w:t>
      </w:r>
      <w:r w:rsidRPr="005F7717">
        <w:rPr>
          <w:rFonts w:ascii="微软雅黑" w:eastAsia="微软雅黑" w:hAnsi="微软雅黑" w:cs="微软雅黑" w:hint="eastAsia"/>
          <w:spacing w:val="7"/>
          <w:lang w:eastAsia="zh-CN"/>
        </w:rPr>
        <w:t>报</w:t>
      </w:r>
      <w:r w:rsidRPr="005F7717">
        <w:rPr>
          <w:rFonts w:ascii="微软雅黑" w:eastAsia="微软雅黑" w:hAnsi="微软雅黑" w:cs="微软雅黑"/>
          <w:spacing w:val="7"/>
          <w:lang w:eastAsia="zh-CN"/>
        </w:rPr>
        <w:t>101.07</w:t>
      </w:r>
      <w:r w:rsidRPr="005F7717">
        <w:rPr>
          <w:rFonts w:ascii="微软雅黑" w:eastAsia="微软雅黑" w:hAnsi="微软雅黑" w:cs="微软雅黑" w:hint="eastAsia"/>
          <w:spacing w:val="7"/>
          <w:lang w:eastAsia="zh-CN"/>
        </w:rPr>
        <w:t>，非美货币多数上涨，欧元兑美元涨</w:t>
      </w:r>
      <w:r w:rsidRPr="005F7717">
        <w:rPr>
          <w:rFonts w:ascii="微软雅黑" w:eastAsia="微软雅黑" w:hAnsi="微软雅黑" w:cs="微软雅黑"/>
          <w:spacing w:val="7"/>
          <w:lang w:eastAsia="zh-CN"/>
        </w:rPr>
        <w:t>0.05%</w:t>
      </w:r>
      <w:r w:rsidRPr="005F7717">
        <w:rPr>
          <w:rFonts w:ascii="微软雅黑" w:eastAsia="微软雅黑" w:hAnsi="微软雅黑" w:cs="微软雅黑" w:hint="eastAsia"/>
          <w:spacing w:val="7"/>
          <w:lang w:eastAsia="zh-CN"/>
        </w:rPr>
        <w:t>报</w:t>
      </w:r>
      <w:r w:rsidRPr="005F7717">
        <w:rPr>
          <w:rFonts w:ascii="微软雅黑" w:eastAsia="微软雅黑" w:hAnsi="微软雅黑" w:cs="微软雅黑"/>
          <w:spacing w:val="7"/>
          <w:lang w:eastAsia="zh-CN"/>
        </w:rPr>
        <w:t>1.1417</w:t>
      </w:r>
      <w:r w:rsidRPr="005F7717">
        <w:rPr>
          <w:rFonts w:ascii="微软雅黑" w:eastAsia="微软雅黑" w:hAnsi="微软雅黑" w:cs="微软雅黑" w:hint="eastAsia"/>
          <w:spacing w:val="7"/>
          <w:lang w:eastAsia="zh-CN"/>
        </w:rPr>
        <w:t>，英镑兑美元涨</w:t>
      </w:r>
      <w:r w:rsidRPr="005F7717">
        <w:rPr>
          <w:rFonts w:ascii="微软雅黑" w:eastAsia="微软雅黑" w:hAnsi="微软雅黑" w:cs="微软雅黑"/>
          <w:spacing w:val="7"/>
          <w:lang w:eastAsia="zh-CN"/>
        </w:rPr>
        <w:t>0.23%</w:t>
      </w:r>
      <w:r w:rsidRPr="005F7717">
        <w:rPr>
          <w:rFonts w:ascii="微软雅黑" w:eastAsia="微软雅黑" w:hAnsi="微软雅黑" w:cs="微软雅黑" w:hint="eastAsia"/>
          <w:spacing w:val="7"/>
          <w:lang w:eastAsia="zh-CN"/>
        </w:rPr>
        <w:t>报</w:t>
      </w:r>
      <w:r w:rsidRPr="005F7717">
        <w:rPr>
          <w:rFonts w:ascii="微软雅黑" w:eastAsia="微软雅黑" w:hAnsi="微软雅黑" w:cs="微软雅黑"/>
          <w:spacing w:val="7"/>
          <w:lang w:eastAsia="zh-CN"/>
        </w:rPr>
        <w:t>1.3390</w:t>
      </w:r>
      <w:r w:rsidRPr="005F7717">
        <w:rPr>
          <w:rFonts w:ascii="微软雅黑" w:eastAsia="微软雅黑" w:hAnsi="微软雅黑" w:cs="微软雅黑" w:hint="eastAsia"/>
          <w:spacing w:val="7"/>
          <w:lang w:eastAsia="zh-CN"/>
        </w:rPr>
        <w:t>，美元兑日元涨</w:t>
      </w:r>
      <w:r w:rsidRPr="005F7717">
        <w:rPr>
          <w:rFonts w:ascii="微软雅黑" w:eastAsia="微软雅黑" w:hAnsi="微软雅黑" w:cs="微软雅黑"/>
          <w:spacing w:val="7"/>
          <w:lang w:eastAsia="zh-CN"/>
        </w:rPr>
        <w:t>0.32%</w:t>
      </w:r>
      <w:r w:rsidRPr="005F7717">
        <w:rPr>
          <w:rFonts w:ascii="微软雅黑" w:eastAsia="微软雅黑" w:hAnsi="微软雅黑" w:cs="微软雅黑" w:hint="eastAsia"/>
          <w:spacing w:val="7"/>
          <w:lang w:eastAsia="zh-CN"/>
        </w:rPr>
        <w:t>报</w:t>
      </w:r>
      <w:r w:rsidRPr="005F7717">
        <w:rPr>
          <w:rFonts w:ascii="微软雅黑" w:eastAsia="微软雅黑" w:hAnsi="微软雅黑" w:cs="微软雅黑"/>
          <w:spacing w:val="7"/>
          <w:lang w:eastAsia="zh-CN"/>
        </w:rPr>
        <w:t>162.6370</w:t>
      </w:r>
      <w:r w:rsidRPr="005F7717">
        <w:rPr>
          <w:rFonts w:ascii="微软雅黑" w:eastAsia="微软雅黑" w:hAnsi="微软雅黑" w:cs="微软雅黑" w:hint="eastAsia"/>
          <w:spacing w:val="7"/>
          <w:lang w:eastAsia="zh-CN"/>
        </w:rPr>
        <w:t>。</w:t>
      </w:r>
    </w:p>
    <w:p w14:paraId="347C3976" w14:textId="77777777" w:rsidR="005F7717" w:rsidRPr="005F7717" w:rsidRDefault="005F7717" w:rsidP="005F7717">
      <w:pPr>
        <w:spacing w:before="103" w:line="256" w:lineRule="auto"/>
        <w:ind w:right="210" w:firstLineChars="200" w:firstLine="448"/>
        <w:rPr>
          <w:rFonts w:ascii="微软雅黑" w:eastAsia="微软雅黑" w:hAnsi="微软雅黑" w:cs="微软雅黑"/>
          <w:spacing w:val="7"/>
          <w:lang w:eastAsia="zh-CN"/>
        </w:rPr>
      </w:pPr>
      <w:r w:rsidRPr="005F7717">
        <w:rPr>
          <w:rFonts w:ascii="微软雅黑" w:eastAsia="微软雅黑" w:hAnsi="微软雅黑" w:cs="微软雅黑" w:hint="eastAsia"/>
          <w:spacing w:val="7"/>
          <w:lang w:eastAsia="zh-CN"/>
        </w:rPr>
        <w:t>美联储</w:t>
      </w:r>
      <w:r w:rsidRPr="005F7717">
        <w:rPr>
          <w:rFonts w:ascii="微软雅黑" w:eastAsia="微软雅黑" w:hAnsi="微软雅黑" w:cs="微软雅黑"/>
          <w:spacing w:val="7"/>
          <w:lang w:eastAsia="zh-CN"/>
        </w:rPr>
        <w:t>6</w:t>
      </w:r>
      <w:r w:rsidRPr="005F7717">
        <w:rPr>
          <w:rFonts w:ascii="微软雅黑" w:eastAsia="微软雅黑" w:hAnsi="微软雅黑" w:cs="微软雅黑" w:hint="eastAsia"/>
          <w:spacing w:val="7"/>
          <w:lang w:eastAsia="zh-CN"/>
        </w:rPr>
        <w:t>月会议纪要显示，决策者虽一致维持利率不变，但政策分歧明显。纪要淡化降息指引，同时保留加息与降息两种可能：若通胀持续高企，不排除进一步收紧；若通胀回落或经济走弱，则可能转向宽松。地缘方面，美军开始对伊朗目标实施进一步打击，</w:t>
      </w:r>
      <w:proofErr w:type="gramStart"/>
      <w:r w:rsidRPr="005F7717">
        <w:rPr>
          <w:rFonts w:ascii="微软雅黑" w:eastAsia="微软雅黑" w:hAnsi="微软雅黑" w:cs="微软雅黑" w:hint="eastAsia"/>
          <w:spacing w:val="7"/>
          <w:lang w:eastAsia="zh-CN"/>
        </w:rPr>
        <w:t>特朗普表示</w:t>
      </w:r>
      <w:proofErr w:type="gramEnd"/>
      <w:r w:rsidRPr="005F7717">
        <w:rPr>
          <w:rFonts w:ascii="微软雅黑" w:eastAsia="微软雅黑" w:hAnsi="微软雅黑" w:cs="微软雅黑" w:hint="eastAsia"/>
          <w:spacing w:val="7"/>
          <w:lang w:eastAsia="zh-CN"/>
        </w:rPr>
        <w:t>美伊谅解备忘录“已终结”，可能恢复对伊朗海上封锁。美伊地缘风险再度升温，推动油价短线冲高，</w:t>
      </w:r>
      <w:r w:rsidRPr="005F7717">
        <w:rPr>
          <w:rFonts w:ascii="微软雅黑" w:eastAsia="微软雅黑" w:hAnsi="微软雅黑" w:cs="微软雅黑"/>
          <w:spacing w:val="7"/>
          <w:lang w:eastAsia="zh-CN"/>
        </w:rPr>
        <w:t>9</w:t>
      </w:r>
      <w:r w:rsidRPr="005F7717">
        <w:rPr>
          <w:rFonts w:ascii="微软雅黑" w:eastAsia="微软雅黑" w:hAnsi="微软雅黑" w:cs="微软雅黑" w:hint="eastAsia"/>
          <w:spacing w:val="7"/>
          <w:lang w:eastAsia="zh-CN"/>
        </w:rPr>
        <w:t>月加息概率回升至</w:t>
      </w:r>
      <w:r w:rsidRPr="005F7717">
        <w:rPr>
          <w:rFonts w:ascii="微软雅黑" w:eastAsia="微软雅黑" w:hAnsi="微软雅黑" w:cs="微软雅黑"/>
          <w:spacing w:val="7"/>
          <w:lang w:eastAsia="zh-CN"/>
        </w:rPr>
        <w:t>60%</w:t>
      </w:r>
      <w:r w:rsidRPr="005F7717">
        <w:rPr>
          <w:rFonts w:ascii="微软雅黑" w:eastAsia="微软雅黑" w:hAnsi="微软雅黑" w:cs="微软雅黑" w:hint="eastAsia"/>
          <w:spacing w:val="7"/>
          <w:lang w:eastAsia="zh-CN"/>
        </w:rPr>
        <w:t>附近水平，美元指数及美债收益率亦同步上行。往前看，美伊谈判延续拉锯态势，谅解备忘录存在破裂风险，且双边于核问题及浓缩铀处置仍未取得实质突破，避险需求仍对美元形成底部支撑。后续重点关注美国</w:t>
      </w:r>
      <w:r w:rsidRPr="005F7717">
        <w:rPr>
          <w:rFonts w:ascii="微软雅黑" w:eastAsia="微软雅黑" w:hAnsi="微软雅黑" w:cs="微软雅黑"/>
          <w:spacing w:val="7"/>
          <w:lang w:eastAsia="zh-CN"/>
        </w:rPr>
        <w:t>6</w:t>
      </w:r>
      <w:r w:rsidRPr="005F7717">
        <w:rPr>
          <w:rFonts w:ascii="微软雅黑" w:eastAsia="微软雅黑" w:hAnsi="微软雅黑" w:cs="微软雅黑" w:hint="eastAsia"/>
          <w:spacing w:val="7"/>
          <w:lang w:eastAsia="zh-CN"/>
        </w:rPr>
        <w:t>月</w:t>
      </w:r>
      <w:r w:rsidRPr="005F7717">
        <w:rPr>
          <w:rFonts w:ascii="微软雅黑" w:eastAsia="微软雅黑" w:hAnsi="微软雅黑" w:cs="微软雅黑"/>
          <w:spacing w:val="7"/>
          <w:lang w:eastAsia="zh-CN"/>
        </w:rPr>
        <w:t>CPI</w:t>
      </w:r>
      <w:r w:rsidRPr="005F7717">
        <w:rPr>
          <w:rFonts w:ascii="微软雅黑" w:eastAsia="微软雅黑" w:hAnsi="微软雅黑" w:cs="微软雅黑" w:hint="eastAsia"/>
          <w:spacing w:val="7"/>
          <w:lang w:eastAsia="zh-CN"/>
        </w:rPr>
        <w:t>、美伊谈判进展及美联储</w:t>
      </w:r>
      <w:r w:rsidRPr="005F7717">
        <w:rPr>
          <w:rFonts w:ascii="微软雅黑" w:eastAsia="微软雅黑" w:hAnsi="微软雅黑" w:cs="微软雅黑"/>
          <w:spacing w:val="7"/>
          <w:lang w:eastAsia="zh-CN"/>
        </w:rPr>
        <w:t>6</w:t>
      </w:r>
      <w:r w:rsidRPr="005F7717">
        <w:rPr>
          <w:rFonts w:ascii="微软雅黑" w:eastAsia="微软雅黑" w:hAnsi="微软雅黑" w:cs="微软雅黑" w:hint="eastAsia"/>
          <w:spacing w:val="7"/>
          <w:lang w:eastAsia="zh-CN"/>
        </w:rPr>
        <w:t>月会议纪要。</w:t>
      </w:r>
    </w:p>
    <w:p w14:paraId="502379A4" w14:textId="1CB536BE" w:rsidR="002760F0" w:rsidRPr="002760F0" w:rsidRDefault="005F7717" w:rsidP="005F7717">
      <w:pPr>
        <w:spacing w:before="103" w:line="256" w:lineRule="auto"/>
        <w:ind w:right="210" w:firstLineChars="200" w:firstLine="448"/>
        <w:rPr>
          <w:rFonts w:ascii="微软雅黑" w:eastAsia="微软雅黑" w:hAnsi="微软雅黑" w:cs="微软雅黑" w:hint="eastAsia"/>
          <w:spacing w:val="7"/>
          <w:lang w:eastAsia="zh-CN"/>
        </w:rPr>
      </w:pPr>
      <w:r w:rsidRPr="005F7717">
        <w:rPr>
          <w:rFonts w:ascii="微软雅黑" w:eastAsia="微软雅黑" w:hAnsi="微软雅黑" w:cs="微软雅黑" w:hint="eastAsia"/>
          <w:spacing w:val="7"/>
          <w:lang w:eastAsia="zh-CN"/>
        </w:rPr>
        <w:t>布伦</w:t>
      </w:r>
      <w:proofErr w:type="gramStart"/>
      <w:r w:rsidRPr="005F7717">
        <w:rPr>
          <w:rFonts w:ascii="微软雅黑" w:eastAsia="微软雅黑" w:hAnsi="微软雅黑" w:cs="微软雅黑" w:hint="eastAsia"/>
          <w:spacing w:val="7"/>
          <w:lang w:eastAsia="zh-CN"/>
        </w:rPr>
        <w:t>特</w:t>
      </w:r>
      <w:proofErr w:type="gramEnd"/>
      <w:r w:rsidRPr="005F7717">
        <w:rPr>
          <w:rFonts w:ascii="微软雅黑" w:eastAsia="微软雅黑" w:hAnsi="微软雅黑" w:cs="微软雅黑" w:hint="eastAsia"/>
          <w:spacing w:val="7"/>
          <w:lang w:eastAsia="zh-CN"/>
        </w:rPr>
        <w:t>原油触及两周高位，油价上涨加剧</w:t>
      </w:r>
      <w:proofErr w:type="gramStart"/>
      <w:r w:rsidRPr="005F7717">
        <w:rPr>
          <w:rFonts w:ascii="微软雅黑" w:eastAsia="微软雅黑" w:hAnsi="微软雅黑" w:cs="微软雅黑" w:hint="eastAsia"/>
          <w:spacing w:val="7"/>
          <w:lang w:eastAsia="zh-CN"/>
        </w:rPr>
        <w:t>通胀担忧</w:t>
      </w:r>
      <w:proofErr w:type="gramEnd"/>
      <w:r w:rsidRPr="005F7717">
        <w:rPr>
          <w:rFonts w:ascii="微软雅黑" w:eastAsia="微软雅黑" w:hAnsi="微软雅黑" w:cs="微软雅黑" w:hint="eastAsia"/>
          <w:spacing w:val="7"/>
          <w:lang w:eastAsia="zh-CN"/>
        </w:rPr>
        <w:t>并推升对欧洲央行加息的押注。欧元区</w:t>
      </w:r>
      <w:r w:rsidRPr="005F7717">
        <w:rPr>
          <w:rFonts w:ascii="微软雅黑" w:eastAsia="微软雅黑" w:hAnsi="微软雅黑" w:cs="微软雅黑"/>
          <w:spacing w:val="7"/>
          <w:lang w:eastAsia="zh-CN"/>
        </w:rPr>
        <w:t>6</w:t>
      </w:r>
      <w:r w:rsidRPr="005F7717">
        <w:rPr>
          <w:rFonts w:ascii="微软雅黑" w:eastAsia="微软雅黑" w:hAnsi="微软雅黑" w:cs="微软雅黑" w:hint="eastAsia"/>
          <w:spacing w:val="7"/>
          <w:lang w:eastAsia="zh-CN"/>
        </w:rPr>
        <w:t>月</w:t>
      </w:r>
      <w:r w:rsidRPr="005F7717">
        <w:rPr>
          <w:rFonts w:ascii="微软雅黑" w:eastAsia="微软雅黑" w:hAnsi="微软雅黑" w:cs="微软雅黑"/>
          <w:spacing w:val="7"/>
          <w:lang w:eastAsia="zh-CN"/>
        </w:rPr>
        <w:t>CPI</w:t>
      </w:r>
      <w:r w:rsidRPr="005F7717">
        <w:rPr>
          <w:rFonts w:ascii="微软雅黑" w:eastAsia="微软雅黑" w:hAnsi="微软雅黑" w:cs="微软雅黑" w:hint="eastAsia"/>
          <w:spacing w:val="7"/>
          <w:lang w:eastAsia="zh-CN"/>
        </w:rPr>
        <w:t>同比增速由前期高位回落，欧央行整体维持鹰派基调，短期或对欧元形成支撑，但在美联储鹰派基调延续、美欧利差</w:t>
      </w:r>
      <w:proofErr w:type="gramStart"/>
      <w:r w:rsidRPr="005F7717">
        <w:rPr>
          <w:rFonts w:ascii="微软雅黑" w:eastAsia="微软雅黑" w:hAnsi="微软雅黑" w:cs="微软雅黑" w:hint="eastAsia"/>
          <w:spacing w:val="7"/>
          <w:lang w:eastAsia="zh-CN"/>
        </w:rPr>
        <w:t>持续走阔的</w:t>
      </w:r>
      <w:proofErr w:type="gramEnd"/>
      <w:r w:rsidRPr="005F7717">
        <w:rPr>
          <w:rFonts w:ascii="微软雅黑" w:eastAsia="微软雅黑" w:hAnsi="微软雅黑" w:cs="微软雅黑" w:hint="eastAsia"/>
          <w:spacing w:val="7"/>
          <w:lang w:eastAsia="zh-CN"/>
        </w:rPr>
        <w:t>背景下，欧元反弹空间有限。日元近期低位震荡运行，美日货币政策分化格局未</w:t>
      </w:r>
      <w:r w:rsidRPr="005F7717">
        <w:rPr>
          <w:rFonts w:ascii="微软雅黑" w:eastAsia="微软雅黑" w:hAnsi="微软雅黑" w:cs="微软雅黑" w:hint="eastAsia"/>
          <w:spacing w:val="7"/>
          <w:lang w:eastAsia="zh-CN"/>
        </w:rPr>
        <w:lastRenderedPageBreak/>
        <w:t>改，美国经济韧性支撑美联储加息预期，而日本央行仍沿渐进路径正常化，利差劣势叠加套息与避险美元需求，日元或延续承压偏弱格局</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755D1393" w:rsidR="007A477E" w:rsidRDefault="005F7717"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C96FBB">
        <w:rPr>
          <w:rFonts w:ascii="黑体" w:eastAsia="黑体" w:hAnsi="黑体" w:cs="黑体"/>
          <w:noProof/>
          <w:color w:val="000000" w:themeColor="text1"/>
          <w:sz w:val="22"/>
          <w:szCs w:val="22"/>
          <w:shd w:val="clear" w:color="auto" w:fill="FFFFFF"/>
          <w:lang w:bidi="ar"/>
        </w:rPr>
        <w:drawing>
          <wp:inline distT="0" distB="0" distL="0" distR="0" wp14:anchorId="0EC4F2E1" wp14:editId="34A65A9C">
            <wp:extent cx="4457700" cy="2280920"/>
            <wp:effectExtent l="0" t="0" r="0" b="5080"/>
            <wp:docPr id="14639954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7700" cy="228092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42782994" w:rsidR="00ED4A18" w:rsidRDefault="005F7717" w:rsidP="00B00DB4">
      <w:pPr>
        <w:spacing w:before="103" w:line="256" w:lineRule="auto"/>
        <w:ind w:right="210" w:firstLine="448"/>
        <w:rPr>
          <w:rFonts w:ascii="微软雅黑" w:eastAsia="微软雅黑" w:hAnsi="微软雅黑" w:cs="微软雅黑" w:hint="eastAsia"/>
          <w:spacing w:val="7"/>
          <w:lang w:eastAsia="zh-CN"/>
        </w:rPr>
      </w:pPr>
      <w:r w:rsidRPr="005F7717">
        <w:rPr>
          <w:rFonts w:ascii="微软雅黑" w:eastAsia="微软雅黑" w:hAnsi="微软雅黑" w:cs="微软雅黑"/>
          <w:spacing w:val="7"/>
          <w:lang w:eastAsia="zh-CN"/>
        </w:rPr>
        <w:t>截至7月8日，</w:t>
      </w:r>
      <w:proofErr w:type="gramStart"/>
      <w:r w:rsidRPr="005F7717">
        <w:rPr>
          <w:rFonts w:ascii="微软雅黑" w:eastAsia="微软雅黑" w:hAnsi="微软雅黑" w:cs="微软雅黑"/>
          <w:spacing w:val="7"/>
          <w:lang w:eastAsia="zh-CN"/>
        </w:rPr>
        <w:t>标普</w:t>
      </w:r>
      <w:proofErr w:type="gramEnd"/>
      <w:r w:rsidRPr="005F7717">
        <w:rPr>
          <w:rFonts w:ascii="微软雅黑" w:eastAsia="微软雅黑" w:hAnsi="微软雅黑" w:cs="微软雅黑"/>
          <w:spacing w:val="7"/>
          <w:lang w:eastAsia="zh-CN"/>
        </w:rPr>
        <w:t>500指数下跌0.28%至7482.71；</w:t>
      </w:r>
      <w:proofErr w:type="gramStart"/>
      <w:r w:rsidRPr="005F7717">
        <w:rPr>
          <w:rFonts w:ascii="微软雅黑" w:eastAsia="微软雅黑" w:hAnsi="微软雅黑" w:cs="微软雅黑"/>
          <w:spacing w:val="7"/>
          <w:lang w:eastAsia="zh-CN"/>
        </w:rPr>
        <w:t>迷你标普</w:t>
      </w:r>
      <w:proofErr w:type="gramEnd"/>
      <w:r w:rsidRPr="005F7717">
        <w:rPr>
          <w:rFonts w:ascii="微软雅黑" w:eastAsia="微软雅黑" w:hAnsi="微软雅黑" w:cs="微软雅黑"/>
          <w:spacing w:val="7"/>
          <w:lang w:eastAsia="zh-CN"/>
        </w:rPr>
        <w:t>500主力合约下跌0.47%至7515.5点。货币政策上，美联储会议纪要显示，越来越多官员认为，若通胀持续高企，未来可能需要重新加息。同时，美联储主席沃什推动政策声明更加精简，不再对未来利率路径</w:t>
      </w:r>
      <w:proofErr w:type="gramStart"/>
      <w:r w:rsidRPr="005F7717">
        <w:rPr>
          <w:rFonts w:ascii="微软雅黑" w:eastAsia="微软雅黑" w:hAnsi="微软雅黑" w:cs="微软雅黑"/>
          <w:spacing w:val="7"/>
          <w:lang w:eastAsia="zh-CN"/>
        </w:rPr>
        <w:t>作出</w:t>
      </w:r>
      <w:proofErr w:type="gramEnd"/>
      <w:r w:rsidRPr="005F7717">
        <w:rPr>
          <w:rFonts w:ascii="微软雅黑" w:eastAsia="微软雅黑" w:hAnsi="微软雅黑" w:cs="微软雅黑"/>
          <w:spacing w:val="7"/>
          <w:lang w:eastAsia="zh-CN"/>
        </w:rPr>
        <w:t>过多暗示。美联储未来政策完全依赖数据，通胀、就业及地缘局势将成为决定加息或降息的关键变量。地缘局势上，美国再度发动伊朗的打击，美国总统特朗普表示，美伊谅解备忘录“已终结”。冲突再起推升油价。产业消息面，苹果与博通达成一项为期多年的合作协议，预计采购规模将超过300亿美元。消息带动芯片股走强。整体来看，地缘局势再度紧张，使得市场对于美联储后续加息的预期出现上升。美元及美债收益率走高，压制传统产业股票走势，但美股芯片股在产业利好消息的影响下走出独立行情。后续需观察芯片股的上涨能否进一步带动科技股整体上行</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7F14D5E4" w:rsidR="007A477E" w:rsidRPr="00EE7376" w:rsidRDefault="005F7717" w:rsidP="006B6996">
      <w:pPr>
        <w:spacing w:before="103" w:line="256" w:lineRule="auto"/>
        <w:ind w:right="210" w:firstLine="420"/>
        <w:jc w:val="center"/>
        <w:rPr>
          <w:rFonts w:ascii="微软雅黑" w:eastAsia="微软雅黑" w:hAnsi="微软雅黑" w:cs="微软雅黑" w:hint="eastAsia"/>
          <w:spacing w:val="7"/>
          <w:lang w:eastAsia="zh-CN"/>
        </w:rPr>
      </w:pPr>
      <w:r w:rsidRPr="005649D6">
        <w:rPr>
          <w:rFonts w:ascii="Helvetica" w:hAnsi="Helvetica" w:cs="Helvetica"/>
          <w:noProof/>
          <w:shd w:val="clear" w:color="auto" w:fill="FFFFFF"/>
        </w:rPr>
        <w:drawing>
          <wp:inline distT="0" distB="0" distL="0" distR="0" wp14:anchorId="5D5E7F71" wp14:editId="5C852B93">
            <wp:extent cx="5274310" cy="21494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149475"/>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5AE26BBD" w14:textId="2F8406E6" w:rsidR="00B51D3C" w:rsidRDefault="005F7717" w:rsidP="000511AA">
      <w:pPr>
        <w:spacing w:before="103" w:line="256" w:lineRule="auto"/>
        <w:ind w:right="210" w:firstLine="448"/>
        <w:jc w:val="both"/>
        <w:rPr>
          <w:rFonts w:ascii="微软雅黑" w:eastAsia="微软雅黑" w:hAnsi="微软雅黑" w:cs="微软雅黑" w:hint="eastAsia"/>
          <w:spacing w:val="7"/>
          <w:lang w:eastAsia="zh-CN"/>
        </w:rPr>
      </w:pPr>
      <w:r w:rsidRPr="005F7717">
        <w:rPr>
          <w:rFonts w:ascii="微软雅黑" w:eastAsia="微软雅黑" w:hAnsi="微软雅黑" w:cs="微软雅黑"/>
          <w:spacing w:val="7"/>
          <w:lang w:eastAsia="zh-CN"/>
        </w:rPr>
        <w:t>截至7月8日，富时中国A50指数下跌0.04%至15112.17；新交所富时A50期指主力合约下跌0.24%至14854。海外方面，美国总统特朗普表示，美伊谅解备忘录“已终结”。美军中央司令部称已完成对伊朗新一轮打击。地缘冲突再起预计重新推升能源价格。国内方面，经济基本面，6月份，我国制造业PMI重新回升至扩张区间，非制造业与综合PMI指数同样处于扩张区间，且进一步小幅上升。从细分项看，装备制造业与高技术制造业PMI进一步走强，装备制造业连续4个月处于扩张区间，高技术制造业连续17个月保持扩张。消息面，长</w:t>
      </w:r>
      <w:proofErr w:type="gramStart"/>
      <w:r w:rsidRPr="005F7717">
        <w:rPr>
          <w:rFonts w:ascii="微软雅黑" w:eastAsia="微软雅黑" w:hAnsi="微软雅黑" w:cs="微软雅黑"/>
          <w:spacing w:val="7"/>
          <w:lang w:eastAsia="zh-CN"/>
        </w:rPr>
        <w:t>鑫</w:t>
      </w:r>
      <w:proofErr w:type="gramEnd"/>
      <w:r w:rsidRPr="005F7717">
        <w:rPr>
          <w:rFonts w:ascii="微软雅黑" w:eastAsia="微软雅黑" w:hAnsi="微软雅黑" w:cs="微软雅黑"/>
          <w:spacing w:val="7"/>
          <w:lang w:eastAsia="zh-CN"/>
        </w:rPr>
        <w:t>科技发布公告，公司新股网上及网下申购日为7月16日，上市募集资金将用于主营业务投资。整体来看，国内6月先行指标显示，我国经济景气水平整体回升，同时，新质生产力相关行业依旧引领经济。同时，长</w:t>
      </w:r>
      <w:proofErr w:type="gramStart"/>
      <w:r w:rsidRPr="005F7717">
        <w:rPr>
          <w:rFonts w:ascii="微软雅黑" w:eastAsia="微软雅黑" w:hAnsi="微软雅黑" w:cs="微软雅黑"/>
          <w:spacing w:val="7"/>
          <w:lang w:eastAsia="zh-CN"/>
        </w:rPr>
        <w:t>鑫</w:t>
      </w:r>
      <w:proofErr w:type="gramEnd"/>
      <w:r w:rsidRPr="005F7717">
        <w:rPr>
          <w:rFonts w:ascii="微软雅黑" w:eastAsia="微软雅黑" w:hAnsi="微软雅黑" w:cs="微软雅黑"/>
          <w:spacing w:val="7"/>
          <w:lang w:eastAsia="zh-CN"/>
        </w:rPr>
        <w:t>科技上市在即，芯片股交易热情或被进一步推向高潮，但也对存量资金产生稀释。最后，美伊冲突再度爆发预计使得海外通胀形势更加严峻，外部环境对A股的冲击或再度显现</w:t>
      </w:r>
      <w:r w:rsidR="00965C94" w:rsidRPr="00965C94">
        <w:rPr>
          <w:rFonts w:ascii="微软雅黑" w:eastAsia="微软雅黑" w:hAnsi="微软雅黑" w:cs="微软雅黑"/>
          <w:spacing w:val="7"/>
          <w:lang w:eastAsia="zh-CN"/>
        </w:rPr>
        <w:t>。</w:t>
      </w:r>
    </w:p>
    <w:p w14:paraId="11AC0A6A" w14:textId="77783DA9"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008F04BC" w:rsidR="00A10388" w:rsidRDefault="005F7717" w:rsidP="00A10388">
      <w:pPr>
        <w:spacing w:before="120" w:line="190" w:lineRule="auto"/>
        <w:ind w:right="210" w:firstLine="420"/>
        <w:jc w:val="center"/>
        <w:rPr>
          <w:rFonts w:ascii="新宋体" w:eastAsia="新宋体" w:hAnsi="新宋体" w:hint="eastAsia"/>
          <w:lang w:eastAsia="zh-CN"/>
        </w:rPr>
      </w:pPr>
      <w:r w:rsidRPr="005649D6">
        <w:rPr>
          <w:rFonts w:ascii="宋体" w:eastAsia="宋体" w:hAnsi="宋体"/>
          <w:b/>
          <w:noProof/>
        </w:rPr>
        <w:drawing>
          <wp:inline distT="0" distB="0" distL="0" distR="0" wp14:anchorId="09B54278" wp14:editId="1F676472">
            <wp:extent cx="5274310" cy="2148840"/>
            <wp:effectExtent l="0" t="0" r="2540" b="3810"/>
            <wp:docPr id="845265153" name="图片 84526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148840"/>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6E3D5303" w:rsidR="005B5E6A" w:rsidRDefault="005F7717" w:rsidP="00F51117">
      <w:pPr>
        <w:spacing w:before="103" w:line="256" w:lineRule="auto"/>
        <w:ind w:right="210" w:firstLine="448"/>
        <w:jc w:val="both"/>
        <w:rPr>
          <w:rFonts w:ascii="微软雅黑" w:eastAsia="微软雅黑" w:hAnsi="微软雅黑" w:cs="微软雅黑" w:hint="eastAsia"/>
          <w:spacing w:val="12"/>
          <w:lang w:eastAsia="zh-CN"/>
        </w:rPr>
      </w:pPr>
      <w:r w:rsidRPr="005F7717">
        <w:rPr>
          <w:rFonts w:ascii="微软雅黑" w:eastAsia="微软雅黑" w:hAnsi="微软雅黑" w:cs="微软雅黑"/>
          <w:spacing w:val="12"/>
          <w:lang w:eastAsia="zh-CN"/>
        </w:rPr>
        <w:t>隔夜COMEX铜震荡偏弱，报收6.1175元/磅，涨跌幅-1.74%。国际方面，美联储理事沃勒认为，前瞻性指引仍是有价值的工具，但需灵活运用，避免束缚政策空间。沃勒支持美联储实现2%通胀目标，并指出劳动力市场企稳使得货币政策可更关注通胀。国内方面，央行货币政策委员会第二季度例会于7月4日召开。会议研究了下阶段货币政策主要思路，建议发挥增量政策和存量政策集成效应，增强政策前瞻性灵活性针对性，根据国内外经济金融形势和金融市场运行情况，把握好政策实施的力度、节奏和时机。会议指出，要持续做好支持民营经济发展壮大的金融服务。维护金融市场稳定运行。库存方面，截至2026年7月8日，COMEX铜库存为674078短吨，环比+2679短吨；LME铜库存为310650吨，环比-1925吨；SHFE每日仓单57336吨，环比-3035吨。美元美债方面，因美伊临时协议前景不明，美元指数触及一周高点后回落，</w:t>
      </w:r>
      <w:proofErr w:type="gramStart"/>
      <w:r w:rsidRPr="005F7717">
        <w:rPr>
          <w:rFonts w:ascii="微软雅黑" w:eastAsia="微软雅黑" w:hAnsi="微软雅黑" w:cs="微软雅黑"/>
          <w:spacing w:val="12"/>
          <w:lang w:eastAsia="zh-CN"/>
        </w:rPr>
        <w:t>最终收跌</w:t>
      </w:r>
      <w:proofErr w:type="gramEnd"/>
      <w:r w:rsidRPr="005F7717">
        <w:rPr>
          <w:rFonts w:ascii="微软雅黑" w:eastAsia="微软雅黑" w:hAnsi="微软雅黑" w:cs="微软雅黑"/>
          <w:spacing w:val="12"/>
          <w:lang w:eastAsia="zh-CN"/>
        </w:rPr>
        <w:t>0.02%，报101.05；基准的</w:t>
      </w:r>
      <w:proofErr w:type="gramStart"/>
      <w:r w:rsidRPr="005F7717">
        <w:rPr>
          <w:rFonts w:ascii="微软雅黑" w:eastAsia="微软雅黑" w:hAnsi="微软雅黑" w:cs="微软雅黑"/>
          <w:spacing w:val="12"/>
          <w:lang w:eastAsia="zh-CN"/>
        </w:rPr>
        <w:t>10年期美债</w:t>
      </w:r>
      <w:proofErr w:type="gramEnd"/>
      <w:r w:rsidRPr="005F7717">
        <w:rPr>
          <w:rFonts w:ascii="微软雅黑" w:eastAsia="微软雅黑" w:hAnsi="微软雅黑" w:cs="微软雅黑"/>
          <w:spacing w:val="12"/>
          <w:lang w:eastAsia="zh-CN"/>
        </w:rPr>
        <w:t>收益率收报4.770%，对美联储政策利率敏感的</w:t>
      </w:r>
      <w:proofErr w:type="gramStart"/>
      <w:r w:rsidRPr="005F7717">
        <w:rPr>
          <w:rFonts w:ascii="微软雅黑" w:eastAsia="微软雅黑" w:hAnsi="微软雅黑" w:cs="微软雅黑"/>
          <w:spacing w:val="12"/>
          <w:lang w:eastAsia="zh-CN"/>
        </w:rPr>
        <w:t>2年期美债</w:t>
      </w:r>
      <w:proofErr w:type="gramEnd"/>
      <w:r w:rsidRPr="005F7717">
        <w:rPr>
          <w:rFonts w:ascii="微软雅黑" w:eastAsia="微软雅黑" w:hAnsi="微软雅黑" w:cs="微软雅黑"/>
          <w:spacing w:val="12"/>
          <w:lang w:eastAsia="zh-CN"/>
        </w:rPr>
        <w:t>收益率收报4.229%。操作建议，</w:t>
      </w:r>
      <w:proofErr w:type="gramStart"/>
      <w:r w:rsidRPr="005F7717">
        <w:rPr>
          <w:rFonts w:ascii="微软雅黑" w:eastAsia="微软雅黑" w:hAnsi="微软雅黑" w:cs="微软雅黑"/>
          <w:spacing w:val="12"/>
          <w:lang w:eastAsia="zh-CN"/>
        </w:rPr>
        <w:t>纽</w:t>
      </w:r>
      <w:proofErr w:type="gramEnd"/>
      <w:r w:rsidRPr="005F7717">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61D027AD" w:rsidR="00A02266" w:rsidRDefault="005F7717" w:rsidP="006B6996">
      <w:pPr>
        <w:spacing w:before="103" w:line="256" w:lineRule="auto"/>
        <w:ind w:right="210" w:firstLine="420"/>
        <w:jc w:val="center"/>
      </w:pPr>
      <w:r>
        <w:rPr>
          <w:noProof/>
        </w:rPr>
        <w:lastRenderedPageBreak/>
        <w:drawing>
          <wp:inline distT="0" distB="0" distL="0" distR="0" wp14:anchorId="098F15BB" wp14:editId="51416067">
            <wp:extent cx="5274310" cy="2879090"/>
            <wp:effectExtent l="0" t="0" r="2540" b="0"/>
            <wp:docPr id="664091759" name="图片 66409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23E51E4" w:rsidR="00F850DC" w:rsidRDefault="005F7717" w:rsidP="00B00DB4">
      <w:pPr>
        <w:spacing w:before="103" w:line="256" w:lineRule="auto"/>
        <w:ind w:right="210" w:firstLine="468"/>
        <w:jc w:val="both"/>
        <w:rPr>
          <w:rFonts w:ascii="微软雅黑" w:eastAsia="微软雅黑" w:hAnsi="微软雅黑" w:cs="微软雅黑" w:hint="eastAsia"/>
          <w:noProof/>
          <w:spacing w:val="7"/>
          <w:lang w:eastAsia="zh-CN"/>
        </w:rPr>
      </w:pPr>
      <w:r w:rsidRPr="005F7717">
        <w:rPr>
          <w:rFonts w:ascii="微软雅黑" w:eastAsia="微软雅黑" w:hAnsi="微软雅黑" w:cs="微软雅黑"/>
          <w:noProof/>
          <w:spacing w:val="7"/>
          <w:lang w:eastAsia="zh-CN"/>
        </w:rPr>
        <w:t>隔夜，贵金属市场震荡走弱，COMEX黄金期货跌1.70%报4086.60美元/盎司，COMEX白银期货跌4.30%报58.69美元/盎司。地缘方面，美军开始对伊朗目标实施进一步打击，特朗普表示美伊谅解备忘录“已终结”，可能恢复对伊朗海上封锁。美伊地缘风险再度升温，推动油价短线冲高，9月加息概率回升至60%附近水平，美元指数及美债收益率亦同步上行，对金价形成较强压制。美联储6月会议纪要整体延续观望立场，强调后续政策路径将继续围绕通胀路径进行定调，符合市场预期。往前看，贵金属大幅下行空间相对有限，但趋势性上行仍需等待更明确的宏观催化。一方面，6月非农数据显著降温削弱美联储短期进一步加息的紧迫性，9月加息概率较前期高位有所回落，就业需求降温预示美国经济韧性叙事开始松动，贵金属前期受到的实际利率压制有所缓解。另一方面，AI投资叙事在半年度财报逐步落地的背景下有望回归理性，有助于部分资金回流贵金属市场。当前贵金属走势的核心变量为，美伊冲突仍有反复，核问题及浓缩铀处置等核心分歧仍未取得实质突破，不排除后续冲突阶段性上演的可能性。中长期来看，新兴市场央行逢低购金、美国债务问题持久化、全球储备资产再配置需求仍提供底部支撑。整体而言，加息预期降温边际改善贵金属短线反弹动能，但地缘风险或仍有反复，操作上建议观望，等待CPI及美联储表态进一步确认方向</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04E750CD" w:rsidR="007A477E" w:rsidRDefault="005F7717"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C96FBB">
        <w:rPr>
          <w:rFonts w:ascii="黑体" w:eastAsia="黑体" w:hAnsi="黑体"/>
          <w:noProof/>
          <w:sz w:val="22"/>
          <w:szCs w:val="22"/>
          <w:shd w:val="clear" w:color="auto" w:fill="FFFFFF"/>
          <w:lang w:bidi="ar"/>
        </w:rPr>
        <w:lastRenderedPageBreak/>
        <w:drawing>
          <wp:inline distT="0" distB="0" distL="0" distR="0" wp14:anchorId="3913889D" wp14:editId="3D6CB518">
            <wp:extent cx="4410075" cy="2188845"/>
            <wp:effectExtent l="0" t="0" r="9525" b="1905"/>
            <wp:docPr id="9905749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0075" cy="218884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79EDEFBE" w14:textId="77777777" w:rsidR="005F7717" w:rsidRPr="005F7717" w:rsidRDefault="005F7717" w:rsidP="005F7717">
      <w:pPr>
        <w:spacing w:before="103" w:line="256" w:lineRule="auto"/>
        <w:ind w:right="210" w:firstLine="448"/>
        <w:jc w:val="both"/>
        <w:rPr>
          <w:rFonts w:ascii="微软雅黑" w:eastAsia="微软雅黑" w:hAnsi="微软雅黑" w:cs="微软雅黑"/>
          <w:noProof/>
          <w:spacing w:val="7"/>
          <w:lang w:eastAsia="zh-CN"/>
        </w:rPr>
      </w:pPr>
      <w:r w:rsidRPr="005F7717">
        <w:rPr>
          <w:rFonts w:ascii="微软雅黑" w:eastAsia="微软雅黑" w:hAnsi="微软雅黑" w:cs="微软雅黑" w:hint="eastAsia"/>
          <w:noProof/>
          <w:spacing w:val="7"/>
          <w:lang w:eastAsia="zh-CN"/>
        </w:rPr>
        <w:t>洲际交易所</w:t>
      </w:r>
      <w:r w:rsidRPr="005F7717">
        <w:rPr>
          <w:rFonts w:ascii="微软雅黑" w:eastAsia="微软雅黑" w:hAnsi="微软雅黑" w:cs="微软雅黑"/>
          <w:noProof/>
          <w:spacing w:val="7"/>
          <w:lang w:eastAsia="zh-CN"/>
        </w:rPr>
        <w:t>(ICE)</w:t>
      </w:r>
      <w:r w:rsidRPr="005F7717">
        <w:rPr>
          <w:rFonts w:ascii="微软雅黑" w:eastAsia="微软雅黑" w:hAnsi="微软雅黑" w:cs="微软雅黑" w:hint="eastAsia"/>
          <w:noProof/>
          <w:spacing w:val="7"/>
          <w:lang w:eastAsia="zh-CN"/>
        </w:rPr>
        <w:t>原糖期货周二收跌，因周一大涨之后，部分投资者选择获利了结。</w:t>
      </w:r>
      <w:r w:rsidRPr="005F7717">
        <w:rPr>
          <w:rFonts w:ascii="微软雅黑" w:eastAsia="微软雅黑" w:hAnsi="微软雅黑" w:cs="微软雅黑"/>
          <w:noProof/>
          <w:spacing w:val="7"/>
          <w:lang w:eastAsia="zh-CN"/>
        </w:rPr>
        <w:t>ICE</w:t>
      </w:r>
      <w:r w:rsidRPr="005F7717">
        <w:rPr>
          <w:rFonts w:ascii="微软雅黑" w:eastAsia="微软雅黑" w:hAnsi="微软雅黑" w:cs="微软雅黑" w:hint="eastAsia"/>
          <w:noProof/>
          <w:spacing w:val="7"/>
          <w:lang w:eastAsia="zh-CN"/>
        </w:rPr>
        <w:t>交投最活跃的</w:t>
      </w:r>
      <w:r w:rsidRPr="005F7717">
        <w:rPr>
          <w:rFonts w:ascii="微软雅黑" w:eastAsia="微软雅黑" w:hAnsi="微软雅黑" w:cs="微软雅黑"/>
          <w:noProof/>
          <w:spacing w:val="7"/>
          <w:lang w:eastAsia="zh-CN"/>
        </w:rPr>
        <w:t>10</w:t>
      </w:r>
      <w:r w:rsidRPr="005F7717">
        <w:rPr>
          <w:rFonts w:ascii="微软雅黑" w:eastAsia="微软雅黑" w:hAnsi="微软雅黑" w:cs="微软雅黑" w:hint="eastAsia"/>
          <w:noProof/>
          <w:spacing w:val="7"/>
          <w:lang w:eastAsia="zh-CN"/>
        </w:rPr>
        <w:t>月原糖期货收跌</w:t>
      </w:r>
      <w:r w:rsidRPr="005F7717">
        <w:rPr>
          <w:rFonts w:ascii="微软雅黑" w:eastAsia="微软雅黑" w:hAnsi="微软雅黑" w:cs="微软雅黑"/>
          <w:noProof/>
          <w:spacing w:val="7"/>
          <w:lang w:eastAsia="zh-CN"/>
        </w:rPr>
        <w:t>0.08</w:t>
      </w:r>
      <w:r w:rsidRPr="005F7717">
        <w:rPr>
          <w:rFonts w:ascii="微软雅黑" w:eastAsia="微软雅黑" w:hAnsi="微软雅黑" w:cs="微软雅黑" w:hint="eastAsia"/>
          <w:noProof/>
          <w:spacing w:val="7"/>
          <w:lang w:eastAsia="zh-CN"/>
        </w:rPr>
        <w:t>美分或</w:t>
      </w:r>
      <w:r w:rsidRPr="005F7717">
        <w:rPr>
          <w:rFonts w:ascii="微软雅黑" w:eastAsia="微软雅黑" w:hAnsi="微软雅黑" w:cs="微软雅黑"/>
          <w:noProof/>
          <w:spacing w:val="7"/>
          <w:lang w:eastAsia="zh-CN"/>
        </w:rPr>
        <w:t>0.53%</w:t>
      </w:r>
      <w:r w:rsidRPr="005F7717">
        <w:rPr>
          <w:rFonts w:ascii="微软雅黑" w:eastAsia="微软雅黑" w:hAnsi="微软雅黑" w:cs="微软雅黑" w:hint="eastAsia"/>
          <w:noProof/>
          <w:spacing w:val="7"/>
          <w:lang w:eastAsia="zh-CN"/>
        </w:rPr>
        <w:t>，结算价报每磅</w:t>
      </w:r>
      <w:r w:rsidRPr="005F7717">
        <w:rPr>
          <w:rFonts w:ascii="微软雅黑" w:eastAsia="微软雅黑" w:hAnsi="微软雅黑" w:cs="微软雅黑"/>
          <w:noProof/>
          <w:spacing w:val="7"/>
          <w:lang w:eastAsia="zh-CN"/>
        </w:rPr>
        <w:t>15.14</w:t>
      </w:r>
      <w:r w:rsidRPr="005F7717">
        <w:rPr>
          <w:rFonts w:ascii="微软雅黑" w:eastAsia="微软雅黑" w:hAnsi="微软雅黑" w:cs="微软雅黑" w:hint="eastAsia"/>
          <w:noProof/>
          <w:spacing w:val="7"/>
          <w:lang w:eastAsia="zh-CN"/>
        </w:rPr>
        <w:t>美分。</w:t>
      </w:r>
    </w:p>
    <w:p w14:paraId="3813396B" w14:textId="77777777" w:rsidR="005F7717" w:rsidRPr="005F7717" w:rsidRDefault="005F7717" w:rsidP="005F7717">
      <w:pPr>
        <w:spacing w:before="103" w:line="256" w:lineRule="auto"/>
        <w:ind w:right="210" w:firstLine="448"/>
        <w:jc w:val="both"/>
        <w:rPr>
          <w:rFonts w:ascii="微软雅黑" w:eastAsia="微软雅黑" w:hAnsi="微软雅黑" w:cs="微软雅黑"/>
          <w:noProof/>
          <w:spacing w:val="7"/>
          <w:lang w:eastAsia="zh-CN"/>
        </w:rPr>
      </w:pPr>
      <w:r w:rsidRPr="005F7717">
        <w:rPr>
          <w:rFonts w:ascii="微软雅黑" w:eastAsia="微软雅黑" w:hAnsi="微软雅黑" w:cs="微软雅黑" w:hint="eastAsia"/>
          <w:noProof/>
          <w:spacing w:val="7"/>
          <w:lang w:eastAsia="zh-CN"/>
        </w:rPr>
        <w:t>国际方面，多家机构调查显示，巴西中南部地区</w:t>
      </w:r>
      <w:r w:rsidRPr="005F7717">
        <w:rPr>
          <w:rFonts w:ascii="微软雅黑" w:eastAsia="微软雅黑" w:hAnsi="微软雅黑" w:cs="微软雅黑"/>
          <w:noProof/>
          <w:spacing w:val="7"/>
          <w:lang w:eastAsia="zh-CN"/>
        </w:rPr>
        <w:t>6</w:t>
      </w:r>
      <w:r w:rsidRPr="005F7717">
        <w:rPr>
          <w:rFonts w:ascii="微软雅黑" w:eastAsia="微软雅黑" w:hAnsi="微软雅黑" w:cs="微软雅黑" w:hint="eastAsia"/>
          <w:noProof/>
          <w:spacing w:val="7"/>
          <w:lang w:eastAsia="zh-CN"/>
        </w:rPr>
        <w:t>月上半月糖产量料为</w:t>
      </w:r>
      <w:r w:rsidRPr="005F7717">
        <w:rPr>
          <w:rFonts w:ascii="微软雅黑" w:eastAsia="微软雅黑" w:hAnsi="微软雅黑" w:cs="微软雅黑"/>
          <w:noProof/>
          <w:spacing w:val="7"/>
          <w:lang w:eastAsia="zh-CN"/>
        </w:rPr>
        <w:t>221</w:t>
      </w:r>
      <w:r w:rsidRPr="005F7717">
        <w:rPr>
          <w:rFonts w:ascii="微软雅黑" w:eastAsia="微软雅黑" w:hAnsi="微软雅黑" w:cs="微软雅黑" w:hint="eastAsia"/>
          <w:noProof/>
          <w:spacing w:val="7"/>
          <w:lang w:eastAsia="zh-CN"/>
        </w:rPr>
        <w:t>万吨，较上年同期减少</w:t>
      </w:r>
      <w:r w:rsidRPr="005F7717">
        <w:rPr>
          <w:rFonts w:ascii="微软雅黑" w:eastAsia="微软雅黑" w:hAnsi="微软雅黑" w:cs="微软雅黑"/>
          <w:noProof/>
          <w:spacing w:val="7"/>
          <w:lang w:eastAsia="zh-CN"/>
        </w:rPr>
        <w:t>9.5%</w:t>
      </w:r>
      <w:r w:rsidRPr="005F7717">
        <w:rPr>
          <w:rFonts w:ascii="微软雅黑" w:eastAsia="微软雅黑" w:hAnsi="微软雅黑" w:cs="微软雅黑" w:hint="eastAsia"/>
          <w:noProof/>
          <w:spacing w:val="7"/>
          <w:lang w:eastAsia="zh-CN"/>
        </w:rPr>
        <w:t>，同期甘蔗压榨量料为</w:t>
      </w:r>
      <w:r w:rsidRPr="005F7717">
        <w:rPr>
          <w:rFonts w:ascii="微软雅黑" w:eastAsia="微软雅黑" w:hAnsi="微软雅黑" w:cs="微软雅黑"/>
          <w:noProof/>
          <w:spacing w:val="7"/>
          <w:lang w:eastAsia="zh-CN"/>
        </w:rPr>
        <w:t>3835</w:t>
      </w:r>
      <w:r w:rsidRPr="005F7717">
        <w:rPr>
          <w:rFonts w:ascii="微软雅黑" w:eastAsia="微软雅黑" w:hAnsi="微软雅黑" w:cs="微软雅黑" w:hint="eastAsia"/>
          <w:noProof/>
          <w:spacing w:val="7"/>
          <w:lang w:eastAsia="zh-CN"/>
        </w:rPr>
        <w:t>万吨，同比减少</w:t>
      </w:r>
      <w:r w:rsidRPr="005F7717">
        <w:rPr>
          <w:rFonts w:ascii="微软雅黑" w:eastAsia="微软雅黑" w:hAnsi="微软雅黑" w:cs="微软雅黑"/>
          <w:noProof/>
          <w:spacing w:val="7"/>
          <w:lang w:eastAsia="zh-CN"/>
        </w:rPr>
        <w:t>1.3%</w:t>
      </w:r>
      <w:r w:rsidRPr="005F7717">
        <w:rPr>
          <w:rFonts w:ascii="微软雅黑" w:eastAsia="微软雅黑" w:hAnsi="微软雅黑" w:cs="微软雅黑" w:hint="eastAsia"/>
          <w:noProof/>
          <w:spacing w:val="7"/>
          <w:lang w:eastAsia="zh-CN"/>
        </w:rPr>
        <w:t>。</w:t>
      </w:r>
    </w:p>
    <w:p w14:paraId="3F44DEBC" w14:textId="548E9F34" w:rsidR="00C27A84" w:rsidRDefault="005F7717" w:rsidP="005F7717">
      <w:pPr>
        <w:spacing w:before="103" w:line="256" w:lineRule="auto"/>
        <w:ind w:right="210" w:firstLine="448"/>
        <w:jc w:val="both"/>
        <w:rPr>
          <w:rFonts w:ascii="微软雅黑" w:eastAsia="微软雅黑" w:hAnsi="微软雅黑" w:cs="微软雅黑" w:hint="eastAsia"/>
          <w:noProof/>
          <w:spacing w:val="7"/>
          <w:lang w:eastAsia="zh-CN"/>
        </w:rPr>
      </w:pPr>
      <w:r w:rsidRPr="005F7717">
        <w:rPr>
          <w:rFonts w:ascii="微软雅黑" w:eastAsia="微软雅黑" w:hAnsi="微软雅黑" w:cs="微软雅黑" w:hint="eastAsia"/>
          <w:noProof/>
          <w:spacing w:val="7"/>
          <w:lang w:eastAsia="zh-CN"/>
        </w:rPr>
        <w:t>美糖主力价格关注上方压力</w:t>
      </w:r>
      <w:r w:rsidRPr="005F7717">
        <w:rPr>
          <w:rFonts w:ascii="微软雅黑" w:eastAsia="微软雅黑" w:hAnsi="微软雅黑" w:cs="微软雅黑"/>
          <w:noProof/>
          <w:spacing w:val="7"/>
          <w:lang w:eastAsia="zh-CN"/>
        </w:rPr>
        <w:t>15.8</w:t>
      </w:r>
      <w:r w:rsidRPr="005F7717">
        <w:rPr>
          <w:rFonts w:ascii="微软雅黑" w:eastAsia="微软雅黑" w:hAnsi="微软雅黑" w:cs="微软雅黑" w:hint="eastAsia"/>
          <w:noProof/>
          <w:spacing w:val="7"/>
          <w:lang w:eastAsia="zh-CN"/>
        </w:rPr>
        <w:t>美分</w:t>
      </w:r>
      <w:r w:rsidRPr="005F7717">
        <w:rPr>
          <w:rFonts w:ascii="微软雅黑" w:eastAsia="微软雅黑" w:hAnsi="微软雅黑" w:cs="微软雅黑"/>
          <w:noProof/>
          <w:spacing w:val="7"/>
          <w:lang w:eastAsia="zh-CN"/>
        </w:rPr>
        <w:t>/</w:t>
      </w:r>
      <w:r w:rsidRPr="005F7717">
        <w:rPr>
          <w:rFonts w:ascii="微软雅黑" w:eastAsia="微软雅黑" w:hAnsi="微软雅黑" w:cs="微软雅黑" w:hint="eastAsia"/>
          <w:noProof/>
          <w:spacing w:val="7"/>
          <w:lang w:eastAsia="zh-CN"/>
        </w:rPr>
        <w:t>磅，下方支撑</w:t>
      </w:r>
      <w:r w:rsidRPr="005F7717">
        <w:rPr>
          <w:rFonts w:ascii="微软雅黑" w:eastAsia="微软雅黑" w:hAnsi="微软雅黑" w:cs="微软雅黑"/>
          <w:noProof/>
          <w:spacing w:val="7"/>
          <w:lang w:eastAsia="zh-CN"/>
        </w:rPr>
        <w:t>13.8</w:t>
      </w:r>
      <w:r w:rsidRPr="005F7717">
        <w:rPr>
          <w:rFonts w:ascii="微软雅黑" w:eastAsia="微软雅黑" w:hAnsi="微软雅黑" w:cs="微软雅黑" w:hint="eastAsia"/>
          <w:noProof/>
          <w:spacing w:val="7"/>
          <w:lang w:eastAsia="zh-CN"/>
        </w:rPr>
        <w:t>美分</w:t>
      </w:r>
      <w:r w:rsidRPr="005F7717">
        <w:rPr>
          <w:rFonts w:ascii="微软雅黑" w:eastAsia="微软雅黑" w:hAnsi="微软雅黑" w:cs="微软雅黑"/>
          <w:noProof/>
          <w:spacing w:val="7"/>
          <w:lang w:eastAsia="zh-CN"/>
        </w:rPr>
        <w:t>/</w:t>
      </w:r>
      <w:r w:rsidRPr="005F7717">
        <w:rPr>
          <w:rFonts w:ascii="微软雅黑" w:eastAsia="微软雅黑" w:hAnsi="微软雅黑" w:cs="微软雅黑" w:hint="eastAsia"/>
          <w:noProof/>
          <w:spacing w:val="7"/>
          <w:lang w:eastAsia="zh-CN"/>
        </w:rPr>
        <w:t>磅。建议</w:t>
      </w:r>
      <w:r w:rsidRPr="005F7717">
        <w:rPr>
          <w:rFonts w:ascii="微软雅黑" w:eastAsia="微软雅黑" w:hAnsi="微软雅黑" w:cs="微软雅黑"/>
          <w:noProof/>
          <w:spacing w:val="7"/>
          <w:lang w:eastAsia="zh-CN"/>
        </w:rPr>
        <w:t>10</w:t>
      </w:r>
      <w:r w:rsidRPr="005F7717">
        <w:rPr>
          <w:rFonts w:ascii="微软雅黑" w:eastAsia="微软雅黑" w:hAnsi="微软雅黑" w:cs="微软雅黑" w:hint="eastAsia"/>
          <w:noProof/>
          <w:spacing w:val="7"/>
          <w:lang w:eastAsia="zh-CN"/>
        </w:rPr>
        <w:t>月</w:t>
      </w:r>
      <w:r w:rsidRPr="005F7717">
        <w:rPr>
          <w:rFonts w:ascii="微软雅黑" w:eastAsia="微软雅黑" w:hAnsi="微软雅黑" w:cs="微软雅黑"/>
          <w:noProof/>
          <w:spacing w:val="7"/>
          <w:lang w:eastAsia="zh-CN"/>
        </w:rPr>
        <w:t xml:space="preserve"> ICE </w:t>
      </w:r>
      <w:r w:rsidRPr="005F7717">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39164137" w:rsidR="007A477E" w:rsidRPr="00786136" w:rsidRDefault="005F7717"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7B4E1D89" wp14:editId="789FA41A">
            <wp:extent cx="5271770" cy="1709420"/>
            <wp:effectExtent l="0" t="0" r="5080" b="5080"/>
            <wp:docPr id="1484058289" name="图片 5" descr="QQ截图2026070808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截图202607080807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1770" cy="170942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220BA93A" w14:textId="77777777" w:rsidR="005F7717" w:rsidRPr="005F7717" w:rsidRDefault="005F7717" w:rsidP="005F7717">
      <w:pPr>
        <w:spacing w:before="103" w:line="256" w:lineRule="auto"/>
        <w:ind w:right="210" w:firstLine="448"/>
        <w:jc w:val="both"/>
        <w:rPr>
          <w:rFonts w:ascii="微软雅黑" w:eastAsia="微软雅黑" w:hAnsi="微软雅黑" w:cs="微软雅黑"/>
          <w:noProof/>
          <w:spacing w:val="7"/>
          <w:lang w:eastAsia="zh-CN"/>
        </w:rPr>
      </w:pPr>
      <w:r w:rsidRPr="005F7717">
        <w:rPr>
          <w:rFonts w:ascii="微软雅黑" w:eastAsia="微软雅黑" w:hAnsi="微软雅黑" w:cs="微软雅黑" w:hint="eastAsia"/>
          <w:noProof/>
          <w:spacing w:val="7"/>
          <w:lang w:eastAsia="zh-CN"/>
        </w:rPr>
        <w:t>洲际交易所</w:t>
      </w:r>
      <w:r w:rsidRPr="005F7717">
        <w:rPr>
          <w:rFonts w:ascii="微软雅黑" w:eastAsia="微软雅黑" w:hAnsi="微软雅黑" w:cs="微软雅黑"/>
          <w:noProof/>
          <w:spacing w:val="7"/>
          <w:lang w:eastAsia="zh-CN"/>
        </w:rPr>
        <w:t>(ICE)</w:t>
      </w:r>
      <w:r w:rsidRPr="005F7717">
        <w:rPr>
          <w:rFonts w:ascii="微软雅黑" w:eastAsia="微软雅黑" w:hAnsi="微软雅黑" w:cs="微软雅黑" w:hint="eastAsia"/>
          <w:noProof/>
          <w:spacing w:val="7"/>
          <w:lang w:eastAsia="zh-CN"/>
        </w:rPr>
        <w:t>棉花期货周二上涨，因美国产区的不良天气及需求增加预期带来支撑，</w:t>
      </w:r>
      <w:r w:rsidRPr="005F7717">
        <w:rPr>
          <w:rFonts w:ascii="微软雅黑" w:eastAsia="微软雅黑" w:hAnsi="微软雅黑" w:cs="微软雅黑"/>
          <w:noProof/>
          <w:spacing w:val="7"/>
          <w:lang w:eastAsia="zh-CN"/>
        </w:rPr>
        <w:t>ICE 12</w:t>
      </w:r>
      <w:r w:rsidRPr="005F7717">
        <w:rPr>
          <w:rFonts w:ascii="微软雅黑" w:eastAsia="微软雅黑" w:hAnsi="微软雅黑" w:cs="微软雅黑" w:hint="eastAsia"/>
          <w:noProof/>
          <w:spacing w:val="7"/>
          <w:lang w:eastAsia="zh-CN"/>
        </w:rPr>
        <w:t>月棉花期货合约上涨</w:t>
      </w:r>
      <w:r w:rsidRPr="005F7717">
        <w:rPr>
          <w:rFonts w:ascii="微软雅黑" w:eastAsia="微软雅黑" w:hAnsi="微软雅黑" w:cs="微软雅黑"/>
          <w:noProof/>
          <w:spacing w:val="7"/>
          <w:lang w:eastAsia="zh-CN"/>
        </w:rPr>
        <w:t>2.99</w:t>
      </w:r>
      <w:r w:rsidRPr="005F7717">
        <w:rPr>
          <w:rFonts w:ascii="微软雅黑" w:eastAsia="微软雅黑" w:hAnsi="微软雅黑" w:cs="微软雅黑" w:hint="eastAsia"/>
          <w:noProof/>
          <w:spacing w:val="7"/>
          <w:lang w:eastAsia="zh-CN"/>
        </w:rPr>
        <w:t>美分或</w:t>
      </w:r>
      <w:r w:rsidRPr="005F7717">
        <w:rPr>
          <w:rFonts w:ascii="微软雅黑" w:eastAsia="微软雅黑" w:hAnsi="微软雅黑" w:cs="微软雅黑"/>
          <w:noProof/>
          <w:spacing w:val="7"/>
          <w:lang w:eastAsia="zh-CN"/>
        </w:rPr>
        <w:t>3.82%</w:t>
      </w:r>
      <w:r w:rsidRPr="005F7717">
        <w:rPr>
          <w:rFonts w:ascii="微软雅黑" w:eastAsia="微软雅黑" w:hAnsi="微软雅黑" w:cs="微软雅黑" w:hint="eastAsia"/>
          <w:noProof/>
          <w:spacing w:val="7"/>
          <w:lang w:eastAsia="zh-CN"/>
        </w:rPr>
        <w:t>，结算价报每磅</w:t>
      </w:r>
      <w:r w:rsidRPr="005F7717">
        <w:rPr>
          <w:rFonts w:ascii="微软雅黑" w:eastAsia="微软雅黑" w:hAnsi="微软雅黑" w:cs="微软雅黑"/>
          <w:noProof/>
          <w:spacing w:val="7"/>
          <w:lang w:eastAsia="zh-CN"/>
        </w:rPr>
        <w:t>81.29</w:t>
      </w:r>
      <w:r w:rsidRPr="005F7717">
        <w:rPr>
          <w:rFonts w:ascii="微软雅黑" w:eastAsia="微软雅黑" w:hAnsi="微软雅黑" w:cs="微软雅黑" w:hint="eastAsia"/>
          <w:noProof/>
          <w:spacing w:val="7"/>
          <w:lang w:eastAsia="zh-CN"/>
        </w:rPr>
        <w:t>美分。</w:t>
      </w:r>
    </w:p>
    <w:p w14:paraId="0DE264A7" w14:textId="3467E1D3" w:rsidR="00ED4A18" w:rsidRDefault="005F7717" w:rsidP="005F7717">
      <w:pPr>
        <w:spacing w:before="103" w:line="256" w:lineRule="auto"/>
        <w:ind w:right="210" w:firstLine="448"/>
        <w:jc w:val="both"/>
        <w:rPr>
          <w:rFonts w:ascii="微软雅黑" w:eastAsia="微软雅黑" w:hAnsi="微软雅黑" w:cs="微软雅黑" w:hint="eastAsia"/>
          <w:noProof/>
          <w:spacing w:val="7"/>
          <w:lang w:eastAsia="zh-CN"/>
        </w:rPr>
      </w:pPr>
      <w:r w:rsidRPr="005F7717">
        <w:rPr>
          <w:rFonts w:ascii="微软雅黑" w:eastAsia="微软雅黑" w:hAnsi="微软雅黑" w:cs="微软雅黑" w:hint="eastAsia"/>
          <w:noProof/>
          <w:spacing w:val="7"/>
          <w:lang w:eastAsia="zh-CN"/>
        </w:rPr>
        <w:t>国际方面，美国农业部报告下属的首席经济学家办公室</w:t>
      </w:r>
      <w:r w:rsidRPr="005F7717">
        <w:rPr>
          <w:rFonts w:ascii="微软雅黑" w:eastAsia="微软雅黑" w:hAnsi="微软雅黑" w:cs="微软雅黑"/>
          <w:noProof/>
          <w:spacing w:val="7"/>
          <w:lang w:eastAsia="zh-CN"/>
        </w:rPr>
        <w:t>(OCE)</w:t>
      </w:r>
      <w:r w:rsidRPr="005F7717">
        <w:rPr>
          <w:rFonts w:ascii="微软雅黑" w:eastAsia="微软雅黑" w:hAnsi="微软雅黑" w:cs="微软雅黑" w:hint="eastAsia"/>
          <w:noProof/>
          <w:spacing w:val="7"/>
          <w:lang w:eastAsia="zh-CN"/>
        </w:rPr>
        <w:t>显示，截至</w:t>
      </w:r>
      <w:r w:rsidRPr="005F7717">
        <w:rPr>
          <w:rFonts w:ascii="微软雅黑" w:eastAsia="微软雅黑" w:hAnsi="微软雅黑" w:cs="微软雅黑"/>
          <w:noProof/>
          <w:spacing w:val="7"/>
          <w:lang w:eastAsia="zh-CN"/>
        </w:rPr>
        <w:t>6</w:t>
      </w:r>
      <w:r w:rsidRPr="005F7717">
        <w:rPr>
          <w:rFonts w:ascii="微软雅黑" w:eastAsia="微软雅黑" w:hAnsi="微软雅黑" w:cs="微软雅黑" w:hint="eastAsia"/>
          <w:noProof/>
          <w:spacing w:val="7"/>
          <w:lang w:eastAsia="zh-CN"/>
        </w:rPr>
        <w:t>月</w:t>
      </w:r>
      <w:r w:rsidRPr="005F7717">
        <w:rPr>
          <w:rFonts w:ascii="微软雅黑" w:eastAsia="微软雅黑" w:hAnsi="微软雅黑" w:cs="微软雅黑"/>
          <w:noProof/>
          <w:spacing w:val="7"/>
          <w:lang w:eastAsia="zh-CN"/>
        </w:rPr>
        <w:t>30</w:t>
      </w:r>
      <w:r w:rsidRPr="005F7717">
        <w:rPr>
          <w:rFonts w:ascii="微软雅黑" w:eastAsia="微软雅黑" w:hAnsi="微软雅黑" w:cs="微软雅黑" w:hint="eastAsia"/>
          <w:noProof/>
          <w:spacing w:val="7"/>
          <w:lang w:eastAsia="zh-CN"/>
        </w:rPr>
        <w:t>日当周，美国约</w:t>
      </w:r>
      <w:r w:rsidRPr="005F7717">
        <w:rPr>
          <w:rFonts w:ascii="微软雅黑" w:eastAsia="微软雅黑" w:hAnsi="微软雅黑" w:cs="微软雅黑"/>
          <w:noProof/>
          <w:spacing w:val="7"/>
          <w:lang w:eastAsia="zh-CN"/>
        </w:rPr>
        <w:t>56%</w:t>
      </w:r>
      <w:r w:rsidRPr="005F7717">
        <w:rPr>
          <w:rFonts w:ascii="微软雅黑" w:eastAsia="微软雅黑" w:hAnsi="微软雅黑" w:cs="微软雅黑" w:hint="eastAsia"/>
          <w:noProof/>
          <w:spacing w:val="7"/>
          <w:lang w:eastAsia="zh-CN"/>
        </w:rPr>
        <w:t>棉花产区受到干旱影响，低于之前一周的</w:t>
      </w:r>
      <w:r w:rsidRPr="005F7717">
        <w:rPr>
          <w:rFonts w:ascii="微软雅黑" w:eastAsia="微软雅黑" w:hAnsi="微软雅黑" w:cs="微软雅黑"/>
          <w:noProof/>
          <w:spacing w:val="7"/>
          <w:lang w:eastAsia="zh-CN"/>
        </w:rPr>
        <w:t>58%</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29FA3C5" w:rsidR="00C24CC6" w:rsidRDefault="005F7717"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lastRenderedPageBreak/>
        <w:drawing>
          <wp:inline distT="0" distB="0" distL="0" distR="0" wp14:anchorId="137D35F1" wp14:editId="315A84A6">
            <wp:extent cx="5263515" cy="2170430"/>
            <wp:effectExtent l="0" t="0" r="0" b="1270"/>
            <wp:docPr id="110372876" name="图片 6" descr="QQ截图2026070808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QQ截图202607080807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A154" w14:textId="77777777" w:rsidR="00B803D8" w:rsidRDefault="00B803D8">
      <w:pPr>
        <w:ind w:right="210" w:firstLine="420"/>
      </w:pPr>
      <w:r>
        <w:separator/>
      </w:r>
    </w:p>
  </w:endnote>
  <w:endnote w:type="continuationSeparator" w:id="0">
    <w:p w14:paraId="465C9D75" w14:textId="77777777" w:rsidR="00B803D8" w:rsidRDefault="00B803D8">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C74B" w14:textId="77777777" w:rsidR="00B803D8" w:rsidRDefault="00B803D8">
      <w:pPr>
        <w:ind w:right="210" w:firstLine="420"/>
      </w:pPr>
      <w:r>
        <w:separator/>
      </w:r>
    </w:p>
  </w:footnote>
  <w:footnote w:type="continuationSeparator" w:id="0">
    <w:p w14:paraId="5CFE6F12" w14:textId="77777777" w:rsidR="00B803D8" w:rsidRDefault="00B803D8">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684988483"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oNotDisplayPageBoundaries/>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26543"/>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43C7"/>
    <w:rsid w:val="000A4DC4"/>
    <w:rsid w:val="000A785F"/>
    <w:rsid w:val="000B0395"/>
    <w:rsid w:val="000B0AE3"/>
    <w:rsid w:val="000B185C"/>
    <w:rsid w:val="000B2865"/>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47FE4"/>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717"/>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4DAA"/>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B05"/>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3D8"/>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56BC"/>
    <w:rsid w:val="00E85F1D"/>
    <w:rsid w:val="00E86954"/>
    <w:rsid w:val="00E906CA"/>
    <w:rsid w:val="00E90B87"/>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2026-07-09T01:09:00Z</dcterms:created>
  <dcterms:modified xsi:type="dcterms:W3CDTF">2026-07-09T01:09:00Z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