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7F81A430"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726124">
        <w:rPr>
          <w:rFonts w:ascii="微软雅黑" w:eastAsia="微软雅黑" w:hAnsi="微软雅黑" w:cs="微软雅黑" w:hint="eastAsia"/>
          <w:b/>
          <w:bCs/>
          <w:color w:val="005D97"/>
          <w:spacing w:val="-22"/>
          <w:sz w:val="48"/>
          <w:szCs w:val="48"/>
          <w:lang w:eastAsia="zh-CN"/>
        </w:rPr>
        <w:t>2</w:t>
      </w:r>
      <w:r w:rsidR="00CA4B03">
        <w:rPr>
          <w:rFonts w:ascii="微软雅黑" w:eastAsia="微软雅黑" w:hAnsi="微软雅黑" w:cs="微软雅黑" w:hint="eastAsia"/>
          <w:b/>
          <w:bCs/>
          <w:color w:val="005D97"/>
          <w:spacing w:val="-22"/>
          <w:sz w:val="48"/>
          <w:szCs w:val="48"/>
          <w:lang w:eastAsia="zh-CN"/>
        </w:rPr>
        <w:t>2</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76B712C9" w:rsidR="007B3E0B" w:rsidRDefault="00CA4B03"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CA4B03">
        <w:rPr>
          <w:rFonts w:ascii="微软雅黑" w:eastAsia="微软雅黑" w:hAnsi="微软雅黑" w:cs="微软雅黑"/>
          <w:spacing w:val="12"/>
          <w:lang w:eastAsia="zh-CN"/>
        </w:rPr>
        <w:t>美国三大股指全线收涨，道指涨0.74%报52224.64点，标普500指数涨0.89%报7509.2点，纳指涨1.29%报25837.21点。美元指数涨0.24%报101.21，非美货币多数下跌，欧元兑美元跌0.14%报1.1398，英镑兑美元跌0.42%报1.3375，澳元兑美元跌0.04%报0.6996，美元兑日元涨0.43%报163.20，美元兑瑞郎涨0.32%报0.8129，离岸人民币对美元涨3个基点报6.7689。国际贵金属期货普遍收涨，COMEX黄金期货涨1.65%报4082.20美元/盎司，COMEX白银期货涨3.50%报59.07美元/盎司。</w:t>
      </w:r>
      <w:r w:rsidR="00900347" w:rsidRPr="00CA4B03">
        <w:rPr>
          <w:rFonts w:ascii="微软雅黑" w:eastAsia="微软雅黑" w:hAnsi="微软雅黑" w:cs="微软雅黑" w:hint="eastAsia"/>
          <w:spacing w:val="12"/>
          <w:lang w:eastAsia="zh-CN"/>
        </w:rPr>
        <w:t>I</w:t>
      </w:r>
      <w:r w:rsidR="007B3E0B" w:rsidRPr="00CA4B03">
        <w:rPr>
          <w:rFonts w:ascii="微软雅黑" w:eastAsia="微软雅黑" w:hAnsi="微软雅黑" w:cs="微软雅黑"/>
          <w:spacing w:val="12"/>
          <w:lang w:eastAsia="zh-CN"/>
        </w:rPr>
        <w:t>CE</w:t>
      </w:r>
      <w:r w:rsidR="007B3E0B" w:rsidRPr="00CA4B03">
        <w:rPr>
          <w:rFonts w:ascii="微软雅黑" w:eastAsia="微软雅黑" w:hAnsi="微软雅黑" w:cs="微软雅黑" w:hint="eastAsia"/>
          <w:spacing w:val="12"/>
          <w:lang w:eastAsia="zh-CN"/>
        </w:rPr>
        <w:t>原糖主力合约</w:t>
      </w:r>
      <w:r w:rsidRPr="00CA4B03">
        <w:rPr>
          <w:rFonts w:ascii="微软雅黑" w:eastAsia="微软雅黑" w:hAnsi="微软雅黑" w:cs="微软雅黑" w:hint="eastAsia"/>
          <w:spacing w:val="12"/>
          <w:lang w:eastAsia="zh-CN"/>
        </w:rPr>
        <w:t>涨0.54</w:t>
      </w:r>
      <w:r w:rsidR="007B3E0B" w:rsidRPr="00CA4B03">
        <w:rPr>
          <w:rFonts w:ascii="微软雅黑" w:eastAsia="微软雅黑" w:hAnsi="微软雅黑" w:cs="微软雅黑"/>
          <w:spacing w:val="12"/>
          <w:lang w:eastAsia="zh-CN"/>
        </w:rPr>
        <w:t>%</w:t>
      </w:r>
      <w:r w:rsidR="007B3E0B" w:rsidRPr="00CA4B03">
        <w:rPr>
          <w:rFonts w:ascii="微软雅黑" w:eastAsia="微软雅黑" w:hAnsi="微软雅黑" w:cs="微软雅黑" w:hint="eastAsia"/>
          <w:spacing w:val="12"/>
          <w:lang w:eastAsia="zh-CN"/>
        </w:rPr>
        <w:t>报</w:t>
      </w:r>
      <w:r w:rsidR="008D5F7A" w:rsidRPr="00CA4B03">
        <w:rPr>
          <w:rFonts w:ascii="微软雅黑" w:eastAsia="微软雅黑" w:hAnsi="微软雅黑" w:cs="微软雅黑" w:hint="eastAsia"/>
          <w:spacing w:val="12"/>
          <w:lang w:eastAsia="zh-CN"/>
        </w:rPr>
        <w:t>1</w:t>
      </w:r>
      <w:r w:rsidR="00BA4788" w:rsidRPr="00CA4B03">
        <w:rPr>
          <w:rFonts w:ascii="微软雅黑" w:eastAsia="微软雅黑" w:hAnsi="微软雅黑" w:cs="微软雅黑" w:hint="eastAsia"/>
          <w:spacing w:val="12"/>
          <w:lang w:eastAsia="zh-CN"/>
        </w:rPr>
        <w:t>4</w:t>
      </w:r>
      <w:r w:rsidRPr="00CA4B03">
        <w:rPr>
          <w:rFonts w:ascii="微软雅黑" w:eastAsia="微软雅黑" w:hAnsi="微软雅黑" w:cs="微软雅黑" w:hint="eastAsia"/>
          <w:spacing w:val="12"/>
          <w:lang w:eastAsia="zh-CN"/>
        </w:rPr>
        <w:t>.90</w:t>
      </w:r>
      <w:r w:rsidR="007B3E0B" w:rsidRPr="00CA4B03">
        <w:rPr>
          <w:rFonts w:ascii="微软雅黑" w:eastAsia="微软雅黑" w:hAnsi="微软雅黑" w:cs="微软雅黑" w:hint="eastAsia"/>
          <w:spacing w:val="12"/>
          <w:lang w:eastAsia="zh-CN"/>
        </w:rPr>
        <w:t>美分</w:t>
      </w:r>
      <w:r w:rsidR="007B3E0B" w:rsidRPr="00CA4B03">
        <w:rPr>
          <w:rFonts w:ascii="微软雅黑" w:eastAsia="微软雅黑" w:hAnsi="微软雅黑" w:cs="微软雅黑"/>
          <w:spacing w:val="12"/>
          <w:lang w:eastAsia="zh-CN"/>
        </w:rPr>
        <w:t>/</w:t>
      </w:r>
      <w:r w:rsidR="007B3E0B" w:rsidRPr="00CA4B03">
        <w:rPr>
          <w:rFonts w:ascii="微软雅黑" w:eastAsia="微软雅黑" w:hAnsi="微软雅黑" w:cs="微软雅黑" w:hint="eastAsia"/>
          <w:spacing w:val="12"/>
          <w:lang w:eastAsia="zh-CN"/>
        </w:rPr>
        <w:t>磅，</w:t>
      </w:r>
      <w:r w:rsidR="007B3E0B" w:rsidRPr="00CA4B03">
        <w:rPr>
          <w:rFonts w:ascii="微软雅黑" w:eastAsia="微软雅黑" w:hAnsi="微软雅黑" w:cs="微软雅黑"/>
          <w:spacing w:val="12"/>
          <w:lang w:eastAsia="zh-CN"/>
        </w:rPr>
        <w:t>ICE</w:t>
      </w:r>
      <w:r w:rsidR="007B3E0B" w:rsidRPr="00CA4B03">
        <w:rPr>
          <w:rFonts w:ascii="微软雅黑" w:eastAsia="微软雅黑" w:hAnsi="微软雅黑" w:cs="微软雅黑" w:hint="eastAsia"/>
          <w:spacing w:val="12"/>
          <w:lang w:eastAsia="zh-CN"/>
        </w:rPr>
        <w:t>棉花主力合约</w:t>
      </w:r>
      <w:r w:rsidR="00726124" w:rsidRPr="00CA4B03">
        <w:rPr>
          <w:rFonts w:ascii="微软雅黑" w:eastAsia="微软雅黑" w:hAnsi="微软雅黑" w:cs="微软雅黑" w:hint="eastAsia"/>
          <w:spacing w:val="12"/>
          <w:lang w:eastAsia="zh-CN"/>
        </w:rPr>
        <w:t>涨</w:t>
      </w:r>
      <w:r w:rsidRPr="00CA4B03">
        <w:rPr>
          <w:rFonts w:ascii="微软雅黑" w:eastAsia="微软雅黑" w:hAnsi="微软雅黑" w:cs="微软雅黑" w:hint="eastAsia"/>
          <w:spacing w:val="12"/>
          <w:lang w:eastAsia="zh-CN"/>
        </w:rPr>
        <w:t>1.86</w:t>
      </w:r>
      <w:r w:rsidR="007B3E0B" w:rsidRPr="00CA4B03">
        <w:rPr>
          <w:rFonts w:ascii="微软雅黑" w:eastAsia="微软雅黑" w:hAnsi="微软雅黑" w:cs="微软雅黑"/>
          <w:spacing w:val="12"/>
          <w:lang w:eastAsia="zh-CN"/>
        </w:rPr>
        <w:t>%</w:t>
      </w:r>
      <w:r w:rsidR="007B3E0B" w:rsidRPr="00CA4B03">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80.39</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1F91EEA" w:rsidR="00557736" w:rsidRPr="0022448B" w:rsidRDefault="00CA4B03"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014A21FD" wp14:editId="2D02BEA6">
            <wp:extent cx="5707977" cy="3761740"/>
            <wp:effectExtent l="0" t="0" r="7620" b="0"/>
            <wp:docPr id="944277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1085" cy="3763788"/>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4BCC1C4A" w:rsidR="00863E18" w:rsidRPr="00CA4B03"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CA4B03" w:rsidRPr="00CA4B03">
        <w:rPr>
          <w:rFonts w:ascii="微软雅黑" w:eastAsia="微软雅黑" w:hAnsi="微软雅黑" w:cs="微软雅黑"/>
          <w:color w:val="auto"/>
          <w:spacing w:val="4"/>
          <w:lang w:eastAsia="zh-CN"/>
        </w:rPr>
        <w:t>多名美方高级官员称，美国总统特朗普预计在未来数日内决定是否扩大对伊朗的军事行动并恢复“全面作战行动”。若特朗普决定恢复对伊朗全面作战行动，其强度和范围将远超美军近日对伊朗发动的袭击，以色列很可能参与其中。特朗普表示，美国“很快”将对伊朗位于纳坦兹以南的“镐山”地下设施发动打击，而且打击力度将“非常猛烈”。特朗普同时警告称，如果也门胡塞武装封锁红海，美国将采取行动。伊朗军方表示，若美军攻击伊朗核设施，中东地区美方利益都将遭到报复。</w:t>
      </w:r>
      <w:r w:rsidRPr="00CA4B03">
        <w:rPr>
          <w:rFonts w:ascii="微软雅黑" w:eastAsia="微软雅黑" w:hAnsi="微软雅黑" w:cs="微软雅黑" w:hint="eastAsia"/>
          <w:color w:val="auto"/>
          <w:spacing w:val="4"/>
          <w:lang w:eastAsia="zh-CN"/>
        </w:rPr>
        <w:t>】</w:t>
      </w:r>
    </w:p>
    <w:p w14:paraId="44D59D47" w14:textId="0C1FB293" w:rsidR="002E37FC" w:rsidRPr="00CA4B03"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CA4B03">
        <w:rPr>
          <w:rFonts w:ascii="微软雅黑" w:eastAsia="微软雅黑" w:hAnsi="微软雅黑" w:cs="微软雅黑" w:hint="eastAsia"/>
          <w:color w:val="auto"/>
          <w:spacing w:val="4"/>
          <w:lang w:eastAsia="zh-CN"/>
        </w:rPr>
        <w:t>【</w:t>
      </w:r>
      <w:r w:rsidR="00CA4B03" w:rsidRPr="00CA4B03">
        <w:rPr>
          <w:rFonts w:ascii="微软雅黑" w:eastAsia="微软雅黑" w:hAnsi="微软雅黑" w:cs="微软雅黑"/>
          <w:color w:val="auto"/>
          <w:spacing w:val="4"/>
          <w:lang w:eastAsia="zh-CN"/>
        </w:rPr>
        <w:t>美国财政部长贝森特称，美国目前已占据全球约50%至60%的算力份额，并预计这一比例将很快升至80%。他将这场算力竞赛定性为美国“绝不能输”的战略博弈，并将AI、半导体与量子计算并列为美国经济实力与安全的三大支柱。</w:t>
      </w:r>
      <w:r w:rsidRPr="00CA4B03">
        <w:rPr>
          <w:rFonts w:ascii="微软雅黑" w:eastAsia="微软雅黑" w:hAnsi="微软雅黑" w:cs="微软雅黑" w:hint="eastAsia"/>
          <w:color w:val="auto"/>
          <w:spacing w:val="4"/>
          <w:lang w:eastAsia="zh-CN"/>
        </w:rPr>
        <w:t>】</w:t>
      </w:r>
    </w:p>
    <w:p w14:paraId="6B260075" w14:textId="29D39351" w:rsidR="00BA4788" w:rsidRPr="00CA4B03"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CA4B03">
        <w:rPr>
          <w:rFonts w:ascii="微软雅黑" w:eastAsia="微软雅黑" w:hAnsi="微软雅黑" w:cs="微软雅黑" w:hint="eastAsia"/>
          <w:color w:val="auto"/>
          <w:spacing w:val="4"/>
          <w:lang w:eastAsia="zh-CN"/>
        </w:rPr>
        <w:lastRenderedPageBreak/>
        <w:t>【</w:t>
      </w:r>
      <w:r w:rsidR="00CA4B03" w:rsidRPr="00CA4B03">
        <w:rPr>
          <w:rFonts w:ascii="微软雅黑" w:eastAsia="微软雅黑" w:hAnsi="微软雅黑" w:cs="微软雅黑"/>
          <w:color w:val="auto"/>
          <w:spacing w:val="4"/>
          <w:lang w:eastAsia="zh-CN"/>
        </w:rPr>
        <w:t>美国情报机构评估报告认为，美国对伊朗新一轮军事打击不太可能对伊朗政府造成重大冲击，也难以迫使伊朗在谈判中软化立场，美伊将陷入介于“和平与战争”之间的“无限僵持”状态。</w:t>
      </w:r>
      <w:r w:rsidRPr="00CA4B03">
        <w:rPr>
          <w:rFonts w:ascii="微软雅黑" w:eastAsia="微软雅黑" w:hAnsi="微软雅黑" w:cs="微软雅黑" w:hint="eastAsia"/>
          <w:color w:val="auto"/>
          <w:spacing w:val="4"/>
          <w:lang w:eastAsia="zh-CN"/>
        </w:rPr>
        <w:t>】</w:t>
      </w:r>
    </w:p>
    <w:p w14:paraId="54234192" w14:textId="11556EAC" w:rsidR="00432248" w:rsidRPr="00726124" w:rsidRDefault="00432248"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CA4B03">
        <w:rPr>
          <w:rFonts w:ascii="微软雅黑" w:eastAsia="微软雅黑" w:hAnsi="微软雅黑" w:cs="微软雅黑" w:hint="eastAsia"/>
          <w:color w:val="auto"/>
          <w:spacing w:val="4"/>
          <w:lang w:eastAsia="zh-CN"/>
        </w:rPr>
        <w:t>【</w:t>
      </w:r>
      <w:r w:rsidR="00CA4B03" w:rsidRPr="00CA4B03">
        <w:rPr>
          <w:rFonts w:ascii="微软雅黑" w:eastAsia="微软雅黑" w:hAnsi="微软雅黑" w:cs="微软雅黑"/>
          <w:color w:val="auto"/>
          <w:spacing w:val="4"/>
          <w:lang w:eastAsia="zh-CN"/>
        </w:rPr>
        <w:t>日本内阁批准年度财政计划和增长战略，将大力扶持AI、半导体等17个战略领域，力争到2040年度官民投资累计超过370万亿日元，实现名义GDP增速超过3%，实际GDP增速超过1%。</w:t>
      </w:r>
      <w:r w:rsidRPr="00726124">
        <w:rPr>
          <w:rFonts w:ascii="微软雅黑" w:eastAsia="微软雅黑" w:hAnsi="微软雅黑" w:cs="微软雅黑" w:hint="eastAsia"/>
          <w:color w:val="auto"/>
          <w:spacing w:val="4"/>
          <w:lang w:eastAsia="zh-CN"/>
        </w:rPr>
        <w:t>】</w:t>
      </w:r>
    </w:p>
    <w:p w14:paraId="414B4E54" w14:textId="67D6085A" w:rsidR="00F217B5" w:rsidRPr="00F217B5" w:rsidRDefault="00F217B5" w:rsidP="00432248">
      <w:pPr>
        <w:spacing w:before="102" w:line="257" w:lineRule="auto"/>
        <w:ind w:right="210" w:firstLine="436"/>
        <w:jc w:val="both"/>
        <w:rPr>
          <w:rFonts w:ascii="微软雅黑" w:eastAsia="微软雅黑" w:hAnsi="微软雅黑" w:cs="微软雅黑" w:hint="eastAsia"/>
          <w:color w:val="auto"/>
          <w:spacing w:val="4"/>
          <w:lang w:eastAsia="zh-CN"/>
        </w:rPr>
      </w:pP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CA4B03" w:rsidRPr="008D0ACF" w14:paraId="670C2A81" w14:textId="77777777" w:rsidTr="00E43653">
        <w:trPr>
          <w:trHeight w:val="620"/>
        </w:trPr>
        <w:tc>
          <w:tcPr>
            <w:tcW w:w="1701" w:type="dxa"/>
          </w:tcPr>
          <w:bookmarkEnd w:id="0"/>
          <w:p w14:paraId="5CD7C5B5" w14:textId="09AEAEA7"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2026/7/22</w:t>
            </w:r>
          </w:p>
        </w:tc>
        <w:tc>
          <w:tcPr>
            <w:tcW w:w="1314" w:type="dxa"/>
          </w:tcPr>
          <w:p w14:paraId="5CC8A079" w14:textId="742DFCF5"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07:50</w:t>
            </w:r>
          </w:p>
        </w:tc>
        <w:tc>
          <w:tcPr>
            <w:tcW w:w="6344" w:type="dxa"/>
          </w:tcPr>
          <w:p w14:paraId="17C12098" w14:textId="1E014E21"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日本 6 月外贸数据</w:t>
            </w:r>
          </w:p>
        </w:tc>
      </w:tr>
      <w:tr w:rsidR="00CA4B03" w:rsidRPr="008D0ACF" w14:paraId="5B8E297F" w14:textId="77777777" w:rsidTr="00432248">
        <w:trPr>
          <w:trHeight w:val="652"/>
        </w:trPr>
        <w:tc>
          <w:tcPr>
            <w:tcW w:w="1701" w:type="dxa"/>
            <w:shd w:val="clear" w:color="auto" w:fill="DAE3F4" w:themeFill="accent1" w:themeFillTint="33"/>
          </w:tcPr>
          <w:p w14:paraId="4567D2AE" w14:textId="771EA928"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2026/7/22</w:t>
            </w:r>
          </w:p>
        </w:tc>
        <w:tc>
          <w:tcPr>
            <w:tcW w:w="1314" w:type="dxa"/>
            <w:shd w:val="clear" w:color="auto" w:fill="DAE3F4" w:themeFill="accent1" w:themeFillTint="33"/>
          </w:tcPr>
          <w:p w14:paraId="3B0A4895" w14:textId="68242BCE"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14:00</w:t>
            </w:r>
          </w:p>
        </w:tc>
        <w:tc>
          <w:tcPr>
            <w:tcW w:w="6344" w:type="dxa"/>
            <w:shd w:val="clear" w:color="auto" w:fill="DAE3F4" w:themeFill="accent1" w:themeFillTint="33"/>
          </w:tcPr>
          <w:p w14:paraId="148F6123" w14:textId="40E28890"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英国 6 月 CPI 数据</w:t>
            </w:r>
          </w:p>
        </w:tc>
      </w:tr>
      <w:tr w:rsidR="00CA4B03" w:rsidRPr="008D0ACF" w14:paraId="11459514" w14:textId="77777777" w:rsidTr="00432248">
        <w:trPr>
          <w:trHeight w:val="620"/>
        </w:trPr>
        <w:tc>
          <w:tcPr>
            <w:tcW w:w="1701" w:type="dxa"/>
          </w:tcPr>
          <w:p w14:paraId="336E77A1" w14:textId="0452ECC5"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2026/7/22</w:t>
            </w:r>
          </w:p>
        </w:tc>
        <w:tc>
          <w:tcPr>
            <w:tcW w:w="1314" w:type="dxa"/>
          </w:tcPr>
          <w:p w14:paraId="2FF031BB" w14:textId="68A23D90"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22:</w:t>
            </w:r>
            <w:r>
              <w:rPr>
                <w:rFonts w:ascii="微软雅黑" w:eastAsia="微软雅黑" w:hAnsi="微软雅黑" w:cs="微软雅黑" w:hint="eastAsia"/>
                <w:b/>
                <w:bCs/>
                <w:spacing w:val="3"/>
                <w:sz w:val="19"/>
                <w:szCs w:val="19"/>
                <w:lang w:eastAsia="zh-CN"/>
              </w:rPr>
              <w:t>3</w:t>
            </w:r>
            <w:r w:rsidRPr="00E84808">
              <w:rPr>
                <w:rFonts w:ascii="微软雅黑" w:eastAsia="微软雅黑" w:hAnsi="微软雅黑" w:cs="微软雅黑"/>
                <w:b/>
                <w:bCs/>
                <w:spacing w:val="3"/>
                <w:sz w:val="19"/>
                <w:szCs w:val="19"/>
                <w:lang w:eastAsia="zh-CN"/>
              </w:rPr>
              <w:t>0</w:t>
            </w:r>
          </w:p>
        </w:tc>
        <w:tc>
          <w:tcPr>
            <w:tcW w:w="6344" w:type="dxa"/>
          </w:tcPr>
          <w:p w14:paraId="2CB0AF66" w14:textId="2F66317C" w:rsidR="00CA4B03" w:rsidRPr="00432248" w:rsidRDefault="00CA4B03" w:rsidP="00CA4B03">
            <w:pPr>
              <w:spacing w:before="230" w:line="191" w:lineRule="auto"/>
              <w:ind w:right="210"/>
              <w:jc w:val="center"/>
              <w:rPr>
                <w:rFonts w:ascii="微软雅黑" w:eastAsia="微软雅黑" w:hAnsi="微软雅黑" w:cs="微软雅黑" w:hint="eastAsia"/>
                <w:b/>
                <w:bCs/>
                <w:spacing w:val="3"/>
                <w:sz w:val="19"/>
                <w:szCs w:val="19"/>
                <w:lang w:eastAsia="zh-CN"/>
              </w:rPr>
            </w:pPr>
            <w:r w:rsidRPr="00CA4B03">
              <w:rPr>
                <w:rFonts w:ascii="微软雅黑" w:eastAsia="微软雅黑" w:hAnsi="微软雅黑" w:cs="微软雅黑"/>
                <w:b/>
                <w:bCs/>
                <w:spacing w:val="3"/>
                <w:sz w:val="19"/>
                <w:szCs w:val="19"/>
                <w:lang w:eastAsia="zh-CN"/>
              </w:rPr>
              <w:t>美国上周 EIA 原油库存</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4B3A3FD8" w14:textId="77777777" w:rsidR="00C80FFD" w:rsidRPr="00C80FFD" w:rsidRDefault="00C80FFD" w:rsidP="00C80FFD">
      <w:pPr>
        <w:spacing w:before="103" w:line="256" w:lineRule="auto"/>
        <w:ind w:right="210" w:firstLineChars="200" w:firstLine="448"/>
        <w:rPr>
          <w:rFonts w:ascii="微软雅黑" w:eastAsia="微软雅黑" w:hAnsi="微软雅黑" w:cs="微软雅黑"/>
          <w:spacing w:val="7"/>
          <w:lang w:eastAsia="zh-CN"/>
        </w:rPr>
      </w:pPr>
      <w:r w:rsidRPr="00C80FFD">
        <w:rPr>
          <w:rFonts w:ascii="微软雅黑" w:eastAsia="微软雅黑" w:hAnsi="微软雅黑" w:cs="微软雅黑" w:hint="eastAsia"/>
          <w:spacing w:val="7"/>
          <w:lang w:eastAsia="zh-CN"/>
        </w:rPr>
        <w:t>隔夜，美元指数涨</w:t>
      </w:r>
      <w:r w:rsidRPr="00C80FFD">
        <w:rPr>
          <w:rFonts w:ascii="微软雅黑" w:eastAsia="微软雅黑" w:hAnsi="微软雅黑" w:cs="微软雅黑"/>
          <w:spacing w:val="7"/>
          <w:lang w:eastAsia="zh-CN"/>
        </w:rPr>
        <w:t>0.24%</w:t>
      </w:r>
      <w:r w:rsidRPr="00C80FFD">
        <w:rPr>
          <w:rFonts w:ascii="微软雅黑" w:eastAsia="微软雅黑" w:hAnsi="微软雅黑" w:cs="微软雅黑" w:hint="eastAsia"/>
          <w:spacing w:val="7"/>
          <w:lang w:eastAsia="zh-CN"/>
        </w:rPr>
        <w:t>报</w:t>
      </w:r>
      <w:r w:rsidRPr="00C80FFD">
        <w:rPr>
          <w:rFonts w:ascii="微软雅黑" w:eastAsia="微软雅黑" w:hAnsi="微软雅黑" w:cs="微软雅黑"/>
          <w:spacing w:val="7"/>
          <w:lang w:eastAsia="zh-CN"/>
        </w:rPr>
        <w:t>101.21</w:t>
      </w:r>
      <w:r w:rsidRPr="00C80FFD">
        <w:rPr>
          <w:rFonts w:ascii="微软雅黑" w:eastAsia="微软雅黑" w:hAnsi="微软雅黑" w:cs="微软雅黑" w:hint="eastAsia"/>
          <w:spacing w:val="7"/>
          <w:lang w:eastAsia="zh-CN"/>
        </w:rPr>
        <w:t>，非美货币多数下跌，欧元兑美元跌</w:t>
      </w:r>
      <w:r w:rsidRPr="00C80FFD">
        <w:rPr>
          <w:rFonts w:ascii="微软雅黑" w:eastAsia="微软雅黑" w:hAnsi="微软雅黑" w:cs="微软雅黑"/>
          <w:spacing w:val="7"/>
          <w:lang w:eastAsia="zh-CN"/>
        </w:rPr>
        <w:t>0.14%</w:t>
      </w:r>
      <w:r w:rsidRPr="00C80FFD">
        <w:rPr>
          <w:rFonts w:ascii="微软雅黑" w:eastAsia="微软雅黑" w:hAnsi="微软雅黑" w:cs="微软雅黑" w:hint="eastAsia"/>
          <w:spacing w:val="7"/>
          <w:lang w:eastAsia="zh-CN"/>
        </w:rPr>
        <w:t>报</w:t>
      </w:r>
      <w:r w:rsidRPr="00C80FFD">
        <w:rPr>
          <w:rFonts w:ascii="微软雅黑" w:eastAsia="微软雅黑" w:hAnsi="微软雅黑" w:cs="微软雅黑"/>
          <w:spacing w:val="7"/>
          <w:lang w:eastAsia="zh-CN"/>
        </w:rPr>
        <w:t>1.1398</w:t>
      </w:r>
      <w:r w:rsidRPr="00C80FFD">
        <w:rPr>
          <w:rFonts w:ascii="微软雅黑" w:eastAsia="微软雅黑" w:hAnsi="微软雅黑" w:cs="微软雅黑" w:hint="eastAsia"/>
          <w:spacing w:val="7"/>
          <w:lang w:eastAsia="zh-CN"/>
        </w:rPr>
        <w:t>，英镑兑美元跌</w:t>
      </w:r>
      <w:r w:rsidRPr="00C80FFD">
        <w:rPr>
          <w:rFonts w:ascii="微软雅黑" w:eastAsia="微软雅黑" w:hAnsi="微软雅黑" w:cs="微软雅黑"/>
          <w:spacing w:val="7"/>
          <w:lang w:eastAsia="zh-CN"/>
        </w:rPr>
        <w:t>0.42%</w:t>
      </w:r>
      <w:r w:rsidRPr="00C80FFD">
        <w:rPr>
          <w:rFonts w:ascii="微软雅黑" w:eastAsia="微软雅黑" w:hAnsi="微软雅黑" w:cs="微软雅黑" w:hint="eastAsia"/>
          <w:spacing w:val="7"/>
          <w:lang w:eastAsia="zh-CN"/>
        </w:rPr>
        <w:t>报</w:t>
      </w:r>
      <w:r w:rsidRPr="00C80FFD">
        <w:rPr>
          <w:rFonts w:ascii="微软雅黑" w:eastAsia="微软雅黑" w:hAnsi="微软雅黑" w:cs="微软雅黑"/>
          <w:spacing w:val="7"/>
          <w:lang w:eastAsia="zh-CN"/>
        </w:rPr>
        <w:t>1.3375</w:t>
      </w:r>
      <w:r w:rsidRPr="00C80FFD">
        <w:rPr>
          <w:rFonts w:ascii="微软雅黑" w:eastAsia="微软雅黑" w:hAnsi="微软雅黑" w:cs="微软雅黑" w:hint="eastAsia"/>
          <w:spacing w:val="7"/>
          <w:lang w:eastAsia="zh-CN"/>
        </w:rPr>
        <w:t>，美元兑日元涨</w:t>
      </w:r>
      <w:r w:rsidRPr="00C80FFD">
        <w:rPr>
          <w:rFonts w:ascii="微软雅黑" w:eastAsia="微软雅黑" w:hAnsi="微软雅黑" w:cs="微软雅黑"/>
          <w:spacing w:val="7"/>
          <w:lang w:eastAsia="zh-CN"/>
        </w:rPr>
        <w:t>0.43%</w:t>
      </w:r>
      <w:r w:rsidRPr="00C80FFD">
        <w:rPr>
          <w:rFonts w:ascii="微软雅黑" w:eastAsia="微软雅黑" w:hAnsi="微软雅黑" w:cs="微软雅黑" w:hint="eastAsia"/>
          <w:spacing w:val="7"/>
          <w:lang w:eastAsia="zh-CN"/>
        </w:rPr>
        <w:t>报</w:t>
      </w:r>
      <w:r w:rsidRPr="00C80FFD">
        <w:rPr>
          <w:rFonts w:ascii="微软雅黑" w:eastAsia="微软雅黑" w:hAnsi="微软雅黑" w:cs="微软雅黑"/>
          <w:spacing w:val="7"/>
          <w:lang w:eastAsia="zh-CN"/>
        </w:rPr>
        <w:t>163.20</w:t>
      </w:r>
      <w:r w:rsidRPr="00C80FFD">
        <w:rPr>
          <w:rFonts w:ascii="微软雅黑" w:eastAsia="微软雅黑" w:hAnsi="微软雅黑" w:cs="微软雅黑" w:hint="eastAsia"/>
          <w:spacing w:val="7"/>
          <w:lang w:eastAsia="zh-CN"/>
        </w:rPr>
        <w:t>。</w:t>
      </w:r>
    </w:p>
    <w:p w14:paraId="14B02B7F" w14:textId="77777777" w:rsidR="00C80FFD" w:rsidRPr="00C80FFD" w:rsidRDefault="00C80FFD" w:rsidP="00C80FFD">
      <w:pPr>
        <w:spacing w:before="103" w:line="256" w:lineRule="auto"/>
        <w:ind w:right="210" w:firstLineChars="200" w:firstLine="448"/>
        <w:rPr>
          <w:rFonts w:ascii="微软雅黑" w:eastAsia="微软雅黑" w:hAnsi="微软雅黑" w:cs="微软雅黑"/>
          <w:spacing w:val="7"/>
          <w:lang w:eastAsia="zh-CN"/>
        </w:rPr>
      </w:pPr>
      <w:r w:rsidRPr="00C80FFD">
        <w:rPr>
          <w:rFonts w:ascii="微软雅黑" w:eastAsia="微软雅黑" w:hAnsi="微软雅黑" w:cs="微软雅黑" w:hint="eastAsia"/>
          <w:spacing w:val="7"/>
          <w:lang w:eastAsia="zh-CN"/>
        </w:rPr>
        <w:t>美伊前期达成的停火协议几乎全面瓦解，伊朗支持的胡塞武装亦宣布对沙特实施海上封锁，引发红海能源运输担忧，当前调停方已提出旨在缓和美伊紧张局势的提议，后续或达成为期</w:t>
      </w:r>
      <w:r w:rsidRPr="00C80FFD">
        <w:rPr>
          <w:rFonts w:ascii="微软雅黑" w:eastAsia="微软雅黑" w:hAnsi="微软雅黑" w:cs="微软雅黑"/>
          <w:spacing w:val="7"/>
          <w:lang w:eastAsia="zh-CN"/>
        </w:rPr>
        <w:t>10</w:t>
      </w:r>
      <w:r w:rsidRPr="00C80FFD">
        <w:rPr>
          <w:rFonts w:ascii="微软雅黑" w:eastAsia="微软雅黑" w:hAnsi="微软雅黑" w:cs="微软雅黑" w:hint="eastAsia"/>
          <w:spacing w:val="7"/>
          <w:lang w:eastAsia="zh-CN"/>
        </w:rPr>
        <w:t>天的临时停火协议，避险资金流入为美元提供边际支撑。货币政策方面，美联储主席沃什多次强调通胀调控仍是核心议题，近期多位联储官员亦释放类似信号。决策者目前已进入下周</w:t>
      </w:r>
      <w:r w:rsidRPr="00C80FFD">
        <w:rPr>
          <w:rFonts w:ascii="微软雅黑" w:eastAsia="微软雅黑" w:hAnsi="微软雅黑" w:cs="微软雅黑"/>
          <w:spacing w:val="7"/>
          <w:lang w:eastAsia="zh-CN"/>
        </w:rPr>
        <w:t>FOMC</w:t>
      </w:r>
      <w:r w:rsidRPr="00C80FFD">
        <w:rPr>
          <w:rFonts w:ascii="微软雅黑" w:eastAsia="微软雅黑" w:hAnsi="微软雅黑" w:cs="微软雅黑" w:hint="eastAsia"/>
          <w:spacing w:val="7"/>
          <w:lang w:eastAsia="zh-CN"/>
        </w:rPr>
        <w:t>会议前的例行静默期，市场普遍预计美联储将维持联邦基金利率不变。然而，市场对后续收紧政策的预期依然高企，利率期货市场定价</w:t>
      </w:r>
      <w:r w:rsidRPr="00C80FFD">
        <w:rPr>
          <w:rFonts w:ascii="微软雅黑" w:eastAsia="微软雅黑" w:hAnsi="微软雅黑" w:cs="微软雅黑"/>
          <w:spacing w:val="7"/>
          <w:lang w:eastAsia="zh-CN"/>
        </w:rPr>
        <w:t>9</w:t>
      </w:r>
      <w:r w:rsidRPr="00C80FFD">
        <w:rPr>
          <w:rFonts w:ascii="微软雅黑" w:eastAsia="微软雅黑" w:hAnsi="微软雅黑" w:cs="微软雅黑" w:hint="eastAsia"/>
          <w:spacing w:val="7"/>
          <w:lang w:eastAsia="zh-CN"/>
        </w:rPr>
        <w:t>月加息概率约为</w:t>
      </w:r>
      <w:r w:rsidRPr="00C80FFD">
        <w:rPr>
          <w:rFonts w:ascii="微软雅黑" w:eastAsia="微软雅黑" w:hAnsi="微软雅黑" w:cs="微软雅黑"/>
          <w:spacing w:val="7"/>
          <w:lang w:eastAsia="zh-CN"/>
        </w:rPr>
        <w:t>68%</w:t>
      </w:r>
      <w:r w:rsidRPr="00C80FFD">
        <w:rPr>
          <w:rFonts w:ascii="微软雅黑" w:eastAsia="微软雅黑" w:hAnsi="微软雅黑" w:cs="微软雅黑" w:hint="eastAsia"/>
          <w:spacing w:val="7"/>
          <w:lang w:eastAsia="zh-CN"/>
        </w:rPr>
        <w:t>。整体来看，就业及通胀数据放缓限制美元上行空间，美伊冲突引发的避险需求则构成底部支撑，预计短期美元或维持高位震荡，重点关注美伊局势进展及美联储后续表态。</w:t>
      </w:r>
    </w:p>
    <w:p w14:paraId="502379A4" w14:textId="45815B70" w:rsidR="002760F0" w:rsidRPr="002760F0" w:rsidRDefault="00C80FFD" w:rsidP="00C80FFD">
      <w:pPr>
        <w:spacing w:before="103" w:line="256" w:lineRule="auto"/>
        <w:ind w:right="210" w:firstLineChars="200" w:firstLine="448"/>
        <w:rPr>
          <w:rFonts w:ascii="微软雅黑" w:eastAsia="微软雅黑" w:hAnsi="微软雅黑" w:cs="微软雅黑" w:hint="eastAsia"/>
          <w:spacing w:val="7"/>
          <w:lang w:eastAsia="zh-CN"/>
        </w:rPr>
      </w:pPr>
      <w:r w:rsidRPr="00C80FFD">
        <w:rPr>
          <w:rFonts w:ascii="微软雅黑" w:eastAsia="微软雅黑" w:hAnsi="微软雅黑" w:cs="微软雅黑" w:hint="eastAsia"/>
          <w:spacing w:val="7"/>
          <w:lang w:eastAsia="zh-CN"/>
        </w:rPr>
        <w:t>美元阶段性走弱为欧元走势提供支撑，市场加码押注欧央行偏紧政策预期，目前已完全消化</w:t>
      </w:r>
      <w:r w:rsidRPr="00C80FFD">
        <w:rPr>
          <w:rFonts w:ascii="微软雅黑" w:eastAsia="微软雅黑" w:hAnsi="微软雅黑" w:cs="微软雅黑"/>
          <w:spacing w:val="7"/>
          <w:lang w:eastAsia="zh-CN"/>
        </w:rPr>
        <w:t>9</w:t>
      </w:r>
      <w:r w:rsidRPr="00C80FFD">
        <w:rPr>
          <w:rFonts w:ascii="微软雅黑" w:eastAsia="微软雅黑" w:hAnsi="微软雅黑" w:cs="微软雅黑" w:hint="eastAsia"/>
          <w:spacing w:val="7"/>
          <w:lang w:eastAsia="zh-CN"/>
        </w:rPr>
        <w:t>月加息预期，并预计</w:t>
      </w:r>
      <w:r w:rsidRPr="00C80FFD">
        <w:rPr>
          <w:rFonts w:ascii="微软雅黑" w:eastAsia="微软雅黑" w:hAnsi="微软雅黑" w:cs="微软雅黑"/>
          <w:spacing w:val="7"/>
          <w:lang w:eastAsia="zh-CN"/>
        </w:rPr>
        <w:t>2027</w:t>
      </w:r>
      <w:r w:rsidRPr="00C80FFD">
        <w:rPr>
          <w:rFonts w:ascii="微软雅黑" w:eastAsia="微软雅黑" w:hAnsi="微软雅黑" w:cs="微软雅黑" w:hint="eastAsia"/>
          <w:spacing w:val="7"/>
          <w:lang w:eastAsia="zh-CN"/>
        </w:rPr>
        <w:t>年初将再度加息，但欧央行官员立场仍相对谨慎，本周欧央行料维持利率按兵不动；在美联储鹰派主基调延续、美欧利差持续走阔的背景下，欧元上方阻力仍存。日本方面，日本央行仍沿渐进路径推进政策正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6FEDEC1D" w:rsidR="007A477E" w:rsidRDefault="00C80FFD"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6364A0">
        <w:rPr>
          <w:rFonts w:ascii="黑体" w:eastAsia="黑体" w:hAnsi="黑体" w:cs="黑体"/>
          <w:noProof/>
          <w:color w:val="000000" w:themeColor="text1"/>
          <w:sz w:val="22"/>
          <w:szCs w:val="22"/>
          <w:shd w:val="clear" w:color="auto" w:fill="FFFFFF"/>
          <w:lang w:bidi="ar"/>
        </w:rPr>
        <w:lastRenderedPageBreak/>
        <w:drawing>
          <wp:inline distT="0" distB="0" distL="0" distR="0" wp14:anchorId="1587FA24" wp14:editId="1C93F63F">
            <wp:extent cx="4495800" cy="2272665"/>
            <wp:effectExtent l="0" t="0" r="0" b="0"/>
            <wp:docPr id="5765292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5800" cy="2272665"/>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3BA596F1" w:rsidR="00ED4A18" w:rsidRDefault="00C80FFD" w:rsidP="00B00DB4">
      <w:pPr>
        <w:spacing w:before="103" w:line="256" w:lineRule="auto"/>
        <w:ind w:right="210" w:firstLine="448"/>
        <w:rPr>
          <w:rFonts w:ascii="微软雅黑" w:eastAsia="微软雅黑" w:hAnsi="微软雅黑" w:cs="微软雅黑" w:hint="eastAsia"/>
          <w:spacing w:val="7"/>
          <w:lang w:eastAsia="zh-CN"/>
        </w:rPr>
      </w:pPr>
      <w:r w:rsidRPr="00C80FFD">
        <w:rPr>
          <w:rFonts w:ascii="微软雅黑" w:eastAsia="微软雅黑" w:hAnsi="微软雅黑" w:cs="微软雅黑"/>
          <w:spacing w:val="7"/>
          <w:lang w:eastAsia="zh-CN"/>
        </w:rPr>
        <w:t>截至7月21日，标普500指数上涨0.89%至7509.2；迷你标普500主力合约上涨0.8%至7542.5点。地缘局势上，多名美方高级官员称，美国总统特朗普预计在未来数日内决定是否扩大对伊朗的军事行动并恢复“全面作战行动”。若特朗普决定恢复对伊朗全面作战行动，其强度和范围将远超美军近日对伊朗发动的袭击，以色列很可能参与其中。特朗普表示，美国“很快”将对伊朗位于纳坦兹以南的“镐山”地下设施发动打击，而且打击力度将“非常猛烈”。特朗普同时警告称，如果也门胡塞武装封锁红海，美国将采取行动。伊朗军方表示，若美军攻击伊朗核设施，中东地区美方利益都将遭到报复。中东局势不断升级，带动国际油价及美债收益率走高，10年期美债收益率及布油分布站上4.6%、90美元。整体来看，美债收益率与油价再度触及市场关键点位，若两者进一步走高，将对市场形成显著压力，需密切关注地缘局势变化</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73A46980" w:rsidR="007A477E" w:rsidRPr="00EE7376" w:rsidRDefault="00C80FFD" w:rsidP="006B6996">
      <w:pPr>
        <w:spacing w:before="103" w:line="256" w:lineRule="auto"/>
        <w:ind w:right="210" w:firstLine="420"/>
        <w:jc w:val="center"/>
        <w:rPr>
          <w:rFonts w:ascii="微软雅黑" w:eastAsia="微软雅黑" w:hAnsi="微软雅黑" w:cs="微软雅黑" w:hint="eastAsia"/>
          <w:spacing w:val="7"/>
          <w:lang w:eastAsia="zh-CN"/>
        </w:rPr>
      </w:pPr>
      <w:r w:rsidRPr="00D11CBE">
        <w:rPr>
          <w:rFonts w:ascii="Helvetica" w:hAnsi="Helvetica" w:cs="Helvetica"/>
          <w:noProof/>
          <w:shd w:val="clear" w:color="auto" w:fill="FFFFFF"/>
        </w:rPr>
        <w:drawing>
          <wp:inline distT="0" distB="0" distL="0" distR="0" wp14:anchorId="057051FC" wp14:editId="5290CB6B">
            <wp:extent cx="5274310" cy="1608568"/>
            <wp:effectExtent l="0" t="0" r="2540" b="0"/>
            <wp:docPr id="3" name="图片 3" descr="C:\Users\Administrator\xwechat_files\wxid_vkxlzo0vqu7s22_6f5b\temp\InputTemp\4bdff0e9-5a68-47ec-a85d-04be6aed6d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4bdff0e9-5a68-47ec-a85d-04be6aed6d3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08568"/>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44DC6DC7" w:rsidR="004F4EDC" w:rsidRDefault="00C80FFD" w:rsidP="000511AA">
      <w:pPr>
        <w:spacing w:before="103" w:line="256" w:lineRule="auto"/>
        <w:ind w:right="210" w:firstLine="448"/>
        <w:jc w:val="both"/>
        <w:rPr>
          <w:rFonts w:ascii="微软雅黑" w:eastAsia="微软雅黑" w:hAnsi="微软雅黑" w:cs="微软雅黑" w:hint="eastAsia"/>
          <w:spacing w:val="7"/>
          <w:lang w:eastAsia="zh-CN"/>
        </w:rPr>
      </w:pPr>
      <w:r w:rsidRPr="00C80FFD">
        <w:rPr>
          <w:rFonts w:ascii="微软雅黑" w:eastAsia="微软雅黑" w:hAnsi="微软雅黑" w:cs="微软雅黑"/>
          <w:spacing w:val="7"/>
          <w:lang w:eastAsia="zh-CN"/>
        </w:rPr>
        <w:t>截至7月21日，富时中国A50指数上涨2.41%至15337.44；新交所富时A50期指主力合约2.26%至15162。海外方面，地缘局势上，中东局势不断升级，特朗普表示将很快对伊朗地下核设施发动打击。消息带动10年期美债收益率及布油站上4.6%、90美元。产业层面，美股半导体、存储、光通信概念股集体反弹，为美股提供支撑，并带动今日日韩股市高开。国内方面，经济基本面，二季度我国GDP增速明显</w:t>
      </w:r>
      <w:r w:rsidRPr="00C80FFD">
        <w:rPr>
          <w:rFonts w:ascii="微软雅黑" w:eastAsia="微软雅黑" w:hAnsi="微软雅黑" w:cs="微软雅黑"/>
          <w:spacing w:val="7"/>
          <w:lang w:eastAsia="zh-CN"/>
        </w:rPr>
        <w:lastRenderedPageBreak/>
        <w:t>回落，其中固投拖累明显；6月份社零重回正增长，但主要受到去年低基期影响，内需仍然偏弱。进出口数据中高技术产品出口强劲与工业增加值高技术产业高增的态势相呼应。金融数据上，6月份A股市值/居民存款比值进一步上升，但居民存款-M2增速负剪刀差小幅收窄，居民存款入市节奏有所放缓。消息面，国家队出手护盘加上投资者座谈会上吴清主席讲话强化市场信心。整体来看，二季度受到内需走弱，投资放缓的影响，经济基本面整体表现不佳对股市形成压力。然而，油价与美债收益率双双站上关键点位，再度使得市场面临资金层面重估值的压力，昨日美股强势反弹或来自于超跌后悲观情绪的释放。最后，国家队进场的消息虽然为A股提供一定反弹动能，但经济基本面和海外流动性的压力并未消除，A股短期预计呈现震荡寻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C9ECC02" w:rsidR="00A10388" w:rsidRDefault="00C80FFD" w:rsidP="00A10388">
      <w:pPr>
        <w:spacing w:before="120" w:line="190" w:lineRule="auto"/>
        <w:ind w:right="210" w:firstLine="420"/>
        <w:jc w:val="center"/>
        <w:rPr>
          <w:rFonts w:ascii="新宋体" w:eastAsia="新宋体" w:hAnsi="新宋体" w:hint="eastAsia"/>
          <w:lang w:eastAsia="zh-CN"/>
        </w:rPr>
      </w:pPr>
      <w:r w:rsidRPr="00D11CBE">
        <w:rPr>
          <w:rFonts w:ascii="宋体" w:eastAsia="宋体" w:hAnsi="宋体"/>
          <w:b/>
          <w:noProof/>
        </w:rPr>
        <w:drawing>
          <wp:inline distT="0" distB="0" distL="0" distR="0" wp14:anchorId="33052DD0" wp14:editId="499E2225">
            <wp:extent cx="5274310" cy="1604109"/>
            <wp:effectExtent l="0" t="0" r="2540" b="0"/>
            <wp:docPr id="301650747" name="图片 301650747" descr="C:\Users\Administrator\xwechat_files\wxid_vkxlzo0vqu7s22_6f5b\temp\InputTemp\244cfded-c88f-4854-a382-cf580d0a33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244cfded-c88f-4854-a382-cf580d0a337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04109"/>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0DE9AEDA" w:rsidR="005B5E6A" w:rsidRDefault="00C80FFD" w:rsidP="00F51117">
      <w:pPr>
        <w:spacing w:before="103" w:line="256" w:lineRule="auto"/>
        <w:ind w:right="210" w:firstLine="448"/>
        <w:jc w:val="both"/>
        <w:rPr>
          <w:rFonts w:ascii="微软雅黑" w:eastAsia="微软雅黑" w:hAnsi="微软雅黑" w:cs="微软雅黑" w:hint="eastAsia"/>
          <w:spacing w:val="12"/>
          <w:lang w:eastAsia="zh-CN"/>
        </w:rPr>
      </w:pPr>
      <w:r w:rsidRPr="00C80FFD">
        <w:rPr>
          <w:rFonts w:ascii="微软雅黑" w:eastAsia="微软雅黑" w:hAnsi="微软雅黑" w:cs="微软雅黑"/>
          <w:spacing w:val="12"/>
          <w:lang w:eastAsia="zh-CN"/>
        </w:rPr>
        <w:t>隔夜COMEX铜震荡偏强，报收6.5295元/磅，涨跌幅+2.97%。国际方面，多名美方高级官员称，美国总统特朗普预计在未来数日内决定是否扩大对伊朗的军事行动并恢复“全面作战行动”。若特朗普决定恢复对伊朗全面作战行动，其强度和范围将远超美军近日对伊朗发动的袭击，以色列很可能参与其中。国内方面，“十五五”时期，我国将推进跨区域跨流域大通道建设，推动国家综合立体交通网主骨架建成率由现在的91%提升至95%。到2030年，我国将实施8万公里左右的交通基础设施更新和数智化改造，基本建成现代化综合交通运输体系。库存方面，截至2026年7月21日，COMEX铜库存为700953短吨，环比+2316短吨；LME铜库存为290925吨，环比-4350吨；SHFE每日仓单33415吨，环比-1676吨。美元美债方面，因美伊冲突持续，美元指数于美盘前时段持续走强，并站上101关口，最终收涨0.24%，报101.19；基准的10年期美债收益率收报4.629%，对美联储政策利率敏感的2年期美债收益率收报4.278%。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66BBBCBA" w:rsidR="00A02266" w:rsidRDefault="00C80FFD" w:rsidP="006B6996">
      <w:pPr>
        <w:spacing w:before="103" w:line="256" w:lineRule="auto"/>
        <w:ind w:right="210" w:firstLine="420"/>
        <w:jc w:val="center"/>
      </w:pPr>
      <w:r>
        <w:rPr>
          <w:noProof/>
        </w:rPr>
        <w:lastRenderedPageBreak/>
        <w:drawing>
          <wp:inline distT="0" distB="0" distL="0" distR="0" wp14:anchorId="4B442015" wp14:editId="0F8FB0C8">
            <wp:extent cx="5274310" cy="2879090"/>
            <wp:effectExtent l="0" t="0" r="2540" b="0"/>
            <wp:docPr id="1637165455" name="图片 163716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1A1B9A4F" w:rsidR="00F850DC" w:rsidRDefault="00C80FFD" w:rsidP="00B00DB4">
      <w:pPr>
        <w:spacing w:before="103" w:line="256" w:lineRule="auto"/>
        <w:ind w:right="210" w:firstLine="468"/>
        <w:jc w:val="both"/>
        <w:rPr>
          <w:rFonts w:ascii="微软雅黑" w:eastAsia="微软雅黑" w:hAnsi="微软雅黑" w:cs="微软雅黑" w:hint="eastAsia"/>
          <w:noProof/>
          <w:spacing w:val="7"/>
          <w:lang w:eastAsia="zh-CN"/>
        </w:rPr>
      </w:pPr>
      <w:r w:rsidRPr="00C80FFD">
        <w:rPr>
          <w:rFonts w:ascii="微软雅黑" w:eastAsia="微软雅黑" w:hAnsi="微软雅黑" w:cs="微软雅黑"/>
          <w:noProof/>
          <w:spacing w:val="7"/>
          <w:lang w:eastAsia="zh-CN"/>
        </w:rPr>
        <w:t>隔夜，贵金属市场偏强运行，延续底部反弹格局，COMEX黄金主力合约涨1.65%报4082.20美元/盎司，COMEX白银主力合约涨3.50%报59.07美元/盎司。地缘方面，前期达成的停火协议几乎全面瓦解，胡塞武装宣布对沙特实施海上封锁，引发红海能源运输担忧，伊朗表示调停方已提出旨在缓和美伊紧张局势的提议，后续或达成临时停火协议。宏观数据⽅⾯，美国6⽉CPI同比录得3.5%、核⼼CPI录得2.6%，均明显低于前值及市场预期，CPI环比录得六年来⾸降；紧随其后公布的6⽉PPI进⼀步印证通胀降温⽣产端与消费端物价同步走弱，令7⽉加息预期显著回落，加息预期暂延⾄10⽉以后。美联储主席沃什多次强调通胀调控仍是核心议题，近期多位联储官员亦释放类似信号。决策者目前已进入下周FOMC会议前的例行静默期，市场普遍预计美联储将维持联邦基金利率不变，但后续加息预期仍然高企。往前看，美国就业与通胀数据均弱于市场预期，经历前期较为充分的回调及资⾦去杠杆化，贵⾦属继续⼤幅下探的可能性或相对有限，但美伊局势延续拉锯态势，趋势性上涨仍需更明确的地缘缓和信号。美伊冲突及霍尔⽊兹海峡通⾏争端仍可能反复，若油价持续反弹并重新推升通胀预期，美联储鹰派定价及强势美元仍将限制贵⾦属上⾏空间；⽩银⼯业属性趋于弱化，全球光伏装机量下滑及光伏⽤银需求明显放缓，严重抑制⽩银⼯业需求，银价或跟随⾦价波动为主。操作上建议等待美伊局势缓和信号，轻仓布局多单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435A2992" w:rsidR="007A477E" w:rsidRDefault="00C80FFD"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6364A0">
        <w:rPr>
          <w:rFonts w:ascii="黑体" w:eastAsia="黑体" w:hAnsi="黑体"/>
          <w:b/>
          <w:bCs/>
          <w:noProof/>
          <w:sz w:val="22"/>
          <w:szCs w:val="22"/>
          <w:shd w:val="clear" w:color="auto" w:fill="FFFFFF"/>
          <w:lang w:bidi="ar"/>
        </w:rPr>
        <w:lastRenderedPageBreak/>
        <w:drawing>
          <wp:inline distT="0" distB="0" distL="0" distR="0" wp14:anchorId="74F9A98A" wp14:editId="28EA1BBB">
            <wp:extent cx="4619625" cy="2381885"/>
            <wp:effectExtent l="0" t="0" r="9525" b="0"/>
            <wp:docPr id="12620178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9625" cy="238188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4E0C0C8B" w14:textId="77777777" w:rsidR="00C80FFD" w:rsidRPr="00C80FFD" w:rsidRDefault="00C80FFD" w:rsidP="00C80FFD">
      <w:pPr>
        <w:spacing w:before="103" w:line="256" w:lineRule="auto"/>
        <w:ind w:right="210" w:firstLine="448"/>
        <w:jc w:val="both"/>
        <w:rPr>
          <w:rFonts w:ascii="微软雅黑" w:eastAsia="微软雅黑" w:hAnsi="微软雅黑" w:cs="微软雅黑"/>
          <w:noProof/>
          <w:spacing w:val="7"/>
          <w:lang w:eastAsia="zh-CN"/>
        </w:rPr>
      </w:pPr>
      <w:r w:rsidRPr="00C80FFD">
        <w:rPr>
          <w:rFonts w:ascii="微软雅黑" w:eastAsia="微软雅黑" w:hAnsi="微软雅黑" w:cs="微软雅黑" w:hint="eastAsia"/>
          <w:noProof/>
          <w:spacing w:val="7"/>
          <w:lang w:eastAsia="zh-CN"/>
        </w:rPr>
        <w:t>洲际交易所</w:t>
      </w:r>
      <w:r w:rsidRPr="00C80FFD">
        <w:rPr>
          <w:rFonts w:ascii="微软雅黑" w:eastAsia="微软雅黑" w:hAnsi="微软雅黑" w:cs="微软雅黑"/>
          <w:noProof/>
          <w:spacing w:val="7"/>
          <w:lang w:eastAsia="zh-CN"/>
        </w:rPr>
        <w:t>(ICE)</w:t>
      </w:r>
      <w:r w:rsidRPr="00C80FFD">
        <w:rPr>
          <w:rFonts w:ascii="微软雅黑" w:eastAsia="微软雅黑" w:hAnsi="微软雅黑" w:cs="微软雅黑" w:hint="eastAsia"/>
          <w:noProof/>
          <w:spacing w:val="7"/>
          <w:lang w:eastAsia="zh-CN"/>
        </w:rPr>
        <w:t>原糖期货周二收涨，此前数据显示巴西</w:t>
      </w:r>
      <w:r w:rsidRPr="00C80FFD">
        <w:rPr>
          <w:rFonts w:ascii="微软雅黑" w:eastAsia="微软雅黑" w:hAnsi="微软雅黑" w:cs="微软雅黑"/>
          <w:noProof/>
          <w:spacing w:val="7"/>
          <w:lang w:eastAsia="zh-CN"/>
        </w:rPr>
        <w:t>6</w:t>
      </w:r>
      <w:r w:rsidRPr="00C80FFD">
        <w:rPr>
          <w:rFonts w:ascii="微软雅黑" w:eastAsia="微软雅黑" w:hAnsi="微软雅黑" w:cs="微软雅黑" w:hint="eastAsia"/>
          <w:noProof/>
          <w:spacing w:val="7"/>
          <w:lang w:eastAsia="zh-CN"/>
        </w:rPr>
        <w:t>月下半月糖产量同比大幅减少。</w:t>
      </w:r>
      <w:r w:rsidRPr="00C80FFD">
        <w:rPr>
          <w:rFonts w:ascii="微软雅黑" w:eastAsia="微软雅黑" w:hAnsi="微软雅黑" w:cs="微软雅黑"/>
          <w:noProof/>
          <w:spacing w:val="7"/>
          <w:lang w:eastAsia="zh-CN"/>
        </w:rPr>
        <w:t>ICE</w:t>
      </w:r>
      <w:r w:rsidRPr="00C80FFD">
        <w:rPr>
          <w:rFonts w:ascii="微软雅黑" w:eastAsia="微软雅黑" w:hAnsi="微软雅黑" w:cs="微软雅黑" w:hint="eastAsia"/>
          <w:noProof/>
          <w:spacing w:val="7"/>
          <w:lang w:eastAsia="zh-CN"/>
        </w:rPr>
        <w:t>交投最活跃的</w:t>
      </w:r>
      <w:r w:rsidRPr="00C80FFD">
        <w:rPr>
          <w:rFonts w:ascii="微软雅黑" w:eastAsia="微软雅黑" w:hAnsi="微软雅黑" w:cs="微软雅黑"/>
          <w:noProof/>
          <w:spacing w:val="7"/>
          <w:lang w:eastAsia="zh-CN"/>
        </w:rPr>
        <w:t>10</w:t>
      </w:r>
      <w:r w:rsidRPr="00C80FFD">
        <w:rPr>
          <w:rFonts w:ascii="微软雅黑" w:eastAsia="微软雅黑" w:hAnsi="微软雅黑" w:cs="微软雅黑" w:hint="eastAsia"/>
          <w:noProof/>
          <w:spacing w:val="7"/>
          <w:lang w:eastAsia="zh-CN"/>
        </w:rPr>
        <w:t>月原糖期货收涨</w:t>
      </w:r>
      <w:r w:rsidRPr="00C80FFD">
        <w:rPr>
          <w:rFonts w:ascii="微软雅黑" w:eastAsia="微软雅黑" w:hAnsi="微软雅黑" w:cs="微软雅黑"/>
          <w:noProof/>
          <w:spacing w:val="7"/>
          <w:lang w:eastAsia="zh-CN"/>
        </w:rPr>
        <w:t>0.06</w:t>
      </w:r>
      <w:r w:rsidRPr="00C80FFD">
        <w:rPr>
          <w:rFonts w:ascii="微软雅黑" w:eastAsia="微软雅黑" w:hAnsi="微软雅黑" w:cs="微软雅黑" w:hint="eastAsia"/>
          <w:noProof/>
          <w:spacing w:val="7"/>
          <w:lang w:eastAsia="zh-CN"/>
        </w:rPr>
        <w:t>美分或</w:t>
      </w:r>
      <w:r w:rsidRPr="00C80FFD">
        <w:rPr>
          <w:rFonts w:ascii="微软雅黑" w:eastAsia="微软雅黑" w:hAnsi="微软雅黑" w:cs="微软雅黑"/>
          <w:noProof/>
          <w:spacing w:val="7"/>
          <w:lang w:eastAsia="zh-CN"/>
        </w:rPr>
        <w:t>0.4%</w:t>
      </w:r>
      <w:r w:rsidRPr="00C80FFD">
        <w:rPr>
          <w:rFonts w:ascii="微软雅黑" w:eastAsia="微软雅黑" w:hAnsi="微软雅黑" w:cs="微软雅黑" w:hint="eastAsia"/>
          <w:noProof/>
          <w:spacing w:val="7"/>
          <w:lang w:eastAsia="zh-CN"/>
        </w:rPr>
        <w:t>，结算价报每磅</w:t>
      </w:r>
      <w:r w:rsidRPr="00C80FFD">
        <w:rPr>
          <w:rFonts w:ascii="微软雅黑" w:eastAsia="微软雅黑" w:hAnsi="微软雅黑" w:cs="微软雅黑"/>
          <w:noProof/>
          <w:spacing w:val="7"/>
          <w:lang w:eastAsia="zh-CN"/>
        </w:rPr>
        <w:t>14.88</w:t>
      </w:r>
      <w:r w:rsidRPr="00C80FFD">
        <w:rPr>
          <w:rFonts w:ascii="微软雅黑" w:eastAsia="微软雅黑" w:hAnsi="微软雅黑" w:cs="微软雅黑" w:hint="eastAsia"/>
          <w:noProof/>
          <w:spacing w:val="7"/>
          <w:lang w:eastAsia="zh-CN"/>
        </w:rPr>
        <w:t>美分。</w:t>
      </w:r>
    </w:p>
    <w:p w14:paraId="3F44DEBC" w14:textId="3F49FE32" w:rsidR="00C27A84" w:rsidRDefault="00C80FFD" w:rsidP="00C80FFD">
      <w:pPr>
        <w:spacing w:before="103" w:line="256" w:lineRule="auto"/>
        <w:ind w:right="210" w:firstLine="448"/>
        <w:jc w:val="both"/>
        <w:rPr>
          <w:rFonts w:ascii="微软雅黑" w:eastAsia="微软雅黑" w:hAnsi="微软雅黑" w:cs="微软雅黑" w:hint="eastAsia"/>
          <w:noProof/>
          <w:spacing w:val="7"/>
          <w:lang w:eastAsia="zh-CN"/>
        </w:rPr>
      </w:pPr>
      <w:r w:rsidRPr="00C80FFD">
        <w:rPr>
          <w:rFonts w:ascii="微软雅黑" w:eastAsia="微软雅黑" w:hAnsi="微软雅黑" w:cs="微软雅黑" w:hint="eastAsia"/>
          <w:noProof/>
          <w:spacing w:val="7"/>
          <w:lang w:eastAsia="zh-CN"/>
        </w:rPr>
        <w:t>国际方面，巴西航运机构</w:t>
      </w:r>
      <w:r w:rsidRPr="00C80FFD">
        <w:rPr>
          <w:rFonts w:ascii="微软雅黑" w:eastAsia="微软雅黑" w:hAnsi="微软雅黑" w:cs="微软雅黑"/>
          <w:noProof/>
          <w:spacing w:val="7"/>
          <w:lang w:eastAsia="zh-CN"/>
        </w:rPr>
        <w:t>Williams</w:t>
      </w:r>
      <w:r w:rsidRPr="00C80FFD">
        <w:rPr>
          <w:rFonts w:ascii="微软雅黑" w:eastAsia="微软雅黑" w:hAnsi="微软雅黑" w:cs="微软雅黑" w:hint="eastAsia"/>
          <w:noProof/>
          <w:spacing w:val="7"/>
          <w:lang w:eastAsia="zh-CN"/>
        </w:rPr>
        <w:t>发布的数据显示，截至</w:t>
      </w:r>
      <w:r w:rsidRPr="00C80FFD">
        <w:rPr>
          <w:rFonts w:ascii="微软雅黑" w:eastAsia="微软雅黑" w:hAnsi="微软雅黑" w:cs="微软雅黑"/>
          <w:noProof/>
          <w:spacing w:val="7"/>
          <w:lang w:eastAsia="zh-CN"/>
        </w:rPr>
        <w:t>7</w:t>
      </w:r>
      <w:r w:rsidRPr="00C80FFD">
        <w:rPr>
          <w:rFonts w:ascii="微软雅黑" w:eastAsia="微软雅黑" w:hAnsi="微软雅黑" w:cs="微软雅黑" w:hint="eastAsia"/>
          <w:noProof/>
          <w:spacing w:val="7"/>
          <w:lang w:eastAsia="zh-CN"/>
        </w:rPr>
        <w:t>月</w:t>
      </w:r>
      <w:r w:rsidRPr="00C80FFD">
        <w:rPr>
          <w:rFonts w:ascii="微软雅黑" w:eastAsia="微软雅黑" w:hAnsi="微软雅黑" w:cs="微软雅黑"/>
          <w:noProof/>
          <w:spacing w:val="7"/>
          <w:lang w:eastAsia="zh-CN"/>
        </w:rPr>
        <w:t>15</w:t>
      </w:r>
      <w:r w:rsidRPr="00C80FFD">
        <w:rPr>
          <w:rFonts w:ascii="微软雅黑" w:eastAsia="微软雅黑" w:hAnsi="微软雅黑" w:cs="微软雅黑" w:hint="eastAsia"/>
          <w:noProof/>
          <w:spacing w:val="7"/>
          <w:lang w:eastAsia="zh-CN"/>
        </w:rPr>
        <w:t>日当周，巴西港口等待装运食糖的船只数量为</w:t>
      </w:r>
      <w:r w:rsidRPr="00C80FFD">
        <w:rPr>
          <w:rFonts w:ascii="微软雅黑" w:eastAsia="微软雅黑" w:hAnsi="微软雅黑" w:cs="微软雅黑"/>
          <w:noProof/>
          <w:spacing w:val="7"/>
          <w:lang w:eastAsia="zh-CN"/>
        </w:rPr>
        <w:t>51</w:t>
      </w:r>
      <w:r w:rsidRPr="00C80FFD">
        <w:rPr>
          <w:rFonts w:ascii="微软雅黑" w:eastAsia="微软雅黑" w:hAnsi="微软雅黑" w:cs="微软雅黑" w:hint="eastAsia"/>
          <w:noProof/>
          <w:spacing w:val="7"/>
          <w:lang w:eastAsia="zh-CN"/>
        </w:rPr>
        <w:t>艘，此前一周为</w:t>
      </w:r>
      <w:r w:rsidRPr="00C80FFD">
        <w:rPr>
          <w:rFonts w:ascii="微软雅黑" w:eastAsia="微软雅黑" w:hAnsi="微软雅黑" w:cs="微软雅黑"/>
          <w:noProof/>
          <w:spacing w:val="7"/>
          <w:lang w:eastAsia="zh-CN"/>
        </w:rPr>
        <w:t>50</w:t>
      </w:r>
      <w:r w:rsidRPr="00C80FFD">
        <w:rPr>
          <w:rFonts w:ascii="微软雅黑" w:eastAsia="微软雅黑" w:hAnsi="微软雅黑" w:cs="微软雅黑" w:hint="eastAsia"/>
          <w:noProof/>
          <w:spacing w:val="7"/>
          <w:lang w:eastAsia="zh-CN"/>
        </w:rPr>
        <w:t>艘。港口等待装运的食糖数量为</w:t>
      </w:r>
      <w:r w:rsidRPr="00C80FFD">
        <w:rPr>
          <w:rFonts w:ascii="微软雅黑" w:eastAsia="微软雅黑" w:hAnsi="微软雅黑" w:cs="微软雅黑"/>
          <w:noProof/>
          <w:spacing w:val="7"/>
          <w:lang w:eastAsia="zh-CN"/>
        </w:rPr>
        <w:t>217.60</w:t>
      </w:r>
      <w:r w:rsidRPr="00C80FFD">
        <w:rPr>
          <w:rFonts w:ascii="微软雅黑" w:eastAsia="微软雅黑" w:hAnsi="微软雅黑" w:cs="微软雅黑" w:hint="eastAsia"/>
          <w:noProof/>
          <w:spacing w:val="7"/>
          <w:lang w:eastAsia="zh-CN"/>
        </w:rPr>
        <w:t>万吨，此前一周为</w:t>
      </w:r>
      <w:r w:rsidRPr="00C80FFD">
        <w:rPr>
          <w:rFonts w:ascii="微软雅黑" w:eastAsia="微软雅黑" w:hAnsi="微软雅黑" w:cs="微软雅黑"/>
          <w:noProof/>
          <w:spacing w:val="7"/>
          <w:lang w:eastAsia="zh-CN"/>
        </w:rPr>
        <w:t>217.65</w:t>
      </w:r>
      <w:r w:rsidRPr="00C80FFD">
        <w:rPr>
          <w:rFonts w:ascii="微软雅黑" w:eastAsia="微软雅黑" w:hAnsi="微软雅黑" w:cs="微软雅黑" w:hint="eastAsia"/>
          <w:noProof/>
          <w:spacing w:val="7"/>
          <w:lang w:eastAsia="zh-CN"/>
        </w:rPr>
        <w:t>万吨下降</w:t>
      </w:r>
      <w:r w:rsidRPr="00C80FFD">
        <w:rPr>
          <w:rFonts w:ascii="微软雅黑" w:eastAsia="微软雅黑" w:hAnsi="微软雅黑" w:cs="微软雅黑"/>
          <w:noProof/>
          <w:spacing w:val="7"/>
          <w:lang w:eastAsia="zh-CN"/>
        </w:rPr>
        <w:t>0.02%</w:t>
      </w:r>
      <w:r w:rsidRPr="00C80FFD">
        <w:rPr>
          <w:rFonts w:ascii="微软雅黑" w:eastAsia="微软雅黑" w:hAnsi="微软雅黑" w:cs="微软雅黑" w:hint="eastAsia"/>
          <w:noProof/>
          <w:spacing w:val="7"/>
          <w:lang w:eastAsia="zh-CN"/>
        </w:rPr>
        <w:t>。其中桑托斯港等待出口的食糖数量为</w:t>
      </w:r>
      <w:r w:rsidRPr="00C80FFD">
        <w:rPr>
          <w:rFonts w:ascii="微软雅黑" w:eastAsia="微软雅黑" w:hAnsi="微软雅黑" w:cs="微软雅黑"/>
          <w:noProof/>
          <w:spacing w:val="7"/>
          <w:lang w:eastAsia="zh-CN"/>
        </w:rPr>
        <w:t>166.86</w:t>
      </w:r>
      <w:r w:rsidRPr="00C80FFD">
        <w:rPr>
          <w:rFonts w:ascii="微软雅黑" w:eastAsia="微软雅黑" w:hAnsi="微软雅黑" w:cs="微软雅黑" w:hint="eastAsia"/>
          <w:noProof/>
          <w:spacing w:val="7"/>
          <w:lang w:eastAsia="zh-CN"/>
        </w:rPr>
        <w:t>万吨。当周等待装运出口的食糖船只数量微增。美糖主力价格关注上方压力</w:t>
      </w:r>
      <w:r w:rsidRPr="00C80FFD">
        <w:rPr>
          <w:rFonts w:ascii="微软雅黑" w:eastAsia="微软雅黑" w:hAnsi="微软雅黑" w:cs="微软雅黑"/>
          <w:noProof/>
          <w:spacing w:val="7"/>
          <w:lang w:eastAsia="zh-CN"/>
        </w:rPr>
        <w:t>15.8</w:t>
      </w:r>
      <w:r w:rsidRPr="00C80FFD">
        <w:rPr>
          <w:rFonts w:ascii="微软雅黑" w:eastAsia="微软雅黑" w:hAnsi="微软雅黑" w:cs="微软雅黑" w:hint="eastAsia"/>
          <w:noProof/>
          <w:spacing w:val="7"/>
          <w:lang w:eastAsia="zh-CN"/>
        </w:rPr>
        <w:t>美分</w:t>
      </w:r>
      <w:r w:rsidRPr="00C80FFD">
        <w:rPr>
          <w:rFonts w:ascii="微软雅黑" w:eastAsia="微软雅黑" w:hAnsi="微软雅黑" w:cs="微软雅黑"/>
          <w:noProof/>
          <w:spacing w:val="7"/>
          <w:lang w:eastAsia="zh-CN"/>
        </w:rPr>
        <w:t>/</w:t>
      </w:r>
      <w:r w:rsidRPr="00C80FFD">
        <w:rPr>
          <w:rFonts w:ascii="微软雅黑" w:eastAsia="微软雅黑" w:hAnsi="微软雅黑" w:cs="微软雅黑" w:hint="eastAsia"/>
          <w:noProof/>
          <w:spacing w:val="7"/>
          <w:lang w:eastAsia="zh-CN"/>
        </w:rPr>
        <w:t>磅，下方支撑</w:t>
      </w:r>
      <w:r w:rsidRPr="00C80FFD">
        <w:rPr>
          <w:rFonts w:ascii="微软雅黑" w:eastAsia="微软雅黑" w:hAnsi="微软雅黑" w:cs="微软雅黑"/>
          <w:noProof/>
          <w:spacing w:val="7"/>
          <w:lang w:eastAsia="zh-CN"/>
        </w:rPr>
        <w:t>13.8</w:t>
      </w:r>
      <w:r w:rsidRPr="00C80FFD">
        <w:rPr>
          <w:rFonts w:ascii="微软雅黑" w:eastAsia="微软雅黑" w:hAnsi="微软雅黑" w:cs="微软雅黑" w:hint="eastAsia"/>
          <w:noProof/>
          <w:spacing w:val="7"/>
          <w:lang w:eastAsia="zh-CN"/>
        </w:rPr>
        <w:t>美分</w:t>
      </w:r>
      <w:r w:rsidRPr="00C80FFD">
        <w:rPr>
          <w:rFonts w:ascii="微软雅黑" w:eastAsia="微软雅黑" w:hAnsi="微软雅黑" w:cs="微软雅黑"/>
          <w:noProof/>
          <w:spacing w:val="7"/>
          <w:lang w:eastAsia="zh-CN"/>
        </w:rPr>
        <w:t>/</w:t>
      </w:r>
      <w:r w:rsidRPr="00C80FFD">
        <w:rPr>
          <w:rFonts w:ascii="微软雅黑" w:eastAsia="微软雅黑" w:hAnsi="微软雅黑" w:cs="微软雅黑" w:hint="eastAsia"/>
          <w:noProof/>
          <w:spacing w:val="7"/>
          <w:lang w:eastAsia="zh-CN"/>
        </w:rPr>
        <w:t>磅。建议</w:t>
      </w:r>
      <w:r w:rsidRPr="00C80FFD">
        <w:rPr>
          <w:rFonts w:ascii="微软雅黑" w:eastAsia="微软雅黑" w:hAnsi="微软雅黑" w:cs="微软雅黑"/>
          <w:noProof/>
          <w:spacing w:val="7"/>
          <w:lang w:eastAsia="zh-CN"/>
        </w:rPr>
        <w:t>10</w:t>
      </w:r>
      <w:r w:rsidRPr="00C80FFD">
        <w:rPr>
          <w:rFonts w:ascii="微软雅黑" w:eastAsia="微软雅黑" w:hAnsi="微软雅黑" w:cs="微软雅黑" w:hint="eastAsia"/>
          <w:noProof/>
          <w:spacing w:val="7"/>
          <w:lang w:eastAsia="zh-CN"/>
        </w:rPr>
        <w:t>月</w:t>
      </w:r>
      <w:r w:rsidRPr="00C80FFD">
        <w:rPr>
          <w:rFonts w:ascii="微软雅黑" w:eastAsia="微软雅黑" w:hAnsi="微软雅黑" w:cs="微软雅黑"/>
          <w:noProof/>
          <w:spacing w:val="7"/>
          <w:lang w:eastAsia="zh-CN"/>
        </w:rPr>
        <w:t xml:space="preserve"> ICE </w:t>
      </w:r>
      <w:r w:rsidRPr="00C80FFD">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1D2DBB7" w:rsidR="007A477E" w:rsidRPr="00786136" w:rsidRDefault="00C80FFD"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32E35E62" wp14:editId="0C6995A2">
            <wp:extent cx="5271770" cy="2178685"/>
            <wp:effectExtent l="0" t="0" r="5080" b="0"/>
            <wp:docPr id="1391645037" name="图片 6" descr="QQ截图2026072208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QQ截图202607220810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217868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687B265A" w14:textId="77777777" w:rsidR="00C80FFD" w:rsidRPr="00C80FFD" w:rsidRDefault="00C80FFD" w:rsidP="00C80FFD">
      <w:pPr>
        <w:spacing w:before="103" w:line="256" w:lineRule="auto"/>
        <w:ind w:right="210" w:firstLine="448"/>
        <w:jc w:val="both"/>
        <w:rPr>
          <w:rFonts w:ascii="微软雅黑" w:eastAsia="微软雅黑" w:hAnsi="微软雅黑" w:cs="微软雅黑"/>
          <w:noProof/>
          <w:spacing w:val="7"/>
          <w:lang w:eastAsia="zh-CN"/>
        </w:rPr>
      </w:pPr>
      <w:r w:rsidRPr="00C80FFD">
        <w:rPr>
          <w:rFonts w:ascii="微软雅黑" w:eastAsia="微软雅黑" w:hAnsi="微软雅黑" w:cs="微软雅黑" w:hint="eastAsia"/>
          <w:noProof/>
          <w:spacing w:val="7"/>
          <w:lang w:eastAsia="zh-CN"/>
        </w:rPr>
        <w:t>洲际交易所</w:t>
      </w:r>
      <w:r w:rsidRPr="00C80FFD">
        <w:rPr>
          <w:rFonts w:ascii="微软雅黑" w:eastAsia="微软雅黑" w:hAnsi="微软雅黑" w:cs="微软雅黑"/>
          <w:noProof/>
          <w:spacing w:val="7"/>
          <w:lang w:eastAsia="zh-CN"/>
        </w:rPr>
        <w:t>(ICE)</w:t>
      </w:r>
      <w:r w:rsidRPr="00C80FFD">
        <w:rPr>
          <w:rFonts w:ascii="微软雅黑" w:eastAsia="微软雅黑" w:hAnsi="微软雅黑" w:cs="微软雅黑" w:hint="eastAsia"/>
          <w:noProof/>
          <w:spacing w:val="7"/>
          <w:lang w:eastAsia="zh-CN"/>
        </w:rPr>
        <w:t>棉花期货周二上涨，受中国纺织企业持续强劲的需求支撑，且中国国储棉拍卖再度售完，凸显市场潜在需求，</w:t>
      </w:r>
      <w:r w:rsidRPr="00C80FFD">
        <w:rPr>
          <w:rFonts w:ascii="微软雅黑" w:eastAsia="微软雅黑" w:hAnsi="微软雅黑" w:cs="微软雅黑"/>
          <w:noProof/>
          <w:spacing w:val="7"/>
          <w:lang w:eastAsia="zh-CN"/>
        </w:rPr>
        <w:t>ICE 12</w:t>
      </w:r>
      <w:r w:rsidRPr="00C80FFD">
        <w:rPr>
          <w:rFonts w:ascii="微软雅黑" w:eastAsia="微软雅黑" w:hAnsi="微软雅黑" w:cs="微软雅黑" w:hint="eastAsia"/>
          <w:noProof/>
          <w:spacing w:val="7"/>
          <w:lang w:eastAsia="zh-CN"/>
        </w:rPr>
        <w:t>月棉花期货合约上涨</w:t>
      </w:r>
      <w:r w:rsidRPr="00C80FFD">
        <w:rPr>
          <w:rFonts w:ascii="微软雅黑" w:eastAsia="微软雅黑" w:hAnsi="微软雅黑" w:cs="微软雅黑"/>
          <w:noProof/>
          <w:spacing w:val="7"/>
          <w:lang w:eastAsia="zh-CN"/>
        </w:rPr>
        <w:t>1.50</w:t>
      </w:r>
      <w:r w:rsidRPr="00C80FFD">
        <w:rPr>
          <w:rFonts w:ascii="微软雅黑" w:eastAsia="微软雅黑" w:hAnsi="微软雅黑" w:cs="微软雅黑" w:hint="eastAsia"/>
          <w:noProof/>
          <w:spacing w:val="7"/>
          <w:lang w:eastAsia="zh-CN"/>
        </w:rPr>
        <w:t>美分或</w:t>
      </w:r>
      <w:r w:rsidRPr="00C80FFD">
        <w:rPr>
          <w:rFonts w:ascii="微软雅黑" w:eastAsia="微软雅黑" w:hAnsi="微软雅黑" w:cs="微软雅黑"/>
          <w:noProof/>
          <w:spacing w:val="7"/>
          <w:lang w:eastAsia="zh-CN"/>
        </w:rPr>
        <w:t>1.90%</w:t>
      </w:r>
      <w:r w:rsidRPr="00C80FFD">
        <w:rPr>
          <w:rFonts w:ascii="微软雅黑" w:eastAsia="微软雅黑" w:hAnsi="微软雅黑" w:cs="微软雅黑" w:hint="eastAsia"/>
          <w:noProof/>
          <w:spacing w:val="7"/>
          <w:lang w:eastAsia="zh-CN"/>
        </w:rPr>
        <w:t>，结算价报每磅</w:t>
      </w:r>
      <w:r w:rsidRPr="00C80FFD">
        <w:rPr>
          <w:rFonts w:ascii="微软雅黑" w:eastAsia="微软雅黑" w:hAnsi="微软雅黑" w:cs="微软雅黑"/>
          <w:noProof/>
          <w:spacing w:val="7"/>
          <w:lang w:eastAsia="zh-CN"/>
        </w:rPr>
        <w:t>80.42</w:t>
      </w:r>
      <w:r w:rsidRPr="00C80FFD">
        <w:rPr>
          <w:rFonts w:ascii="微软雅黑" w:eastAsia="微软雅黑" w:hAnsi="微软雅黑" w:cs="微软雅黑" w:hint="eastAsia"/>
          <w:noProof/>
          <w:spacing w:val="7"/>
          <w:lang w:eastAsia="zh-CN"/>
        </w:rPr>
        <w:t>美分。</w:t>
      </w:r>
    </w:p>
    <w:p w14:paraId="0DE264A7" w14:textId="577B3A1D" w:rsidR="00ED4A18" w:rsidRDefault="00C80FFD" w:rsidP="00C80FFD">
      <w:pPr>
        <w:spacing w:before="103" w:line="256" w:lineRule="auto"/>
        <w:ind w:right="210" w:firstLine="448"/>
        <w:jc w:val="both"/>
        <w:rPr>
          <w:rFonts w:ascii="微软雅黑" w:eastAsia="微软雅黑" w:hAnsi="微软雅黑" w:cs="微软雅黑" w:hint="eastAsia"/>
          <w:noProof/>
          <w:spacing w:val="7"/>
          <w:lang w:eastAsia="zh-CN"/>
        </w:rPr>
      </w:pPr>
      <w:r w:rsidRPr="00C80FFD">
        <w:rPr>
          <w:rFonts w:ascii="微软雅黑" w:eastAsia="微软雅黑" w:hAnsi="微软雅黑" w:cs="微软雅黑" w:hint="eastAsia"/>
          <w:noProof/>
          <w:spacing w:val="7"/>
          <w:lang w:eastAsia="zh-CN"/>
        </w:rPr>
        <w:lastRenderedPageBreak/>
        <w:t>国际方面，巴西国家商品供应公司（</w:t>
      </w:r>
      <w:r w:rsidRPr="00C80FFD">
        <w:rPr>
          <w:rFonts w:ascii="微软雅黑" w:eastAsia="微软雅黑" w:hAnsi="微软雅黑" w:cs="微软雅黑"/>
          <w:noProof/>
          <w:spacing w:val="7"/>
          <w:lang w:eastAsia="zh-CN"/>
        </w:rPr>
        <w:t>Conab</w:t>
      </w:r>
      <w:r w:rsidRPr="00C80FFD">
        <w:rPr>
          <w:rFonts w:ascii="微软雅黑" w:eastAsia="微软雅黑" w:hAnsi="微软雅黑" w:cs="微软雅黑" w:hint="eastAsia"/>
          <w:noProof/>
          <w:spacing w:val="7"/>
          <w:lang w:eastAsia="zh-CN"/>
        </w:rPr>
        <w:t>）发布数据显示，截止</w:t>
      </w:r>
      <w:r w:rsidRPr="00C80FFD">
        <w:rPr>
          <w:rFonts w:ascii="微软雅黑" w:eastAsia="微软雅黑" w:hAnsi="微软雅黑" w:cs="微软雅黑"/>
          <w:noProof/>
          <w:spacing w:val="7"/>
          <w:lang w:eastAsia="zh-CN"/>
        </w:rPr>
        <w:t>2026</w:t>
      </w:r>
      <w:r w:rsidRPr="00C80FFD">
        <w:rPr>
          <w:rFonts w:ascii="微软雅黑" w:eastAsia="微软雅黑" w:hAnsi="微软雅黑" w:cs="微软雅黑" w:hint="eastAsia"/>
          <w:noProof/>
          <w:spacing w:val="7"/>
          <w:lang w:eastAsia="zh-CN"/>
        </w:rPr>
        <w:t>年</w:t>
      </w:r>
      <w:r w:rsidRPr="00C80FFD">
        <w:rPr>
          <w:rFonts w:ascii="微软雅黑" w:eastAsia="微软雅黑" w:hAnsi="微软雅黑" w:cs="微软雅黑"/>
          <w:noProof/>
          <w:spacing w:val="7"/>
          <w:lang w:eastAsia="zh-CN"/>
        </w:rPr>
        <w:t>7</w:t>
      </w:r>
      <w:r w:rsidRPr="00C80FFD">
        <w:rPr>
          <w:rFonts w:ascii="微软雅黑" w:eastAsia="微软雅黑" w:hAnsi="微软雅黑" w:cs="微软雅黑" w:hint="eastAsia"/>
          <w:noProof/>
          <w:spacing w:val="7"/>
          <w:lang w:eastAsia="zh-CN"/>
        </w:rPr>
        <w:t>月</w:t>
      </w:r>
      <w:r w:rsidRPr="00C80FFD">
        <w:rPr>
          <w:rFonts w:ascii="微软雅黑" w:eastAsia="微软雅黑" w:hAnsi="微软雅黑" w:cs="微软雅黑"/>
          <w:noProof/>
          <w:spacing w:val="7"/>
          <w:lang w:eastAsia="zh-CN"/>
        </w:rPr>
        <w:t>17</w:t>
      </w:r>
      <w:r w:rsidRPr="00C80FFD">
        <w:rPr>
          <w:rFonts w:ascii="微软雅黑" w:eastAsia="微软雅黑" w:hAnsi="微软雅黑" w:cs="微软雅黑" w:hint="eastAsia"/>
          <w:noProof/>
          <w:spacing w:val="7"/>
          <w:lang w:eastAsia="zh-CN"/>
        </w:rPr>
        <w:t>日当周，巴西</w:t>
      </w:r>
      <w:r w:rsidRPr="00C80FFD">
        <w:rPr>
          <w:rFonts w:ascii="微软雅黑" w:eastAsia="微软雅黑" w:hAnsi="微软雅黑" w:cs="微软雅黑"/>
          <w:noProof/>
          <w:spacing w:val="7"/>
          <w:lang w:eastAsia="zh-CN"/>
        </w:rPr>
        <w:t>2025/26</w:t>
      </w:r>
      <w:r w:rsidRPr="00C80FFD">
        <w:rPr>
          <w:rFonts w:ascii="微软雅黑" w:eastAsia="微软雅黑" w:hAnsi="微软雅黑" w:cs="微软雅黑" w:hint="eastAsia"/>
          <w:noProof/>
          <w:spacing w:val="7"/>
          <w:lang w:eastAsia="zh-CN"/>
        </w:rPr>
        <w:t>年度棉花收割率为</w:t>
      </w:r>
      <w:r w:rsidRPr="00C80FFD">
        <w:rPr>
          <w:rFonts w:ascii="微软雅黑" w:eastAsia="微软雅黑" w:hAnsi="微软雅黑" w:cs="微软雅黑"/>
          <w:noProof/>
          <w:spacing w:val="7"/>
          <w:lang w:eastAsia="zh-CN"/>
        </w:rPr>
        <w:t>12.8%</w:t>
      </w:r>
      <w:r w:rsidRPr="00C80FFD">
        <w:rPr>
          <w:rFonts w:ascii="微软雅黑" w:eastAsia="微软雅黑" w:hAnsi="微软雅黑" w:cs="微软雅黑" w:hint="eastAsia"/>
          <w:noProof/>
          <w:spacing w:val="7"/>
          <w:lang w:eastAsia="zh-CN"/>
        </w:rPr>
        <w:t>，此前一周为</w:t>
      </w:r>
      <w:r w:rsidRPr="00C80FFD">
        <w:rPr>
          <w:rFonts w:ascii="微软雅黑" w:eastAsia="微软雅黑" w:hAnsi="微软雅黑" w:cs="微软雅黑"/>
          <w:noProof/>
          <w:spacing w:val="7"/>
          <w:lang w:eastAsia="zh-CN"/>
        </w:rPr>
        <w:t>8.1%</w:t>
      </w:r>
      <w:r w:rsidRPr="00C80FFD">
        <w:rPr>
          <w:rFonts w:ascii="微软雅黑" w:eastAsia="微软雅黑" w:hAnsi="微软雅黑" w:cs="微软雅黑" w:hint="eastAsia"/>
          <w:noProof/>
          <w:spacing w:val="7"/>
          <w:lang w:eastAsia="zh-CN"/>
        </w:rPr>
        <w:t>，上一年同期为</w:t>
      </w:r>
      <w:r w:rsidRPr="00C80FFD">
        <w:rPr>
          <w:rFonts w:ascii="微软雅黑" w:eastAsia="微软雅黑" w:hAnsi="微软雅黑" w:cs="微软雅黑"/>
          <w:noProof/>
          <w:spacing w:val="7"/>
          <w:lang w:eastAsia="zh-CN"/>
        </w:rPr>
        <w:t>16.7%</w:t>
      </w:r>
      <w:r w:rsidRPr="00C80FFD">
        <w:rPr>
          <w:rFonts w:ascii="微软雅黑" w:eastAsia="微软雅黑" w:hAnsi="微软雅黑" w:cs="微软雅黑" w:hint="eastAsia"/>
          <w:noProof/>
          <w:spacing w:val="7"/>
          <w:lang w:eastAsia="zh-CN"/>
        </w:rPr>
        <w:t>，五年均值为</w:t>
      </w:r>
      <w:r w:rsidRPr="00C80FFD">
        <w:rPr>
          <w:rFonts w:ascii="微软雅黑" w:eastAsia="微软雅黑" w:hAnsi="微软雅黑" w:cs="微软雅黑"/>
          <w:noProof/>
          <w:spacing w:val="7"/>
          <w:lang w:eastAsia="zh-CN"/>
        </w:rPr>
        <w:t>14..2%</w:t>
      </w:r>
      <w:r w:rsidRPr="00C80FFD">
        <w:rPr>
          <w:rFonts w:ascii="微软雅黑" w:eastAsia="微软雅黑" w:hAnsi="微软雅黑" w:cs="微软雅黑" w:hint="eastAsia"/>
          <w:noProof/>
          <w:spacing w:val="7"/>
          <w:lang w:eastAsia="zh-CN"/>
        </w:rPr>
        <w:t>。巴西棉收割进度慢于去年同期水平</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8C541C6" w:rsidR="00C24CC6" w:rsidRDefault="00C80FFD"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06CA63C1" wp14:editId="0F2B5507">
            <wp:extent cx="5263515" cy="2170430"/>
            <wp:effectExtent l="0" t="0" r="0" b="1270"/>
            <wp:docPr id="1256507671" name="图片 5" descr="QQ截图202607220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QQ截图202607220810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7043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12A0" w14:textId="77777777" w:rsidR="00AF0CEA" w:rsidRDefault="00AF0CEA">
      <w:pPr>
        <w:ind w:right="210" w:firstLine="420"/>
      </w:pPr>
      <w:r>
        <w:separator/>
      </w:r>
    </w:p>
  </w:endnote>
  <w:endnote w:type="continuationSeparator" w:id="0">
    <w:p w14:paraId="111C9C56" w14:textId="77777777" w:rsidR="00AF0CEA" w:rsidRDefault="00AF0CEA">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4ABD" w14:textId="77777777" w:rsidR="00AF0CEA" w:rsidRDefault="00AF0CEA">
      <w:pPr>
        <w:ind w:right="210" w:firstLine="420"/>
      </w:pPr>
      <w:r>
        <w:separator/>
      </w:r>
    </w:p>
  </w:footnote>
  <w:footnote w:type="continuationSeparator" w:id="0">
    <w:p w14:paraId="67F0B5BA" w14:textId="77777777" w:rsidR="00AF0CEA" w:rsidRDefault="00AF0CEA">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08162331"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2026-07-22T01:08:00Z</dcterms:created>
  <dcterms:modified xsi:type="dcterms:W3CDTF">2026-07-22T01:08:00Z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