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7636340B"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A47960">
        <w:rPr>
          <w:rFonts w:ascii="微软雅黑" w:eastAsia="微软雅黑" w:hAnsi="微软雅黑" w:cs="微软雅黑" w:hint="eastAsia"/>
          <w:b/>
          <w:bCs/>
          <w:color w:val="005D97"/>
          <w:spacing w:val="-22"/>
          <w:sz w:val="48"/>
          <w:szCs w:val="48"/>
          <w:lang w:eastAsia="zh-CN"/>
        </w:rPr>
        <w:t>23</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2F7932BA" w:rsidR="007B3E0B" w:rsidRDefault="00A47960"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A47960">
        <w:rPr>
          <w:rFonts w:ascii="微软雅黑" w:eastAsia="微软雅黑" w:hAnsi="微软雅黑" w:cs="微软雅黑"/>
          <w:spacing w:val="12"/>
          <w:lang w:eastAsia="zh-CN"/>
        </w:rPr>
        <w:t>美国三大股指小幅收跌，道指跌0.01%报52218.58点，标普500指数跌0.14%报7498.96点，纳指跌0.57%报25690.9点。美元指数跌0.09%报101.12，非美货币多数上涨，欧元兑美元涨0.13%报1.1412，英镑兑美元涨0.01%报1.3375，澳元兑美元持平报0.6998，美元兑日元跌0.02%报163.1615，</w:t>
      </w:r>
      <w:r w:rsidRPr="00A47960">
        <w:rPr>
          <w:rFonts w:ascii="微软雅黑" w:eastAsia="微软雅黑" w:hAnsi="微软雅黑" w:cs="微软雅黑" w:hint="eastAsia"/>
          <w:spacing w:val="12"/>
          <w:lang w:eastAsia="zh-CN"/>
        </w:rPr>
        <w:t>离</w:t>
      </w:r>
      <w:r w:rsidRPr="00A47960">
        <w:rPr>
          <w:rFonts w:ascii="微软雅黑" w:eastAsia="微软雅黑" w:hAnsi="微软雅黑" w:cs="微软雅黑"/>
          <w:spacing w:val="12"/>
          <w:lang w:eastAsia="zh-CN"/>
        </w:rPr>
        <w:t>岸人民币对美元跌60个基点报6.7749。国际贵金属期货普遍收涨，COMEX黄金期货涨1.44%报4135.00美元/盎司，COMEX白银期货涨1.57%报60.03美元/盎司</w:t>
      </w:r>
      <w:r w:rsidR="00CA4B03" w:rsidRPr="00CA4B03">
        <w:rPr>
          <w:rFonts w:ascii="微软雅黑" w:eastAsia="微软雅黑" w:hAnsi="微软雅黑" w:cs="微软雅黑"/>
          <w:spacing w:val="12"/>
          <w:lang w:eastAsia="zh-CN"/>
        </w:rPr>
        <w:t>。</w:t>
      </w:r>
      <w:r w:rsidR="00900347" w:rsidRPr="00CA4B03">
        <w:rPr>
          <w:rFonts w:ascii="微软雅黑" w:eastAsia="微软雅黑" w:hAnsi="微软雅黑" w:cs="微软雅黑" w:hint="eastAsia"/>
          <w:spacing w:val="12"/>
          <w:lang w:eastAsia="zh-CN"/>
        </w:rPr>
        <w:t>I</w:t>
      </w:r>
      <w:r w:rsidR="007B3E0B" w:rsidRPr="00CA4B03">
        <w:rPr>
          <w:rFonts w:ascii="微软雅黑" w:eastAsia="微软雅黑" w:hAnsi="微软雅黑" w:cs="微软雅黑"/>
          <w:spacing w:val="12"/>
          <w:lang w:eastAsia="zh-CN"/>
        </w:rPr>
        <w:t>CE</w:t>
      </w:r>
      <w:r w:rsidR="007B3E0B" w:rsidRPr="00CA4B03">
        <w:rPr>
          <w:rFonts w:ascii="微软雅黑" w:eastAsia="微软雅黑" w:hAnsi="微软雅黑" w:cs="微软雅黑" w:hint="eastAsia"/>
          <w:spacing w:val="12"/>
          <w:lang w:eastAsia="zh-CN"/>
        </w:rPr>
        <w:t>原糖主力合约</w:t>
      </w:r>
      <w:r>
        <w:rPr>
          <w:rFonts w:ascii="微软雅黑" w:eastAsia="微软雅黑" w:hAnsi="微软雅黑" w:cs="微软雅黑" w:hint="eastAsia"/>
          <w:spacing w:val="12"/>
          <w:lang w:eastAsia="zh-CN"/>
        </w:rPr>
        <w:t>跌0.87</w:t>
      </w:r>
      <w:r w:rsidR="007B3E0B" w:rsidRPr="00CA4B03">
        <w:rPr>
          <w:rFonts w:ascii="微软雅黑" w:eastAsia="微软雅黑" w:hAnsi="微软雅黑" w:cs="微软雅黑"/>
          <w:spacing w:val="12"/>
          <w:lang w:eastAsia="zh-CN"/>
        </w:rPr>
        <w:t>%</w:t>
      </w:r>
      <w:r w:rsidR="007B3E0B" w:rsidRPr="00CA4B03">
        <w:rPr>
          <w:rFonts w:ascii="微软雅黑" w:eastAsia="微软雅黑" w:hAnsi="微软雅黑" w:cs="微软雅黑" w:hint="eastAsia"/>
          <w:spacing w:val="12"/>
          <w:lang w:eastAsia="zh-CN"/>
        </w:rPr>
        <w:t>报</w:t>
      </w:r>
      <w:r w:rsidR="008D5F7A" w:rsidRPr="00CA4B03">
        <w:rPr>
          <w:rFonts w:ascii="微软雅黑" w:eastAsia="微软雅黑" w:hAnsi="微软雅黑" w:cs="微软雅黑" w:hint="eastAsia"/>
          <w:spacing w:val="12"/>
          <w:lang w:eastAsia="zh-CN"/>
        </w:rPr>
        <w:t>1</w:t>
      </w:r>
      <w:r w:rsidR="00BA4788" w:rsidRPr="00CA4B03">
        <w:rPr>
          <w:rFonts w:ascii="微软雅黑" w:eastAsia="微软雅黑" w:hAnsi="微软雅黑" w:cs="微软雅黑" w:hint="eastAsia"/>
          <w:spacing w:val="12"/>
          <w:lang w:eastAsia="zh-CN"/>
        </w:rPr>
        <w:t>4</w:t>
      </w:r>
      <w:r w:rsidR="00CA4B03" w:rsidRPr="00CA4B03">
        <w:rPr>
          <w:rFonts w:ascii="微软雅黑" w:eastAsia="微软雅黑" w:hAnsi="微软雅黑" w:cs="微软雅黑" w:hint="eastAsia"/>
          <w:spacing w:val="12"/>
          <w:lang w:eastAsia="zh-CN"/>
        </w:rPr>
        <w:t>.</w:t>
      </w:r>
      <w:r>
        <w:rPr>
          <w:rFonts w:ascii="微软雅黑" w:eastAsia="微软雅黑" w:hAnsi="微软雅黑" w:cs="微软雅黑" w:hint="eastAsia"/>
          <w:spacing w:val="12"/>
          <w:lang w:eastAsia="zh-CN"/>
        </w:rPr>
        <w:t>75</w:t>
      </w:r>
      <w:r w:rsidR="007B3E0B" w:rsidRPr="00CA4B03">
        <w:rPr>
          <w:rFonts w:ascii="微软雅黑" w:eastAsia="微软雅黑" w:hAnsi="微软雅黑" w:cs="微软雅黑" w:hint="eastAsia"/>
          <w:spacing w:val="12"/>
          <w:lang w:eastAsia="zh-CN"/>
        </w:rPr>
        <w:t>美分</w:t>
      </w:r>
      <w:r w:rsidR="007B3E0B" w:rsidRPr="00CA4B03">
        <w:rPr>
          <w:rFonts w:ascii="微软雅黑" w:eastAsia="微软雅黑" w:hAnsi="微软雅黑" w:cs="微软雅黑"/>
          <w:spacing w:val="12"/>
          <w:lang w:eastAsia="zh-CN"/>
        </w:rPr>
        <w:t>/</w:t>
      </w:r>
      <w:r w:rsidR="007B3E0B" w:rsidRPr="00CA4B03">
        <w:rPr>
          <w:rFonts w:ascii="微软雅黑" w:eastAsia="微软雅黑" w:hAnsi="微软雅黑" w:cs="微软雅黑" w:hint="eastAsia"/>
          <w:spacing w:val="12"/>
          <w:lang w:eastAsia="zh-CN"/>
        </w:rPr>
        <w:t>磅，</w:t>
      </w:r>
      <w:r w:rsidR="007B3E0B" w:rsidRPr="00CA4B03">
        <w:rPr>
          <w:rFonts w:ascii="微软雅黑" w:eastAsia="微软雅黑" w:hAnsi="微软雅黑" w:cs="微软雅黑"/>
          <w:spacing w:val="12"/>
          <w:lang w:eastAsia="zh-CN"/>
        </w:rPr>
        <w:t>ICE</w:t>
      </w:r>
      <w:r w:rsidR="007B3E0B" w:rsidRPr="00CA4B03">
        <w:rPr>
          <w:rFonts w:ascii="微软雅黑" w:eastAsia="微软雅黑" w:hAnsi="微软雅黑" w:cs="微软雅黑" w:hint="eastAsia"/>
          <w:spacing w:val="12"/>
          <w:lang w:eastAsia="zh-CN"/>
        </w:rPr>
        <w:t>棉花主力合约</w:t>
      </w:r>
      <w:r w:rsidR="00726124" w:rsidRPr="00CA4B03">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0.66</w:t>
      </w:r>
      <w:r w:rsidR="007B3E0B" w:rsidRPr="00CA4B03">
        <w:rPr>
          <w:rFonts w:ascii="微软雅黑" w:eastAsia="微软雅黑" w:hAnsi="微软雅黑" w:cs="微软雅黑"/>
          <w:spacing w:val="12"/>
          <w:lang w:eastAsia="zh-CN"/>
        </w:rPr>
        <w:t>%</w:t>
      </w:r>
      <w:r w:rsidR="007B3E0B" w:rsidRPr="00CA4B03">
        <w:rPr>
          <w:rFonts w:ascii="微软雅黑" w:eastAsia="微软雅黑" w:hAnsi="微软雅黑" w:cs="微软雅黑" w:hint="eastAsia"/>
          <w:spacing w:val="12"/>
          <w:lang w:eastAsia="zh-CN"/>
        </w:rPr>
        <w:t>报</w:t>
      </w:r>
      <w:r w:rsidR="00CA4B03">
        <w:rPr>
          <w:rFonts w:ascii="微软雅黑" w:eastAsia="微软雅黑" w:hAnsi="微软雅黑" w:cs="微软雅黑" w:hint="eastAsia"/>
          <w:spacing w:val="12"/>
          <w:lang w:eastAsia="zh-CN"/>
        </w:rPr>
        <w:t>80.</w:t>
      </w:r>
      <w:r>
        <w:rPr>
          <w:rFonts w:ascii="微软雅黑" w:eastAsia="微软雅黑" w:hAnsi="微软雅黑" w:cs="微软雅黑" w:hint="eastAsia"/>
          <w:spacing w:val="12"/>
          <w:lang w:eastAsia="zh-CN"/>
        </w:rPr>
        <w:t>95美分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72319A74" w:rsidR="00557736" w:rsidRPr="0022448B" w:rsidRDefault="00A47960"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1D8FE9A7" wp14:editId="44EA2A76">
            <wp:extent cx="6106127" cy="4024133"/>
            <wp:effectExtent l="0" t="0" r="9525" b="0"/>
            <wp:docPr id="18743445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0871" cy="4027260"/>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57555534" w:rsidR="00863E18" w:rsidRPr="00A47960"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A47960" w:rsidRPr="00A47960">
        <w:rPr>
          <w:rFonts w:ascii="微软雅黑" w:eastAsia="微软雅黑" w:hAnsi="微软雅黑" w:cs="微软雅黑"/>
          <w:color w:val="auto"/>
          <w:spacing w:val="4"/>
          <w:lang w:eastAsia="zh-CN"/>
        </w:rPr>
        <w:t>美国总统特朗普在社交媒体发文称，只要伊朗在霍尔木兹海峡向船只开火，美国都将轰炸并摧毁伊朗一座桥梁或发电厂。伊朗军方消息人士回应特朗普威胁称，如果美国攻击伊朗桥梁或发电站，伊朗将对等打击地区内基础设施和桥梁，其中包括美国拥有利益的能源设施。</w:t>
      </w:r>
      <w:r w:rsidRPr="00A47960">
        <w:rPr>
          <w:rFonts w:ascii="微软雅黑" w:eastAsia="微软雅黑" w:hAnsi="微软雅黑" w:cs="微软雅黑" w:hint="eastAsia"/>
          <w:color w:val="auto"/>
          <w:spacing w:val="4"/>
          <w:lang w:eastAsia="zh-CN"/>
        </w:rPr>
        <w:t>】</w:t>
      </w:r>
    </w:p>
    <w:p w14:paraId="44D59D47" w14:textId="44BC92CF" w:rsidR="002E37FC" w:rsidRPr="00A47960"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A47960">
        <w:rPr>
          <w:rFonts w:ascii="微软雅黑" w:eastAsia="微软雅黑" w:hAnsi="微软雅黑" w:cs="微软雅黑" w:hint="eastAsia"/>
          <w:color w:val="auto"/>
          <w:spacing w:val="4"/>
          <w:lang w:eastAsia="zh-CN"/>
        </w:rPr>
        <w:t>【</w:t>
      </w:r>
      <w:r w:rsidR="00A47960" w:rsidRPr="00A47960">
        <w:rPr>
          <w:rFonts w:ascii="微软雅黑" w:eastAsia="微软雅黑" w:hAnsi="微软雅黑" w:cs="微软雅黑"/>
          <w:color w:val="auto"/>
          <w:spacing w:val="4"/>
          <w:lang w:eastAsia="zh-CN"/>
        </w:rPr>
        <w:t>伊朗伊斯兰议会议长卡利巴夫表示，霍尔木兹海峡局势不会恢复至战前状态。伊朗武装部队哈塔姆安比亚中央总部发布声明称，美方再次威胁要打击伊朗国家基础设施。霍尔木兹海峡仍处于关闭状态。若有船只确需通过该海峡，必须按照此前公布的指定航线和程序通行。声明指出，如果美国将其威胁付诸行动，伊</w:t>
      </w:r>
      <w:r w:rsidR="00A47960" w:rsidRPr="00A47960">
        <w:rPr>
          <w:rFonts w:ascii="微软雅黑" w:eastAsia="微软雅黑" w:hAnsi="微软雅黑" w:cs="微软雅黑"/>
          <w:color w:val="auto"/>
          <w:spacing w:val="4"/>
          <w:lang w:eastAsia="zh-CN"/>
        </w:rPr>
        <w:lastRenderedPageBreak/>
        <w:t>朗武装力量将不允许本地区出口一滴石油，地区内的石油、天然气、电力及经济基础设施都将成为打击目标。</w:t>
      </w:r>
      <w:r w:rsidRPr="00A47960">
        <w:rPr>
          <w:rFonts w:ascii="微软雅黑" w:eastAsia="微软雅黑" w:hAnsi="微软雅黑" w:cs="微软雅黑" w:hint="eastAsia"/>
          <w:color w:val="auto"/>
          <w:spacing w:val="4"/>
          <w:lang w:eastAsia="zh-CN"/>
        </w:rPr>
        <w:t>】</w:t>
      </w:r>
    </w:p>
    <w:p w14:paraId="6B260075" w14:textId="28F38CEC" w:rsidR="00BA4788" w:rsidRPr="00A47960" w:rsidRDefault="00BA4788" w:rsidP="00BA4788">
      <w:pPr>
        <w:spacing w:before="102" w:line="257" w:lineRule="auto"/>
        <w:ind w:right="210" w:firstLine="436"/>
        <w:jc w:val="both"/>
        <w:rPr>
          <w:rFonts w:ascii="微软雅黑" w:eastAsia="微软雅黑" w:hAnsi="微软雅黑" w:cs="微软雅黑" w:hint="eastAsia"/>
          <w:color w:val="auto"/>
          <w:spacing w:val="4"/>
          <w:lang w:eastAsia="zh-CN"/>
        </w:rPr>
      </w:pPr>
      <w:r w:rsidRPr="00A47960">
        <w:rPr>
          <w:rFonts w:ascii="微软雅黑" w:eastAsia="微软雅黑" w:hAnsi="微软雅黑" w:cs="微软雅黑" w:hint="eastAsia"/>
          <w:color w:val="auto"/>
          <w:spacing w:val="4"/>
          <w:lang w:eastAsia="zh-CN"/>
        </w:rPr>
        <w:t>【</w:t>
      </w:r>
      <w:r w:rsidR="00A47960" w:rsidRPr="00A47960">
        <w:rPr>
          <w:rFonts w:ascii="微软雅黑" w:eastAsia="微软雅黑" w:hAnsi="微软雅黑" w:cs="微软雅黑"/>
          <w:color w:val="auto"/>
          <w:spacing w:val="4"/>
          <w:lang w:eastAsia="zh-CN"/>
        </w:rPr>
        <w:t>美国总统特朗普在佐治亚州发表演讲时提及，由于共和党和民主党在支出优先事项上存在分歧，9月份将出现联邦政府“停摆”。美国众议院通过一项短期拨款法案，将为联邦政府机构提供资金至12月4日，以避免政府在11月中期选举前“停摆”。法案通过后将提交参议院审议。若国会未能及时通过拨款法案，大多数联邦机构和项目的资金将于9月30日耗尽。</w:t>
      </w:r>
      <w:r w:rsidRPr="00A47960">
        <w:rPr>
          <w:rFonts w:ascii="微软雅黑" w:eastAsia="微软雅黑" w:hAnsi="微软雅黑" w:cs="微软雅黑" w:hint="eastAsia"/>
          <w:color w:val="auto"/>
          <w:spacing w:val="4"/>
          <w:lang w:eastAsia="zh-CN"/>
        </w:rPr>
        <w:t>】</w:t>
      </w:r>
    </w:p>
    <w:p w14:paraId="54234192" w14:textId="2578D0E8" w:rsidR="00432248" w:rsidRPr="00A47960" w:rsidRDefault="00432248"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A47960">
        <w:rPr>
          <w:rFonts w:ascii="微软雅黑" w:eastAsia="微软雅黑" w:hAnsi="微软雅黑" w:cs="微软雅黑" w:hint="eastAsia"/>
          <w:color w:val="auto"/>
          <w:spacing w:val="4"/>
          <w:lang w:eastAsia="zh-CN"/>
        </w:rPr>
        <w:t>【</w:t>
      </w:r>
      <w:r w:rsidR="00A47960" w:rsidRPr="00A47960">
        <w:rPr>
          <w:rFonts w:ascii="微软雅黑" w:eastAsia="微软雅黑" w:hAnsi="微软雅黑" w:cs="微软雅黑"/>
          <w:color w:val="auto"/>
          <w:spacing w:val="4"/>
          <w:lang w:eastAsia="zh-CN"/>
        </w:rPr>
        <w:t>美国总统特朗普在社交媒体发文称，自2026年8月1日起，所有进口到美国的仿制药将在未来两年内继续适用零关税。两年期满后，相关产品将被征收100%的关税，期限为一年；此后，关税将进一步提高至200%。</w:t>
      </w:r>
      <w:r w:rsidRPr="00A47960">
        <w:rPr>
          <w:rFonts w:ascii="微软雅黑" w:eastAsia="微软雅黑" w:hAnsi="微软雅黑" w:cs="微软雅黑" w:hint="eastAsia"/>
          <w:color w:val="auto"/>
          <w:spacing w:val="4"/>
          <w:lang w:eastAsia="zh-CN"/>
        </w:rPr>
        <w:t>】</w:t>
      </w:r>
    </w:p>
    <w:p w14:paraId="414B4E54" w14:textId="4B3F5D91" w:rsidR="00F217B5" w:rsidRPr="00A47960" w:rsidRDefault="00A47960"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A47960">
        <w:rPr>
          <w:rFonts w:ascii="微软雅黑" w:eastAsia="微软雅黑" w:hAnsi="微软雅黑" w:cs="微软雅黑" w:hint="eastAsia"/>
          <w:color w:val="auto"/>
          <w:spacing w:val="4"/>
          <w:lang w:eastAsia="zh-CN"/>
        </w:rPr>
        <w:t>【</w:t>
      </w:r>
      <w:r w:rsidRPr="00A47960">
        <w:rPr>
          <w:rFonts w:ascii="微软雅黑" w:eastAsia="微软雅黑" w:hAnsi="微软雅黑" w:cs="微软雅黑"/>
          <w:color w:val="auto"/>
          <w:spacing w:val="4"/>
          <w:lang w:eastAsia="zh-CN"/>
        </w:rPr>
        <w:t>知情人士透露，由于日元持续疲软加剧通胀上行风险，日本央行官员对选择比市场普遍预期更快的节奏推进加息持开放态度。若有必要，可能在六个月窗口之前采取行动。大多数日本央行观察人士预期，该行将在12月再次加息。</w:t>
      </w:r>
      <w:r w:rsidRPr="00A47960">
        <w:rPr>
          <w:rFonts w:ascii="微软雅黑" w:eastAsia="微软雅黑" w:hAnsi="微软雅黑" w:cs="微软雅黑" w:hint="eastAsia"/>
          <w:color w:val="auto"/>
          <w:spacing w:val="4"/>
          <w:lang w:eastAsia="zh-CN"/>
        </w:rPr>
        <w:t>】</w:t>
      </w:r>
    </w:p>
    <w:p w14:paraId="7C2591AE" w14:textId="752421A3" w:rsidR="00540161" w:rsidRPr="00A47960" w:rsidRDefault="00A47960" w:rsidP="00A209AB">
      <w:pPr>
        <w:spacing w:before="102" w:line="257" w:lineRule="auto"/>
        <w:ind w:right="210" w:firstLine="436"/>
        <w:jc w:val="both"/>
        <w:rPr>
          <w:rFonts w:ascii="微软雅黑" w:eastAsia="微软雅黑" w:hAnsi="微软雅黑" w:cs="微软雅黑"/>
          <w:color w:val="auto"/>
          <w:spacing w:val="4"/>
          <w:lang w:eastAsia="zh-CN"/>
        </w:rPr>
      </w:pPr>
      <w:r w:rsidRPr="00A47960">
        <w:rPr>
          <w:rFonts w:ascii="微软雅黑" w:eastAsia="微软雅黑" w:hAnsi="微软雅黑" w:cs="微软雅黑" w:hint="eastAsia"/>
          <w:color w:val="auto"/>
          <w:spacing w:val="4"/>
          <w:lang w:eastAsia="zh-CN"/>
        </w:rPr>
        <w:t>【</w:t>
      </w:r>
      <w:r w:rsidRPr="00A47960">
        <w:rPr>
          <w:rFonts w:ascii="微软雅黑" w:eastAsia="微软雅黑" w:hAnsi="微软雅黑" w:cs="微软雅黑"/>
          <w:color w:val="auto"/>
          <w:spacing w:val="4"/>
          <w:lang w:eastAsia="zh-CN"/>
        </w:rPr>
        <w:t>英国国家统计局公布数据显示，受汽油和食品价格下跌影响，6月英国CPI同比上涨2.6%，为去年3月以来最低水平，低于经济学家平均预期的2.7%，是连续第三个月低于预期。</w:t>
      </w:r>
      <w:r w:rsidRPr="00A47960">
        <w:rPr>
          <w:rFonts w:ascii="微软雅黑" w:eastAsia="微软雅黑" w:hAnsi="微软雅黑" w:cs="微软雅黑" w:hint="eastAsia"/>
          <w:color w:val="auto"/>
          <w:spacing w:val="4"/>
          <w:lang w:eastAsia="zh-CN"/>
        </w:rPr>
        <w:t>】</w:t>
      </w:r>
    </w:p>
    <w:p w14:paraId="622CC55B" w14:textId="47B87761" w:rsidR="00A47960" w:rsidRDefault="00A47960"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A47960">
        <w:rPr>
          <w:rFonts w:ascii="微软雅黑" w:eastAsia="微软雅黑" w:hAnsi="微软雅黑" w:cs="微软雅黑" w:hint="eastAsia"/>
          <w:color w:val="auto"/>
          <w:spacing w:val="4"/>
          <w:lang w:eastAsia="zh-CN"/>
        </w:rPr>
        <w:t>【</w:t>
      </w:r>
      <w:r w:rsidRPr="00A47960">
        <w:rPr>
          <w:rFonts w:ascii="微软雅黑" w:eastAsia="微软雅黑" w:hAnsi="微软雅黑" w:cs="微软雅黑"/>
          <w:color w:val="auto"/>
          <w:spacing w:val="4"/>
          <w:lang w:eastAsia="zh-CN"/>
        </w:rPr>
        <w:t>世界银行首席经济学家吉尔表示，美国与伊朗之间不断升级的敌对行动可能重新点燃通胀，推动利率进一步上升，并使全球经济增速从去年的2.9%降至最低1.3%。与此同时，全球总体通胀率将升至4.5%。</w:t>
      </w:r>
      <w:r>
        <w:rPr>
          <w:rFonts w:ascii="微软雅黑" w:eastAsia="微软雅黑" w:hAnsi="微软雅黑" w:cs="微软雅黑" w:hint="eastAsia"/>
          <w:color w:val="auto"/>
          <w:spacing w:val="4"/>
          <w:lang w:eastAsia="zh-CN"/>
        </w:rPr>
        <w:t>】</w:t>
      </w:r>
    </w:p>
    <w:p w14:paraId="3CED6F5C" w14:textId="77777777" w:rsidR="00A47960" w:rsidRDefault="00A47960"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A47960" w:rsidRPr="008D0ACF" w14:paraId="670C2A81" w14:textId="77777777" w:rsidTr="00E43653">
        <w:trPr>
          <w:trHeight w:val="620"/>
        </w:trPr>
        <w:tc>
          <w:tcPr>
            <w:tcW w:w="1701" w:type="dxa"/>
          </w:tcPr>
          <w:bookmarkEnd w:id="0"/>
          <w:p w14:paraId="5CD7C5B5" w14:textId="3CAD0A5B" w:rsidR="00A47960" w:rsidRPr="00432248" w:rsidRDefault="00A47960" w:rsidP="00A47960">
            <w:pPr>
              <w:spacing w:before="230" w:line="191" w:lineRule="auto"/>
              <w:ind w:right="210"/>
              <w:jc w:val="center"/>
              <w:rPr>
                <w:rFonts w:ascii="微软雅黑" w:eastAsia="微软雅黑" w:hAnsi="微软雅黑" w:cs="微软雅黑" w:hint="eastAsia"/>
                <w:b/>
                <w:bCs/>
                <w:spacing w:val="3"/>
                <w:sz w:val="19"/>
                <w:szCs w:val="19"/>
                <w:lang w:eastAsia="zh-CN"/>
              </w:rPr>
            </w:pPr>
            <w:r w:rsidRPr="00A47960">
              <w:rPr>
                <w:rFonts w:ascii="微软雅黑" w:eastAsia="微软雅黑" w:hAnsi="微软雅黑" w:cs="微软雅黑"/>
                <w:b/>
                <w:bCs/>
                <w:spacing w:val="3"/>
                <w:sz w:val="19"/>
                <w:szCs w:val="19"/>
                <w:lang w:eastAsia="zh-CN"/>
              </w:rPr>
              <w:t>2026/7/23</w:t>
            </w:r>
          </w:p>
        </w:tc>
        <w:tc>
          <w:tcPr>
            <w:tcW w:w="1314" w:type="dxa"/>
          </w:tcPr>
          <w:p w14:paraId="5CC8A079" w14:textId="3D479097" w:rsidR="00A47960" w:rsidRPr="00432248" w:rsidRDefault="00A47960" w:rsidP="00A47960">
            <w:pPr>
              <w:spacing w:before="230" w:line="191" w:lineRule="auto"/>
              <w:ind w:right="210"/>
              <w:jc w:val="center"/>
              <w:rPr>
                <w:rFonts w:ascii="微软雅黑" w:eastAsia="微软雅黑" w:hAnsi="微软雅黑" w:cs="微软雅黑" w:hint="eastAsia"/>
                <w:b/>
                <w:bCs/>
                <w:spacing w:val="3"/>
                <w:sz w:val="19"/>
                <w:szCs w:val="19"/>
                <w:lang w:eastAsia="zh-CN"/>
              </w:rPr>
            </w:pPr>
            <w:r w:rsidRPr="00A47960">
              <w:rPr>
                <w:rFonts w:ascii="微软雅黑" w:eastAsia="微软雅黑" w:hAnsi="微软雅黑" w:cs="微软雅黑"/>
                <w:b/>
                <w:bCs/>
                <w:spacing w:val="3"/>
                <w:sz w:val="19"/>
                <w:szCs w:val="19"/>
                <w:lang w:eastAsia="zh-CN"/>
              </w:rPr>
              <w:t>20:</w:t>
            </w:r>
            <w:r>
              <w:rPr>
                <w:rFonts w:ascii="微软雅黑" w:eastAsia="微软雅黑" w:hAnsi="微软雅黑" w:cs="微软雅黑" w:hint="eastAsia"/>
                <w:b/>
                <w:bCs/>
                <w:spacing w:val="3"/>
                <w:sz w:val="19"/>
                <w:szCs w:val="19"/>
                <w:lang w:eastAsia="zh-CN"/>
              </w:rPr>
              <w:t>15</w:t>
            </w:r>
          </w:p>
        </w:tc>
        <w:tc>
          <w:tcPr>
            <w:tcW w:w="6344" w:type="dxa"/>
          </w:tcPr>
          <w:p w14:paraId="17C12098" w14:textId="6C6409B9" w:rsidR="00A47960" w:rsidRPr="00432248" w:rsidRDefault="00A47960" w:rsidP="00A47960">
            <w:pPr>
              <w:spacing w:before="230" w:line="191" w:lineRule="auto"/>
              <w:ind w:right="210"/>
              <w:jc w:val="center"/>
              <w:rPr>
                <w:rFonts w:ascii="微软雅黑" w:eastAsia="微软雅黑" w:hAnsi="微软雅黑" w:cs="微软雅黑" w:hint="eastAsia"/>
                <w:b/>
                <w:bCs/>
                <w:spacing w:val="3"/>
                <w:sz w:val="19"/>
                <w:szCs w:val="19"/>
                <w:lang w:eastAsia="zh-CN"/>
              </w:rPr>
            </w:pPr>
            <w:r w:rsidRPr="00A47960">
              <w:rPr>
                <w:rFonts w:ascii="微软雅黑" w:eastAsia="微软雅黑" w:hAnsi="微软雅黑" w:cs="微软雅黑"/>
                <w:b/>
                <w:bCs/>
                <w:spacing w:val="3"/>
                <w:sz w:val="19"/>
                <w:szCs w:val="19"/>
                <w:lang w:eastAsia="zh-CN"/>
              </w:rPr>
              <w:t>欧洲央行利率决议</w:t>
            </w:r>
          </w:p>
        </w:tc>
      </w:tr>
      <w:tr w:rsidR="00A47960" w:rsidRPr="008D0ACF" w14:paraId="5B8E297F" w14:textId="77777777" w:rsidTr="00432248">
        <w:trPr>
          <w:trHeight w:val="652"/>
        </w:trPr>
        <w:tc>
          <w:tcPr>
            <w:tcW w:w="1701" w:type="dxa"/>
            <w:shd w:val="clear" w:color="auto" w:fill="DAE3F4" w:themeFill="accent1" w:themeFillTint="33"/>
          </w:tcPr>
          <w:p w14:paraId="4567D2AE" w14:textId="3A644706" w:rsidR="00A47960" w:rsidRPr="00432248" w:rsidRDefault="00A47960" w:rsidP="00A47960">
            <w:pPr>
              <w:spacing w:before="230" w:line="191" w:lineRule="auto"/>
              <w:ind w:right="210"/>
              <w:jc w:val="center"/>
              <w:rPr>
                <w:rFonts w:ascii="微软雅黑" w:eastAsia="微软雅黑" w:hAnsi="微软雅黑" w:cs="微软雅黑" w:hint="eastAsia"/>
                <w:b/>
                <w:bCs/>
                <w:spacing w:val="3"/>
                <w:sz w:val="19"/>
                <w:szCs w:val="19"/>
                <w:lang w:eastAsia="zh-CN"/>
              </w:rPr>
            </w:pPr>
            <w:r w:rsidRPr="00A47960">
              <w:rPr>
                <w:rFonts w:ascii="微软雅黑" w:eastAsia="微软雅黑" w:hAnsi="微软雅黑" w:cs="微软雅黑"/>
                <w:b/>
                <w:bCs/>
                <w:spacing w:val="3"/>
                <w:sz w:val="19"/>
                <w:szCs w:val="19"/>
                <w:lang w:eastAsia="zh-CN"/>
              </w:rPr>
              <w:t>2026/7/23</w:t>
            </w:r>
          </w:p>
        </w:tc>
        <w:tc>
          <w:tcPr>
            <w:tcW w:w="1314" w:type="dxa"/>
            <w:shd w:val="clear" w:color="auto" w:fill="DAE3F4" w:themeFill="accent1" w:themeFillTint="33"/>
          </w:tcPr>
          <w:p w14:paraId="3B0A4895" w14:textId="5AAA9A0F" w:rsidR="00A47960" w:rsidRPr="00432248" w:rsidRDefault="00A47960" w:rsidP="00A47960">
            <w:pPr>
              <w:spacing w:before="230" w:line="191" w:lineRule="auto"/>
              <w:ind w:right="210"/>
              <w:jc w:val="center"/>
              <w:rPr>
                <w:rFonts w:ascii="微软雅黑" w:eastAsia="微软雅黑" w:hAnsi="微软雅黑" w:cs="微软雅黑" w:hint="eastAsia"/>
                <w:b/>
                <w:bCs/>
                <w:spacing w:val="3"/>
                <w:sz w:val="19"/>
                <w:szCs w:val="19"/>
                <w:lang w:eastAsia="zh-CN"/>
              </w:rPr>
            </w:pPr>
            <w:r w:rsidRPr="00A47960">
              <w:rPr>
                <w:rFonts w:ascii="微软雅黑" w:eastAsia="微软雅黑" w:hAnsi="微软雅黑" w:cs="微软雅黑"/>
                <w:b/>
                <w:bCs/>
                <w:spacing w:val="3"/>
                <w:sz w:val="19"/>
                <w:szCs w:val="19"/>
                <w:lang w:eastAsia="zh-CN"/>
              </w:rPr>
              <w:t>20:30</w:t>
            </w:r>
          </w:p>
        </w:tc>
        <w:tc>
          <w:tcPr>
            <w:tcW w:w="6344" w:type="dxa"/>
            <w:shd w:val="clear" w:color="auto" w:fill="DAE3F4" w:themeFill="accent1" w:themeFillTint="33"/>
          </w:tcPr>
          <w:p w14:paraId="148F6123" w14:textId="58399D61" w:rsidR="00A47960" w:rsidRPr="00432248" w:rsidRDefault="00A47960" w:rsidP="00A47960">
            <w:pPr>
              <w:spacing w:before="230" w:line="191" w:lineRule="auto"/>
              <w:ind w:right="210"/>
              <w:jc w:val="center"/>
              <w:rPr>
                <w:rFonts w:ascii="微软雅黑" w:eastAsia="微软雅黑" w:hAnsi="微软雅黑" w:cs="微软雅黑" w:hint="eastAsia"/>
                <w:b/>
                <w:bCs/>
                <w:spacing w:val="3"/>
                <w:sz w:val="19"/>
                <w:szCs w:val="19"/>
                <w:lang w:eastAsia="zh-CN"/>
              </w:rPr>
            </w:pPr>
            <w:r w:rsidRPr="00A47960">
              <w:rPr>
                <w:rFonts w:ascii="微软雅黑" w:eastAsia="微软雅黑" w:hAnsi="微软雅黑" w:cs="微软雅黑"/>
                <w:b/>
                <w:bCs/>
                <w:spacing w:val="3"/>
                <w:sz w:val="19"/>
                <w:szCs w:val="19"/>
                <w:lang w:eastAsia="zh-CN"/>
              </w:rPr>
              <w:t>美国至 7 月 18 日当周初请失业金人数</w:t>
            </w:r>
          </w:p>
        </w:tc>
      </w:tr>
      <w:tr w:rsidR="00A47960" w:rsidRPr="008D0ACF" w14:paraId="11459514" w14:textId="77777777" w:rsidTr="00432248">
        <w:trPr>
          <w:trHeight w:val="620"/>
        </w:trPr>
        <w:tc>
          <w:tcPr>
            <w:tcW w:w="1701" w:type="dxa"/>
          </w:tcPr>
          <w:p w14:paraId="336E77A1" w14:textId="5248E0C8" w:rsidR="00A47960" w:rsidRPr="00432248" w:rsidRDefault="00A47960" w:rsidP="00A47960">
            <w:pPr>
              <w:spacing w:before="230" w:line="191" w:lineRule="auto"/>
              <w:ind w:right="210"/>
              <w:jc w:val="center"/>
              <w:rPr>
                <w:rFonts w:ascii="微软雅黑" w:eastAsia="微软雅黑" w:hAnsi="微软雅黑" w:cs="微软雅黑" w:hint="eastAsia"/>
                <w:b/>
                <w:bCs/>
                <w:spacing w:val="3"/>
                <w:sz w:val="19"/>
                <w:szCs w:val="19"/>
                <w:lang w:eastAsia="zh-CN"/>
              </w:rPr>
            </w:pPr>
            <w:r w:rsidRPr="00A47960">
              <w:rPr>
                <w:rFonts w:ascii="微软雅黑" w:eastAsia="微软雅黑" w:hAnsi="微软雅黑" w:cs="微软雅黑"/>
                <w:b/>
                <w:bCs/>
                <w:spacing w:val="3"/>
                <w:sz w:val="19"/>
                <w:szCs w:val="19"/>
                <w:lang w:eastAsia="zh-CN"/>
              </w:rPr>
              <w:t>2026/7/23</w:t>
            </w:r>
          </w:p>
        </w:tc>
        <w:tc>
          <w:tcPr>
            <w:tcW w:w="1314" w:type="dxa"/>
          </w:tcPr>
          <w:p w14:paraId="2FF031BB" w14:textId="31D137DB" w:rsidR="00A47960" w:rsidRPr="00432248" w:rsidRDefault="00A47960" w:rsidP="00A47960">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22:</w:t>
            </w:r>
            <w:r>
              <w:rPr>
                <w:rFonts w:ascii="微软雅黑" w:eastAsia="微软雅黑" w:hAnsi="微软雅黑" w:cs="微软雅黑" w:hint="eastAsia"/>
                <w:b/>
                <w:bCs/>
                <w:spacing w:val="3"/>
                <w:sz w:val="19"/>
                <w:szCs w:val="19"/>
                <w:lang w:eastAsia="zh-CN"/>
              </w:rPr>
              <w:t>0</w:t>
            </w:r>
            <w:r w:rsidRPr="00E84808">
              <w:rPr>
                <w:rFonts w:ascii="微软雅黑" w:eastAsia="微软雅黑" w:hAnsi="微软雅黑" w:cs="微软雅黑"/>
                <w:b/>
                <w:bCs/>
                <w:spacing w:val="3"/>
                <w:sz w:val="19"/>
                <w:szCs w:val="19"/>
                <w:lang w:eastAsia="zh-CN"/>
              </w:rPr>
              <w:t>0</w:t>
            </w:r>
          </w:p>
        </w:tc>
        <w:tc>
          <w:tcPr>
            <w:tcW w:w="6344" w:type="dxa"/>
          </w:tcPr>
          <w:p w14:paraId="2CB0AF66" w14:textId="6707E0B9" w:rsidR="00A47960" w:rsidRPr="00432248" w:rsidRDefault="00A47960" w:rsidP="00A47960">
            <w:pPr>
              <w:spacing w:before="230" w:line="191" w:lineRule="auto"/>
              <w:ind w:right="210"/>
              <w:jc w:val="center"/>
              <w:rPr>
                <w:rFonts w:ascii="微软雅黑" w:eastAsia="微软雅黑" w:hAnsi="微软雅黑" w:cs="微软雅黑" w:hint="eastAsia"/>
                <w:b/>
                <w:bCs/>
                <w:spacing w:val="3"/>
                <w:sz w:val="19"/>
                <w:szCs w:val="19"/>
                <w:lang w:eastAsia="zh-CN"/>
              </w:rPr>
            </w:pPr>
            <w:r w:rsidRPr="00A47960">
              <w:rPr>
                <w:rFonts w:ascii="微软雅黑" w:eastAsia="微软雅黑" w:hAnsi="微软雅黑" w:cs="微软雅黑"/>
                <w:b/>
                <w:bCs/>
                <w:spacing w:val="3"/>
                <w:sz w:val="19"/>
                <w:szCs w:val="19"/>
                <w:lang w:eastAsia="zh-CN"/>
              </w:rPr>
              <w:t>欧元区 7 月消费者信心指数初值</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6CF4856D" w14:textId="77777777" w:rsidR="000218DC" w:rsidRPr="000218DC" w:rsidRDefault="000218DC" w:rsidP="000218DC">
      <w:pPr>
        <w:spacing w:before="103" w:line="256" w:lineRule="auto"/>
        <w:ind w:right="210" w:firstLineChars="200" w:firstLine="448"/>
        <w:rPr>
          <w:rFonts w:ascii="微软雅黑" w:eastAsia="微软雅黑" w:hAnsi="微软雅黑" w:cs="微软雅黑"/>
          <w:spacing w:val="7"/>
          <w:lang w:eastAsia="zh-CN"/>
        </w:rPr>
      </w:pPr>
      <w:r w:rsidRPr="000218DC">
        <w:rPr>
          <w:rFonts w:ascii="微软雅黑" w:eastAsia="微软雅黑" w:hAnsi="微软雅黑" w:cs="微软雅黑" w:hint="eastAsia"/>
          <w:spacing w:val="7"/>
          <w:lang w:eastAsia="zh-CN"/>
        </w:rPr>
        <w:t>隔夜，美元指数跌</w:t>
      </w:r>
      <w:r w:rsidRPr="000218DC">
        <w:rPr>
          <w:rFonts w:ascii="微软雅黑" w:eastAsia="微软雅黑" w:hAnsi="微软雅黑" w:cs="微软雅黑"/>
          <w:spacing w:val="7"/>
          <w:lang w:eastAsia="zh-CN"/>
        </w:rPr>
        <w:t>0.09%</w:t>
      </w:r>
      <w:r w:rsidRPr="000218DC">
        <w:rPr>
          <w:rFonts w:ascii="微软雅黑" w:eastAsia="微软雅黑" w:hAnsi="微软雅黑" w:cs="微软雅黑" w:hint="eastAsia"/>
          <w:spacing w:val="7"/>
          <w:lang w:eastAsia="zh-CN"/>
        </w:rPr>
        <w:t>报</w:t>
      </w:r>
      <w:r w:rsidRPr="000218DC">
        <w:rPr>
          <w:rFonts w:ascii="微软雅黑" w:eastAsia="微软雅黑" w:hAnsi="微软雅黑" w:cs="微软雅黑"/>
          <w:spacing w:val="7"/>
          <w:lang w:eastAsia="zh-CN"/>
        </w:rPr>
        <w:t>101.12</w:t>
      </w:r>
      <w:r w:rsidRPr="000218DC">
        <w:rPr>
          <w:rFonts w:ascii="微软雅黑" w:eastAsia="微软雅黑" w:hAnsi="微软雅黑" w:cs="微软雅黑" w:hint="eastAsia"/>
          <w:spacing w:val="7"/>
          <w:lang w:eastAsia="zh-CN"/>
        </w:rPr>
        <w:t>，非美货币多数上涨，欧元兑美元涨</w:t>
      </w:r>
      <w:r w:rsidRPr="000218DC">
        <w:rPr>
          <w:rFonts w:ascii="微软雅黑" w:eastAsia="微软雅黑" w:hAnsi="微软雅黑" w:cs="微软雅黑"/>
          <w:spacing w:val="7"/>
          <w:lang w:eastAsia="zh-CN"/>
        </w:rPr>
        <w:t>0.13%</w:t>
      </w:r>
      <w:r w:rsidRPr="000218DC">
        <w:rPr>
          <w:rFonts w:ascii="微软雅黑" w:eastAsia="微软雅黑" w:hAnsi="微软雅黑" w:cs="微软雅黑" w:hint="eastAsia"/>
          <w:spacing w:val="7"/>
          <w:lang w:eastAsia="zh-CN"/>
        </w:rPr>
        <w:t>报</w:t>
      </w:r>
      <w:r w:rsidRPr="000218DC">
        <w:rPr>
          <w:rFonts w:ascii="微软雅黑" w:eastAsia="微软雅黑" w:hAnsi="微软雅黑" w:cs="微软雅黑"/>
          <w:spacing w:val="7"/>
          <w:lang w:eastAsia="zh-CN"/>
        </w:rPr>
        <w:t>1.1412</w:t>
      </w:r>
      <w:r w:rsidRPr="000218DC">
        <w:rPr>
          <w:rFonts w:ascii="微软雅黑" w:eastAsia="微软雅黑" w:hAnsi="微软雅黑" w:cs="微软雅黑" w:hint="eastAsia"/>
          <w:spacing w:val="7"/>
          <w:lang w:eastAsia="zh-CN"/>
        </w:rPr>
        <w:t>，英镑兑美元涨</w:t>
      </w:r>
      <w:r w:rsidRPr="000218DC">
        <w:rPr>
          <w:rFonts w:ascii="微软雅黑" w:eastAsia="微软雅黑" w:hAnsi="微软雅黑" w:cs="微软雅黑"/>
          <w:spacing w:val="7"/>
          <w:lang w:eastAsia="zh-CN"/>
        </w:rPr>
        <w:t>0.01%</w:t>
      </w:r>
      <w:r w:rsidRPr="000218DC">
        <w:rPr>
          <w:rFonts w:ascii="微软雅黑" w:eastAsia="微软雅黑" w:hAnsi="微软雅黑" w:cs="微软雅黑" w:hint="eastAsia"/>
          <w:spacing w:val="7"/>
          <w:lang w:eastAsia="zh-CN"/>
        </w:rPr>
        <w:t>报</w:t>
      </w:r>
      <w:r w:rsidRPr="000218DC">
        <w:rPr>
          <w:rFonts w:ascii="微软雅黑" w:eastAsia="微软雅黑" w:hAnsi="微软雅黑" w:cs="微软雅黑"/>
          <w:spacing w:val="7"/>
          <w:lang w:eastAsia="zh-CN"/>
        </w:rPr>
        <w:t>1.3375</w:t>
      </w:r>
      <w:r w:rsidRPr="000218DC">
        <w:rPr>
          <w:rFonts w:ascii="微软雅黑" w:eastAsia="微软雅黑" w:hAnsi="微软雅黑" w:cs="微软雅黑" w:hint="eastAsia"/>
          <w:spacing w:val="7"/>
          <w:lang w:eastAsia="zh-CN"/>
        </w:rPr>
        <w:t>，美元兑日元跌</w:t>
      </w:r>
      <w:r w:rsidRPr="000218DC">
        <w:rPr>
          <w:rFonts w:ascii="微软雅黑" w:eastAsia="微软雅黑" w:hAnsi="微软雅黑" w:cs="微软雅黑"/>
          <w:spacing w:val="7"/>
          <w:lang w:eastAsia="zh-CN"/>
        </w:rPr>
        <w:t>0.02%</w:t>
      </w:r>
      <w:r w:rsidRPr="000218DC">
        <w:rPr>
          <w:rFonts w:ascii="微软雅黑" w:eastAsia="微软雅黑" w:hAnsi="微软雅黑" w:cs="微软雅黑" w:hint="eastAsia"/>
          <w:spacing w:val="7"/>
          <w:lang w:eastAsia="zh-CN"/>
        </w:rPr>
        <w:t>报</w:t>
      </w:r>
      <w:r w:rsidRPr="000218DC">
        <w:rPr>
          <w:rFonts w:ascii="微软雅黑" w:eastAsia="微软雅黑" w:hAnsi="微软雅黑" w:cs="微软雅黑"/>
          <w:spacing w:val="7"/>
          <w:lang w:eastAsia="zh-CN"/>
        </w:rPr>
        <w:t>163.1615</w:t>
      </w:r>
      <w:r w:rsidRPr="000218DC">
        <w:rPr>
          <w:rFonts w:ascii="微软雅黑" w:eastAsia="微软雅黑" w:hAnsi="微软雅黑" w:cs="微软雅黑" w:hint="eastAsia"/>
          <w:spacing w:val="7"/>
          <w:lang w:eastAsia="zh-CN"/>
        </w:rPr>
        <w:t>。</w:t>
      </w:r>
    </w:p>
    <w:p w14:paraId="7BAF8A19" w14:textId="77777777" w:rsidR="000218DC" w:rsidRPr="000218DC" w:rsidRDefault="000218DC" w:rsidP="000218DC">
      <w:pPr>
        <w:spacing w:before="103" w:line="256" w:lineRule="auto"/>
        <w:ind w:right="210" w:firstLineChars="200" w:firstLine="448"/>
        <w:rPr>
          <w:rFonts w:ascii="微软雅黑" w:eastAsia="微软雅黑" w:hAnsi="微软雅黑" w:cs="微软雅黑"/>
          <w:spacing w:val="7"/>
          <w:lang w:eastAsia="zh-CN"/>
        </w:rPr>
      </w:pPr>
      <w:r w:rsidRPr="000218DC">
        <w:rPr>
          <w:rFonts w:ascii="微软雅黑" w:eastAsia="微软雅黑" w:hAnsi="微软雅黑" w:cs="微软雅黑" w:hint="eastAsia"/>
          <w:spacing w:val="7"/>
          <w:lang w:eastAsia="zh-CN"/>
        </w:rPr>
        <w:t>地缘方面，美伊前期达成的停火协议几乎全面瓦解，伊朗支持的胡塞武装亦宣布对沙特实施海上封锁，引发红海能源运输担忧，当前调停方已提出旨在缓和美伊紧张局势的提议，后续或达成为期</w:t>
      </w:r>
      <w:r w:rsidRPr="000218DC">
        <w:rPr>
          <w:rFonts w:ascii="微软雅黑" w:eastAsia="微软雅黑" w:hAnsi="微软雅黑" w:cs="微软雅黑"/>
          <w:spacing w:val="7"/>
          <w:lang w:eastAsia="zh-CN"/>
        </w:rPr>
        <w:t>10</w:t>
      </w:r>
      <w:r w:rsidRPr="000218DC">
        <w:rPr>
          <w:rFonts w:ascii="微软雅黑" w:eastAsia="微软雅黑" w:hAnsi="微软雅黑" w:cs="微软雅黑" w:hint="eastAsia"/>
          <w:spacing w:val="7"/>
          <w:lang w:eastAsia="zh-CN"/>
        </w:rPr>
        <w:t>天的临时停火协议。美伊局势延续反复态势，避险资金流入为美元提供边际支撑。货币政策方面，美联储主席沃什多次强调通胀调控仍是核心议题，近期多位联储官员亦释放类似信号。决策者目前已进入下周</w:t>
      </w:r>
      <w:r w:rsidRPr="000218DC">
        <w:rPr>
          <w:rFonts w:ascii="微软雅黑" w:eastAsia="微软雅黑" w:hAnsi="微软雅黑" w:cs="微软雅黑"/>
          <w:spacing w:val="7"/>
          <w:lang w:eastAsia="zh-CN"/>
        </w:rPr>
        <w:lastRenderedPageBreak/>
        <w:t>FOMC</w:t>
      </w:r>
      <w:r w:rsidRPr="000218DC">
        <w:rPr>
          <w:rFonts w:ascii="微软雅黑" w:eastAsia="微软雅黑" w:hAnsi="微软雅黑" w:cs="微软雅黑" w:hint="eastAsia"/>
          <w:spacing w:val="7"/>
          <w:lang w:eastAsia="zh-CN"/>
        </w:rPr>
        <w:t>会议前的例行静默期，市场普遍预计美联储将维持联邦基金利率不变。然而，市场对后续收紧政策的预期依然高企，利率期货市场定价</w:t>
      </w:r>
      <w:r w:rsidRPr="000218DC">
        <w:rPr>
          <w:rFonts w:ascii="微软雅黑" w:eastAsia="微软雅黑" w:hAnsi="微软雅黑" w:cs="微软雅黑"/>
          <w:spacing w:val="7"/>
          <w:lang w:eastAsia="zh-CN"/>
        </w:rPr>
        <w:t>9</w:t>
      </w:r>
      <w:r w:rsidRPr="000218DC">
        <w:rPr>
          <w:rFonts w:ascii="微软雅黑" w:eastAsia="微软雅黑" w:hAnsi="微软雅黑" w:cs="微软雅黑" w:hint="eastAsia"/>
          <w:spacing w:val="7"/>
          <w:lang w:eastAsia="zh-CN"/>
        </w:rPr>
        <w:t>月加息概率录得近</w:t>
      </w:r>
      <w:r w:rsidRPr="000218DC">
        <w:rPr>
          <w:rFonts w:ascii="微软雅黑" w:eastAsia="微软雅黑" w:hAnsi="微软雅黑" w:cs="微软雅黑"/>
          <w:spacing w:val="7"/>
          <w:lang w:eastAsia="zh-CN"/>
        </w:rPr>
        <w:t>70%</w:t>
      </w:r>
      <w:r w:rsidRPr="000218DC">
        <w:rPr>
          <w:rFonts w:ascii="微软雅黑" w:eastAsia="微软雅黑" w:hAnsi="微软雅黑" w:cs="微软雅黑" w:hint="eastAsia"/>
          <w:spacing w:val="7"/>
          <w:lang w:eastAsia="zh-CN"/>
        </w:rPr>
        <w:t>。整体来看，就业及通胀数据放缓限制美元上行空间，美伊冲突引发的避险需求则构成底部支撑，预计短期美元或维持高位震荡，重点关注美伊局势进展及美联储后续表态。</w:t>
      </w:r>
    </w:p>
    <w:p w14:paraId="502379A4" w14:textId="1851E9AE" w:rsidR="002760F0" w:rsidRPr="002760F0" w:rsidRDefault="000218DC" w:rsidP="000218DC">
      <w:pPr>
        <w:spacing w:before="103" w:line="256" w:lineRule="auto"/>
        <w:ind w:right="210" w:firstLineChars="200" w:firstLine="448"/>
        <w:rPr>
          <w:rFonts w:ascii="微软雅黑" w:eastAsia="微软雅黑" w:hAnsi="微软雅黑" w:cs="微软雅黑" w:hint="eastAsia"/>
          <w:spacing w:val="7"/>
          <w:lang w:eastAsia="zh-CN"/>
        </w:rPr>
      </w:pPr>
      <w:r w:rsidRPr="000218DC">
        <w:rPr>
          <w:rFonts w:ascii="微软雅黑" w:eastAsia="微软雅黑" w:hAnsi="微软雅黑" w:cs="微软雅黑" w:hint="eastAsia"/>
          <w:spacing w:val="7"/>
          <w:lang w:eastAsia="zh-CN"/>
        </w:rPr>
        <w:t>美元阶段性走弱为欧元走势提供支撑，市场加码押注欧央行偏紧政策预期，目前已完全消化</w:t>
      </w:r>
      <w:r w:rsidRPr="000218DC">
        <w:rPr>
          <w:rFonts w:ascii="微软雅黑" w:eastAsia="微软雅黑" w:hAnsi="微软雅黑" w:cs="微软雅黑"/>
          <w:spacing w:val="7"/>
          <w:lang w:eastAsia="zh-CN"/>
        </w:rPr>
        <w:t>9</w:t>
      </w:r>
      <w:r w:rsidRPr="000218DC">
        <w:rPr>
          <w:rFonts w:ascii="微软雅黑" w:eastAsia="微软雅黑" w:hAnsi="微软雅黑" w:cs="微软雅黑" w:hint="eastAsia"/>
          <w:spacing w:val="7"/>
          <w:lang w:eastAsia="zh-CN"/>
        </w:rPr>
        <w:t>月加息预期，并预计</w:t>
      </w:r>
      <w:r w:rsidRPr="000218DC">
        <w:rPr>
          <w:rFonts w:ascii="微软雅黑" w:eastAsia="微软雅黑" w:hAnsi="微软雅黑" w:cs="微软雅黑"/>
          <w:spacing w:val="7"/>
          <w:lang w:eastAsia="zh-CN"/>
        </w:rPr>
        <w:t>2027</w:t>
      </w:r>
      <w:r w:rsidRPr="000218DC">
        <w:rPr>
          <w:rFonts w:ascii="微软雅黑" w:eastAsia="微软雅黑" w:hAnsi="微软雅黑" w:cs="微软雅黑" w:hint="eastAsia"/>
          <w:spacing w:val="7"/>
          <w:lang w:eastAsia="zh-CN"/>
        </w:rPr>
        <w:t>年初将再度加息，但欧央行官员立场仍相对谨慎，本周欧央行料维持利率按兵不动；在美联储鹰派主基调延续、美欧利差持续走阔的背景下，欧元上方阻力仍存。日本方面，日本央行仍沿渐进路径推进政策正常化，美日利差劣势、套息交易及避险美元需求持续构成压制，但伴随日元持续运行于敏感区间，汇率干预风险亦同步上升，短期内日元或维持低位弱势运行</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2EE96518" w:rsidR="007A477E" w:rsidRDefault="000218DC"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AB6B12">
        <w:rPr>
          <w:rFonts w:ascii="黑体" w:eastAsia="黑体" w:hAnsi="黑体" w:cs="黑体"/>
          <w:noProof/>
          <w:color w:val="000000" w:themeColor="text1"/>
          <w:sz w:val="22"/>
          <w:szCs w:val="22"/>
          <w:shd w:val="clear" w:color="auto" w:fill="FFFFFF"/>
          <w:lang w:bidi="ar"/>
        </w:rPr>
        <w:drawing>
          <wp:inline distT="0" distB="0" distL="0" distR="0" wp14:anchorId="4AD80DC1" wp14:editId="5D947C41">
            <wp:extent cx="4429125" cy="2200275"/>
            <wp:effectExtent l="0" t="0" r="9525" b="9525"/>
            <wp:docPr id="6189112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9125" cy="2200275"/>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2D98AC0D" w:rsidR="00ED4A18" w:rsidRDefault="000218DC" w:rsidP="00B00DB4">
      <w:pPr>
        <w:spacing w:before="103" w:line="256" w:lineRule="auto"/>
        <w:ind w:right="210" w:firstLine="448"/>
        <w:rPr>
          <w:rFonts w:ascii="微软雅黑" w:eastAsia="微软雅黑" w:hAnsi="微软雅黑" w:cs="微软雅黑" w:hint="eastAsia"/>
          <w:spacing w:val="7"/>
          <w:lang w:eastAsia="zh-CN"/>
        </w:rPr>
      </w:pPr>
      <w:r w:rsidRPr="000218DC">
        <w:rPr>
          <w:rFonts w:ascii="微软雅黑" w:eastAsia="微软雅黑" w:hAnsi="微软雅黑" w:cs="微软雅黑"/>
          <w:spacing w:val="7"/>
          <w:lang w:eastAsia="zh-CN"/>
        </w:rPr>
        <w:t>截至7月22日，标普500指数下跌0.14%至7498.96；迷你标普500主力合约下跌0.02%至7541点。地缘局势上，特朗普称只要伊朗在霍尔木兹海峡向船只开火，美国都将轰炸并摧毁伊朗一座桥梁或发电厂。对此，伊朗回应若美国将威胁付诸行动，井进行对等报复，且当地将无法出口石油。中东局势仍在恶化，国际油价不断攀升，带动通胀预期上行进而推升美债收益率。产业层面，谷歌及特斯拉公布财报，受到资本开支大幅增加，两家公司自由现金流二季度均转负。对庞大资本开支能否转化为收益的担忧，令谷歌与特斯拉股价大跌。整体来看，财报季下，市场开始对人工智能行情下科技企业的高估值进行检验，若相关财务指标出现弱于市场预期的情况，都有较大概率引发回调，同时美债收益率与油价仍在进一步走高，对市场形成显著压力，需密切关注地缘局势变化</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2B1E1E98" w:rsidR="007A477E" w:rsidRPr="00EE7376" w:rsidRDefault="000218DC" w:rsidP="006B6996">
      <w:pPr>
        <w:spacing w:before="103" w:line="256" w:lineRule="auto"/>
        <w:ind w:right="210" w:firstLine="420"/>
        <w:jc w:val="center"/>
        <w:rPr>
          <w:rFonts w:ascii="微软雅黑" w:eastAsia="微软雅黑" w:hAnsi="微软雅黑" w:cs="微软雅黑" w:hint="eastAsia"/>
          <w:spacing w:val="7"/>
          <w:lang w:eastAsia="zh-CN"/>
        </w:rPr>
      </w:pPr>
      <w:r w:rsidRPr="006F3544">
        <w:rPr>
          <w:rFonts w:ascii="Helvetica" w:hAnsi="Helvetica" w:cs="Helvetica"/>
          <w:noProof/>
          <w:shd w:val="clear" w:color="auto" w:fill="FFFFFF"/>
        </w:rPr>
        <w:lastRenderedPageBreak/>
        <w:drawing>
          <wp:inline distT="0" distB="0" distL="0" distR="0" wp14:anchorId="3D88760D" wp14:editId="78BC0BAE">
            <wp:extent cx="5274310" cy="1597015"/>
            <wp:effectExtent l="0" t="0" r="2540" b="3810"/>
            <wp:docPr id="36736626" name="图片 36736626" descr="C:\Users\Administrator\xwechat_files\wxid_vkxlzo0vqu7s22_6f5b\temp\InputTemp\edf1933b-c63c-4883-89d4-9bd1924d00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edf1933b-c63c-4883-89d4-9bd1924d001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7015"/>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3210CDED" w:rsidR="004F4EDC" w:rsidRDefault="000218DC" w:rsidP="000511AA">
      <w:pPr>
        <w:spacing w:before="103" w:line="256" w:lineRule="auto"/>
        <w:ind w:right="210" w:firstLine="448"/>
        <w:jc w:val="both"/>
        <w:rPr>
          <w:rFonts w:ascii="微软雅黑" w:eastAsia="微软雅黑" w:hAnsi="微软雅黑" w:cs="微软雅黑" w:hint="eastAsia"/>
          <w:spacing w:val="7"/>
          <w:lang w:eastAsia="zh-CN"/>
        </w:rPr>
      </w:pPr>
      <w:r w:rsidRPr="000218DC">
        <w:rPr>
          <w:rFonts w:ascii="微软雅黑" w:eastAsia="微软雅黑" w:hAnsi="微软雅黑" w:cs="微软雅黑"/>
          <w:spacing w:val="7"/>
          <w:lang w:eastAsia="zh-CN"/>
        </w:rPr>
        <w:t>截至7月22日，富时中国A50指数下跌0.54%至15254.35；新交所富时A50期指主力合约下跌0.04%至15156。海外方面，地缘局势上，特朗普称只要伊朗在霍尔木兹海峡向船只开火，美国都将轰炸并摧毁伊朗一座桥梁或发电厂。对此，伊朗回应若美国将威胁付诸行动，井进行对等报复，且当地将无法出口石油。中东局势仍在恶化，国际油价不断攀升，带动通胀预期上行进而推升美债收益率。产业层面，谷歌及特斯拉公布财报，受到资本开支大幅增加，两家公司自由现金流二季度均转负。对庞大资本开支能否转化为收益的担忧，令谷歌与特斯拉股价大跌。国内方面，经济基本面，二季度我国GDP增速明显回落，其中固投拖累明显；6月份社零重回正增长，但主要受到去年低基期影响，内需仍然偏弱。进出口数据中高技术产品出口强劲与工业增加值高技术产业高增的态势相呼应。整体来看，二季度受到内需走弱，投资放缓的影响，经济基本面整体表现不佳对股市形成压力。同时，油价与美债收益率双双站上关键点位，再度使得市场面临资金层面重估值的压力。此前，国家队进场的消息虽然为A股提供一定反弹动能，但经济基本面和海外流动性的压力并未消除，A股短期预计呈现震荡寻底态势</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039B114F" w:rsidR="00A10388" w:rsidRDefault="000218DC" w:rsidP="00A10388">
      <w:pPr>
        <w:spacing w:before="120" w:line="190" w:lineRule="auto"/>
        <w:ind w:right="210" w:firstLine="420"/>
        <w:jc w:val="center"/>
        <w:rPr>
          <w:rFonts w:ascii="新宋体" w:eastAsia="新宋体" w:hAnsi="新宋体" w:hint="eastAsia"/>
          <w:lang w:eastAsia="zh-CN"/>
        </w:rPr>
      </w:pPr>
      <w:r w:rsidRPr="006F3544">
        <w:rPr>
          <w:rFonts w:ascii="宋体" w:eastAsia="宋体" w:hAnsi="宋体"/>
          <w:b/>
          <w:noProof/>
        </w:rPr>
        <w:drawing>
          <wp:inline distT="0" distB="0" distL="0" distR="0" wp14:anchorId="6EF3C110" wp14:editId="66662C3D">
            <wp:extent cx="5274310" cy="1596721"/>
            <wp:effectExtent l="0" t="0" r="2540" b="3810"/>
            <wp:docPr id="2" name="图片 2" descr="C:\Users\Administrator\xwechat_files\wxid_vkxlzo0vqu7s22_6f5b\temp\InputTemp\06a0b3b1-d52f-4778-a07c-d57db10446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06a0b3b1-d52f-4778-a07c-d57db104463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6721"/>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1D921E50" w:rsidR="005B5E6A" w:rsidRDefault="000218DC" w:rsidP="00F51117">
      <w:pPr>
        <w:spacing w:before="103" w:line="256" w:lineRule="auto"/>
        <w:ind w:right="210" w:firstLine="448"/>
        <w:jc w:val="both"/>
        <w:rPr>
          <w:rFonts w:ascii="微软雅黑" w:eastAsia="微软雅黑" w:hAnsi="微软雅黑" w:cs="微软雅黑" w:hint="eastAsia"/>
          <w:spacing w:val="12"/>
          <w:lang w:eastAsia="zh-CN"/>
        </w:rPr>
      </w:pPr>
      <w:r w:rsidRPr="000218DC">
        <w:rPr>
          <w:rFonts w:ascii="微软雅黑" w:eastAsia="微软雅黑" w:hAnsi="微软雅黑" w:cs="微软雅黑"/>
          <w:spacing w:val="12"/>
          <w:lang w:eastAsia="zh-CN"/>
        </w:rPr>
        <w:t>隔夜COMEX铜高位震荡，报收6.491元/磅，涨跌幅-0.94%。国际方面，世界银行首席经济学家吉尔表示，美国与伊朗之间不断升级的敌对行动可能重新点燃通胀，推动利率进一步上升，并使全球经济增速从去年的2.9%降至最低1.3%。与此同时，全球总体通胀率将升至4.5%。国内方面，商务部数据显示，上半年消费品以旧换新累计带动相关商品销售额1.1万亿元，惠及1.5亿人次。其中，汽车</w:t>
      </w:r>
      <w:r w:rsidRPr="000218DC">
        <w:rPr>
          <w:rFonts w:ascii="微软雅黑" w:eastAsia="微软雅黑" w:hAnsi="微软雅黑" w:cs="微软雅黑"/>
          <w:spacing w:val="12"/>
          <w:lang w:eastAsia="zh-CN"/>
        </w:rPr>
        <w:lastRenderedPageBreak/>
        <w:t>以旧换新370.7万辆；家电以旧换新6326.6万台；数码和智能产品购新7909.8万台。库存方面，截至2026年7月22日，COMEX铜库存为702498短吨，环比+1545短吨；LME铜库存为284175吨，环比-6750吨；SHFE每日仓单32539吨，环比-876吨。美元美债方面，因市场仍在评估美伊冲突状况，美元指数日内持续在101关口附近震荡，最终收跌0.08%，报101.11；基准的10年期美债收益率收报4.668%，对美联储政策利率敏感的2年期美债收益率收报4.302%。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0AE47829" w:rsidR="00A02266" w:rsidRDefault="000218DC" w:rsidP="006B6996">
      <w:pPr>
        <w:spacing w:before="103" w:line="256" w:lineRule="auto"/>
        <w:ind w:right="210" w:firstLine="420"/>
        <w:jc w:val="center"/>
      </w:pPr>
      <w:r>
        <w:rPr>
          <w:noProof/>
        </w:rPr>
        <w:drawing>
          <wp:inline distT="0" distB="0" distL="0" distR="0" wp14:anchorId="79E278E9" wp14:editId="00456F72">
            <wp:extent cx="5274310" cy="2879090"/>
            <wp:effectExtent l="0" t="0" r="2540" b="0"/>
            <wp:docPr id="332303136" name="图片 33230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16E2C2D3" w:rsidR="00F850DC" w:rsidRDefault="000218DC" w:rsidP="00B00DB4">
      <w:pPr>
        <w:spacing w:before="103" w:line="256" w:lineRule="auto"/>
        <w:ind w:right="210" w:firstLine="468"/>
        <w:jc w:val="both"/>
        <w:rPr>
          <w:rFonts w:ascii="微软雅黑" w:eastAsia="微软雅黑" w:hAnsi="微软雅黑" w:cs="微软雅黑" w:hint="eastAsia"/>
          <w:noProof/>
          <w:spacing w:val="7"/>
          <w:lang w:eastAsia="zh-CN"/>
        </w:rPr>
      </w:pPr>
      <w:r w:rsidRPr="000218DC">
        <w:rPr>
          <w:rFonts w:ascii="微软雅黑" w:eastAsia="微软雅黑" w:hAnsi="微软雅黑" w:cs="微软雅黑"/>
          <w:noProof/>
          <w:spacing w:val="7"/>
          <w:lang w:eastAsia="zh-CN"/>
        </w:rPr>
        <w:t>隔夜，贵金属市场延续震荡偏强、底部反弹格局，COMEX黄金期货涨1.44%报4135.00美元/盎司，COMEX白银期货涨1.57%报60.03美元/盎司。地缘方面，胡塞武装宣布对沙特实施海上封锁，引发红海能源运输担忧，国际油价高位震荡偏强运行，伊朗表示调停方已提出旨在缓和美伊紧张局势的提议，后续或达成为期10天的临时停火协议。宏观数据⽅⾯，美国6⽉CPI增速大幅降温，紧随其后公布的6⽉PPI进⼀步印证通胀降温⽣产端与消费端物价同步走弱，加息预期较前期高位有所回落。美联储方面，沃什多次强调通胀调控仍是核心议题，近期多位联储官员亦释放类似信号，FOMC进入下周FOMC会议前的例行静默期，市场普遍预计美联储将维持联邦基金利率不变，但后续加息预期仍存。往前看，美国就业与通胀数据均弱于市场预期，经历前期较为充分的回调及资⾦去杠杆化，贵⾦属继续⼤幅下探的可能性或相对有限，叠加美股对于市场资金的“虹吸”效应边际减弱，部分多头资金有望回流贵金属市场。当前的核心问题在于，美伊局势仍延续拉锯态势，趋势性上涨仍需更明确的地缘缓和信号。美伊冲突及霍尔⽊兹海峡通⾏争端仍可能反复，若油价持续反弹并重新推升通胀预期，美联储鹰派定价及强势美元仍将限制贵⾦属上⾏空间；⽩银⼯业属性趋于弱化，全球光伏装机量下滑及光伏⽤银需求明显放缓，严重抑制⽩银⼯业需求，银价或跟随⾦价波动为主。操作上建议等待美伊局势缓和信号，轻仓布局多单为主</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310712B9" w:rsidR="007A477E" w:rsidRDefault="000218DC"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AB6B12">
        <w:rPr>
          <w:rFonts w:ascii="黑体" w:eastAsia="黑体" w:hAnsi="黑体"/>
          <w:b/>
          <w:bCs/>
          <w:noProof/>
          <w:sz w:val="22"/>
          <w:szCs w:val="22"/>
          <w:shd w:val="clear" w:color="auto" w:fill="FFFFFF"/>
          <w:lang w:bidi="ar"/>
        </w:rPr>
        <w:lastRenderedPageBreak/>
        <w:drawing>
          <wp:inline distT="0" distB="0" distL="0" distR="0" wp14:anchorId="776619BF" wp14:editId="22F6ACB9">
            <wp:extent cx="4514850" cy="2209800"/>
            <wp:effectExtent l="0" t="0" r="0" b="0"/>
            <wp:docPr id="21442609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14850" cy="220980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4E7F642D" w14:textId="77777777" w:rsidR="000218DC" w:rsidRPr="000218DC" w:rsidRDefault="000218DC" w:rsidP="000218DC">
      <w:pPr>
        <w:spacing w:before="103" w:line="256" w:lineRule="auto"/>
        <w:ind w:right="210" w:firstLine="448"/>
        <w:jc w:val="both"/>
        <w:rPr>
          <w:rFonts w:ascii="微软雅黑" w:eastAsia="微软雅黑" w:hAnsi="微软雅黑" w:cs="微软雅黑"/>
          <w:noProof/>
          <w:spacing w:val="7"/>
          <w:lang w:eastAsia="zh-CN"/>
        </w:rPr>
      </w:pPr>
      <w:r w:rsidRPr="000218DC">
        <w:rPr>
          <w:rFonts w:ascii="微软雅黑" w:eastAsia="微软雅黑" w:hAnsi="微软雅黑" w:cs="微软雅黑" w:hint="eastAsia"/>
          <w:noProof/>
          <w:spacing w:val="7"/>
          <w:lang w:eastAsia="zh-CN"/>
        </w:rPr>
        <w:t>洲际交易所</w:t>
      </w:r>
      <w:r w:rsidRPr="000218DC">
        <w:rPr>
          <w:rFonts w:ascii="微软雅黑" w:eastAsia="微软雅黑" w:hAnsi="微软雅黑" w:cs="微软雅黑"/>
          <w:noProof/>
          <w:spacing w:val="7"/>
          <w:lang w:eastAsia="zh-CN"/>
        </w:rPr>
        <w:t>(ICE)</w:t>
      </w:r>
      <w:r w:rsidRPr="000218DC">
        <w:rPr>
          <w:rFonts w:ascii="微软雅黑" w:eastAsia="微软雅黑" w:hAnsi="微软雅黑" w:cs="微软雅黑" w:hint="eastAsia"/>
          <w:noProof/>
          <w:spacing w:val="7"/>
          <w:lang w:eastAsia="zh-CN"/>
        </w:rPr>
        <w:t>原糖期货周三收低，因巴西产量或增加。</w:t>
      </w:r>
      <w:r w:rsidRPr="000218DC">
        <w:rPr>
          <w:rFonts w:ascii="微软雅黑" w:eastAsia="微软雅黑" w:hAnsi="微软雅黑" w:cs="微软雅黑"/>
          <w:noProof/>
          <w:spacing w:val="7"/>
          <w:lang w:eastAsia="zh-CN"/>
        </w:rPr>
        <w:t>ICE</w:t>
      </w:r>
      <w:r w:rsidRPr="000218DC">
        <w:rPr>
          <w:rFonts w:ascii="微软雅黑" w:eastAsia="微软雅黑" w:hAnsi="微软雅黑" w:cs="微软雅黑" w:hint="eastAsia"/>
          <w:noProof/>
          <w:spacing w:val="7"/>
          <w:lang w:eastAsia="zh-CN"/>
        </w:rPr>
        <w:t>交投最活跃的</w:t>
      </w:r>
      <w:r w:rsidRPr="000218DC">
        <w:rPr>
          <w:rFonts w:ascii="微软雅黑" w:eastAsia="微软雅黑" w:hAnsi="微软雅黑" w:cs="微软雅黑"/>
          <w:noProof/>
          <w:spacing w:val="7"/>
          <w:lang w:eastAsia="zh-CN"/>
        </w:rPr>
        <w:t>10</w:t>
      </w:r>
      <w:r w:rsidRPr="000218DC">
        <w:rPr>
          <w:rFonts w:ascii="微软雅黑" w:eastAsia="微软雅黑" w:hAnsi="微软雅黑" w:cs="微软雅黑" w:hint="eastAsia"/>
          <w:noProof/>
          <w:spacing w:val="7"/>
          <w:lang w:eastAsia="zh-CN"/>
        </w:rPr>
        <w:t>月原糖期货收跌</w:t>
      </w:r>
      <w:r w:rsidRPr="000218DC">
        <w:rPr>
          <w:rFonts w:ascii="微软雅黑" w:eastAsia="微软雅黑" w:hAnsi="微软雅黑" w:cs="微软雅黑"/>
          <w:noProof/>
          <w:spacing w:val="7"/>
          <w:lang w:eastAsia="zh-CN"/>
        </w:rPr>
        <w:t>0.14</w:t>
      </w:r>
      <w:r w:rsidRPr="000218DC">
        <w:rPr>
          <w:rFonts w:ascii="微软雅黑" w:eastAsia="微软雅黑" w:hAnsi="微软雅黑" w:cs="微软雅黑" w:hint="eastAsia"/>
          <w:noProof/>
          <w:spacing w:val="7"/>
          <w:lang w:eastAsia="zh-CN"/>
        </w:rPr>
        <w:t>美分或</w:t>
      </w:r>
      <w:r w:rsidRPr="000218DC">
        <w:rPr>
          <w:rFonts w:ascii="微软雅黑" w:eastAsia="微软雅黑" w:hAnsi="微软雅黑" w:cs="微软雅黑"/>
          <w:noProof/>
          <w:spacing w:val="7"/>
          <w:lang w:eastAsia="zh-CN"/>
        </w:rPr>
        <w:t>0.94%</w:t>
      </w:r>
      <w:r w:rsidRPr="000218DC">
        <w:rPr>
          <w:rFonts w:ascii="微软雅黑" w:eastAsia="微软雅黑" w:hAnsi="微软雅黑" w:cs="微软雅黑" w:hint="eastAsia"/>
          <w:noProof/>
          <w:spacing w:val="7"/>
          <w:lang w:eastAsia="zh-CN"/>
        </w:rPr>
        <w:t>，结算价报每磅</w:t>
      </w:r>
      <w:r w:rsidRPr="000218DC">
        <w:rPr>
          <w:rFonts w:ascii="微软雅黑" w:eastAsia="微软雅黑" w:hAnsi="微软雅黑" w:cs="微软雅黑"/>
          <w:noProof/>
          <w:spacing w:val="7"/>
          <w:lang w:eastAsia="zh-CN"/>
        </w:rPr>
        <w:t>14.74</w:t>
      </w:r>
      <w:r w:rsidRPr="000218DC">
        <w:rPr>
          <w:rFonts w:ascii="微软雅黑" w:eastAsia="微软雅黑" w:hAnsi="微软雅黑" w:cs="微软雅黑" w:hint="eastAsia"/>
          <w:noProof/>
          <w:spacing w:val="7"/>
          <w:lang w:eastAsia="zh-CN"/>
        </w:rPr>
        <w:t>美分。</w:t>
      </w:r>
    </w:p>
    <w:p w14:paraId="3F44DEBC" w14:textId="0832F69B" w:rsidR="00C27A84" w:rsidRDefault="000218DC" w:rsidP="000218DC">
      <w:pPr>
        <w:spacing w:before="103" w:line="256" w:lineRule="auto"/>
        <w:ind w:right="210" w:firstLine="448"/>
        <w:jc w:val="both"/>
        <w:rPr>
          <w:rFonts w:ascii="微软雅黑" w:eastAsia="微软雅黑" w:hAnsi="微软雅黑" w:cs="微软雅黑" w:hint="eastAsia"/>
          <w:noProof/>
          <w:spacing w:val="7"/>
          <w:lang w:eastAsia="zh-CN"/>
        </w:rPr>
      </w:pPr>
      <w:r w:rsidRPr="000218DC">
        <w:rPr>
          <w:rFonts w:ascii="微软雅黑" w:eastAsia="微软雅黑" w:hAnsi="微软雅黑" w:cs="微软雅黑" w:hint="eastAsia"/>
          <w:noProof/>
          <w:spacing w:val="7"/>
          <w:lang w:eastAsia="zh-CN"/>
        </w:rPr>
        <w:t>国际方面，巴西航运机构</w:t>
      </w:r>
      <w:r w:rsidRPr="000218DC">
        <w:rPr>
          <w:rFonts w:ascii="微软雅黑" w:eastAsia="微软雅黑" w:hAnsi="微软雅黑" w:cs="微软雅黑"/>
          <w:noProof/>
          <w:spacing w:val="7"/>
          <w:lang w:eastAsia="zh-CN"/>
        </w:rPr>
        <w:t>Williams</w:t>
      </w:r>
      <w:r w:rsidRPr="000218DC">
        <w:rPr>
          <w:rFonts w:ascii="微软雅黑" w:eastAsia="微软雅黑" w:hAnsi="微软雅黑" w:cs="微软雅黑" w:hint="eastAsia"/>
          <w:noProof/>
          <w:spacing w:val="7"/>
          <w:lang w:eastAsia="zh-CN"/>
        </w:rPr>
        <w:t>发布的数据显示，截至</w:t>
      </w:r>
      <w:r w:rsidRPr="000218DC">
        <w:rPr>
          <w:rFonts w:ascii="微软雅黑" w:eastAsia="微软雅黑" w:hAnsi="微软雅黑" w:cs="微软雅黑"/>
          <w:noProof/>
          <w:spacing w:val="7"/>
          <w:lang w:eastAsia="zh-CN"/>
        </w:rPr>
        <w:t>7</w:t>
      </w:r>
      <w:r w:rsidRPr="000218DC">
        <w:rPr>
          <w:rFonts w:ascii="微软雅黑" w:eastAsia="微软雅黑" w:hAnsi="微软雅黑" w:cs="微软雅黑" w:hint="eastAsia"/>
          <w:noProof/>
          <w:spacing w:val="7"/>
          <w:lang w:eastAsia="zh-CN"/>
        </w:rPr>
        <w:t>月</w:t>
      </w:r>
      <w:r w:rsidRPr="000218DC">
        <w:rPr>
          <w:rFonts w:ascii="微软雅黑" w:eastAsia="微软雅黑" w:hAnsi="微软雅黑" w:cs="微软雅黑"/>
          <w:noProof/>
          <w:spacing w:val="7"/>
          <w:lang w:eastAsia="zh-CN"/>
        </w:rPr>
        <w:t>15</w:t>
      </w:r>
      <w:r w:rsidRPr="000218DC">
        <w:rPr>
          <w:rFonts w:ascii="微软雅黑" w:eastAsia="微软雅黑" w:hAnsi="微软雅黑" w:cs="微软雅黑" w:hint="eastAsia"/>
          <w:noProof/>
          <w:spacing w:val="7"/>
          <w:lang w:eastAsia="zh-CN"/>
        </w:rPr>
        <w:t>日当周，巴西港口等待装运食糖的船只数量为</w:t>
      </w:r>
      <w:r w:rsidRPr="000218DC">
        <w:rPr>
          <w:rFonts w:ascii="微软雅黑" w:eastAsia="微软雅黑" w:hAnsi="微软雅黑" w:cs="微软雅黑"/>
          <w:noProof/>
          <w:spacing w:val="7"/>
          <w:lang w:eastAsia="zh-CN"/>
        </w:rPr>
        <w:t>51</w:t>
      </w:r>
      <w:r w:rsidRPr="000218DC">
        <w:rPr>
          <w:rFonts w:ascii="微软雅黑" w:eastAsia="微软雅黑" w:hAnsi="微软雅黑" w:cs="微软雅黑" w:hint="eastAsia"/>
          <w:noProof/>
          <w:spacing w:val="7"/>
          <w:lang w:eastAsia="zh-CN"/>
        </w:rPr>
        <w:t>艘，此前一周为</w:t>
      </w:r>
      <w:r w:rsidRPr="000218DC">
        <w:rPr>
          <w:rFonts w:ascii="微软雅黑" w:eastAsia="微软雅黑" w:hAnsi="微软雅黑" w:cs="微软雅黑"/>
          <w:noProof/>
          <w:spacing w:val="7"/>
          <w:lang w:eastAsia="zh-CN"/>
        </w:rPr>
        <w:t>50</w:t>
      </w:r>
      <w:r w:rsidRPr="000218DC">
        <w:rPr>
          <w:rFonts w:ascii="微软雅黑" w:eastAsia="微软雅黑" w:hAnsi="微软雅黑" w:cs="微软雅黑" w:hint="eastAsia"/>
          <w:noProof/>
          <w:spacing w:val="7"/>
          <w:lang w:eastAsia="zh-CN"/>
        </w:rPr>
        <w:t>艘。港口等待装运的食糖数量为</w:t>
      </w:r>
      <w:r w:rsidRPr="000218DC">
        <w:rPr>
          <w:rFonts w:ascii="微软雅黑" w:eastAsia="微软雅黑" w:hAnsi="微软雅黑" w:cs="微软雅黑"/>
          <w:noProof/>
          <w:spacing w:val="7"/>
          <w:lang w:eastAsia="zh-CN"/>
        </w:rPr>
        <w:t>217.60</w:t>
      </w:r>
      <w:r w:rsidRPr="000218DC">
        <w:rPr>
          <w:rFonts w:ascii="微软雅黑" w:eastAsia="微软雅黑" w:hAnsi="微软雅黑" w:cs="微软雅黑" w:hint="eastAsia"/>
          <w:noProof/>
          <w:spacing w:val="7"/>
          <w:lang w:eastAsia="zh-CN"/>
        </w:rPr>
        <w:t>万吨，此前一周为</w:t>
      </w:r>
      <w:r w:rsidRPr="000218DC">
        <w:rPr>
          <w:rFonts w:ascii="微软雅黑" w:eastAsia="微软雅黑" w:hAnsi="微软雅黑" w:cs="微软雅黑"/>
          <w:noProof/>
          <w:spacing w:val="7"/>
          <w:lang w:eastAsia="zh-CN"/>
        </w:rPr>
        <w:t>217.65</w:t>
      </w:r>
      <w:r w:rsidRPr="000218DC">
        <w:rPr>
          <w:rFonts w:ascii="微软雅黑" w:eastAsia="微软雅黑" w:hAnsi="微软雅黑" w:cs="微软雅黑" w:hint="eastAsia"/>
          <w:noProof/>
          <w:spacing w:val="7"/>
          <w:lang w:eastAsia="zh-CN"/>
        </w:rPr>
        <w:t>万吨下降</w:t>
      </w:r>
      <w:r w:rsidRPr="000218DC">
        <w:rPr>
          <w:rFonts w:ascii="微软雅黑" w:eastAsia="微软雅黑" w:hAnsi="微软雅黑" w:cs="微软雅黑"/>
          <w:noProof/>
          <w:spacing w:val="7"/>
          <w:lang w:eastAsia="zh-CN"/>
        </w:rPr>
        <w:t>0.02%</w:t>
      </w:r>
      <w:r w:rsidRPr="000218DC">
        <w:rPr>
          <w:rFonts w:ascii="微软雅黑" w:eastAsia="微软雅黑" w:hAnsi="微软雅黑" w:cs="微软雅黑" w:hint="eastAsia"/>
          <w:noProof/>
          <w:spacing w:val="7"/>
          <w:lang w:eastAsia="zh-CN"/>
        </w:rPr>
        <w:t>。其中桑托斯港等待出口的食糖数量为</w:t>
      </w:r>
      <w:r w:rsidRPr="000218DC">
        <w:rPr>
          <w:rFonts w:ascii="微软雅黑" w:eastAsia="微软雅黑" w:hAnsi="微软雅黑" w:cs="微软雅黑"/>
          <w:noProof/>
          <w:spacing w:val="7"/>
          <w:lang w:eastAsia="zh-CN"/>
        </w:rPr>
        <w:t>166.86</w:t>
      </w:r>
      <w:r w:rsidRPr="000218DC">
        <w:rPr>
          <w:rFonts w:ascii="微软雅黑" w:eastAsia="微软雅黑" w:hAnsi="微软雅黑" w:cs="微软雅黑" w:hint="eastAsia"/>
          <w:noProof/>
          <w:spacing w:val="7"/>
          <w:lang w:eastAsia="zh-CN"/>
        </w:rPr>
        <w:t>万吨。当周等待装运出口的食糖船只数量微增。美糖主力价格关注上方压力</w:t>
      </w:r>
      <w:r w:rsidRPr="000218DC">
        <w:rPr>
          <w:rFonts w:ascii="微软雅黑" w:eastAsia="微软雅黑" w:hAnsi="微软雅黑" w:cs="微软雅黑"/>
          <w:noProof/>
          <w:spacing w:val="7"/>
          <w:lang w:eastAsia="zh-CN"/>
        </w:rPr>
        <w:t>15.8</w:t>
      </w:r>
      <w:r w:rsidRPr="000218DC">
        <w:rPr>
          <w:rFonts w:ascii="微软雅黑" w:eastAsia="微软雅黑" w:hAnsi="微软雅黑" w:cs="微软雅黑" w:hint="eastAsia"/>
          <w:noProof/>
          <w:spacing w:val="7"/>
          <w:lang w:eastAsia="zh-CN"/>
        </w:rPr>
        <w:t>美分</w:t>
      </w:r>
      <w:r w:rsidRPr="000218DC">
        <w:rPr>
          <w:rFonts w:ascii="微软雅黑" w:eastAsia="微软雅黑" w:hAnsi="微软雅黑" w:cs="微软雅黑"/>
          <w:noProof/>
          <w:spacing w:val="7"/>
          <w:lang w:eastAsia="zh-CN"/>
        </w:rPr>
        <w:t>/</w:t>
      </w:r>
      <w:r w:rsidRPr="000218DC">
        <w:rPr>
          <w:rFonts w:ascii="微软雅黑" w:eastAsia="微软雅黑" w:hAnsi="微软雅黑" w:cs="微软雅黑" w:hint="eastAsia"/>
          <w:noProof/>
          <w:spacing w:val="7"/>
          <w:lang w:eastAsia="zh-CN"/>
        </w:rPr>
        <w:t>磅，下方支撑</w:t>
      </w:r>
      <w:r w:rsidRPr="000218DC">
        <w:rPr>
          <w:rFonts w:ascii="微软雅黑" w:eastAsia="微软雅黑" w:hAnsi="微软雅黑" w:cs="微软雅黑"/>
          <w:noProof/>
          <w:spacing w:val="7"/>
          <w:lang w:eastAsia="zh-CN"/>
        </w:rPr>
        <w:t>13.8</w:t>
      </w:r>
      <w:r w:rsidRPr="000218DC">
        <w:rPr>
          <w:rFonts w:ascii="微软雅黑" w:eastAsia="微软雅黑" w:hAnsi="微软雅黑" w:cs="微软雅黑" w:hint="eastAsia"/>
          <w:noProof/>
          <w:spacing w:val="7"/>
          <w:lang w:eastAsia="zh-CN"/>
        </w:rPr>
        <w:t>美分</w:t>
      </w:r>
      <w:r w:rsidRPr="000218DC">
        <w:rPr>
          <w:rFonts w:ascii="微软雅黑" w:eastAsia="微软雅黑" w:hAnsi="微软雅黑" w:cs="微软雅黑"/>
          <w:noProof/>
          <w:spacing w:val="7"/>
          <w:lang w:eastAsia="zh-CN"/>
        </w:rPr>
        <w:t>/</w:t>
      </w:r>
      <w:r w:rsidRPr="000218DC">
        <w:rPr>
          <w:rFonts w:ascii="微软雅黑" w:eastAsia="微软雅黑" w:hAnsi="微软雅黑" w:cs="微软雅黑" w:hint="eastAsia"/>
          <w:noProof/>
          <w:spacing w:val="7"/>
          <w:lang w:eastAsia="zh-CN"/>
        </w:rPr>
        <w:t>磅。建议</w:t>
      </w:r>
      <w:r w:rsidRPr="000218DC">
        <w:rPr>
          <w:rFonts w:ascii="微软雅黑" w:eastAsia="微软雅黑" w:hAnsi="微软雅黑" w:cs="微软雅黑"/>
          <w:noProof/>
          <w:spacing w:val="7"/>
          <w:lang w:eastAsia="zh-CN"/>
        </w:rPr>
        <w:t>10</w:t>
      </w:r>
      <w:r w:rsidRPr="000218DC">
        <w:rPr>
          <w:rFonts w:ascii="微软雅黑" w:eastAsia="微软雅黑" w:hAnsi="微软雅黑" w:cs="微软雅黑" w:hint="eastAsia"/>
          <w:noProof/>
          <w:spacing w:val="7"/>
          <w:lang w:eastAsia="zh-CN"/>
        </w:rPr>
        <w:t>月</w:t>
      </w:r>
      <w:r w:rsidRPr="000218DC">
        <w:rPr>
          <w:rFonts w:ascii="微软雅黑" w:eastAsia="微软雅黑" w:hAnsi="微软雅黑" w:cs="微软雅黑"/>
          <w:noProof/>
          <w:spacing w:val="7"/>
          <w:lang w:eastAsia="zh-CN"/>
        </w:rPr>
        <w:t xml:space="preserve"> ICE </w:t>
      </w:r>
      <w:r w:rsidRPr="000218DC">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2FF27DF4" w:rsidR="007A477E" w:rsidRPr="00786136" w:rsidRDefault="000218DC"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59403A99" wp14:editId="769FAABE">
            <wp:extent cx="5263515" cy="2035810"/>
            <wp:effectExtent l="0" t="0" r="0" b="2540"/>
            <wp:docPr id="615122456" name="图片 5" descr="QQ截图2026072308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QQ截图202607230802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3515" cy="203581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412140CD" w14:textId="77777777" w:rsidR="000218DC" w:rsidRPr="000218DC" w:rsidRDefault="000218DC" w:rsidP="000218DC">
      <w:pPr>
        <w:spacing w:before="103" w:line="256" w:lineRule="auto"/>
        <w:ind w:right="210" w:firstLine="448"/>
        <w:jc w:val="both"/>
        <w:rPr>
          <w:rFonts w:ascii="微软雅黑" w:eastAsia="微软雅黑" w:hAnsi="微软雅黑" w:cs="微软雅黑"/>
          <w:noProof/>
          <w:spacing w:val="7"/>
          <w:lang w:eastAsia="zh-CN"/>
        </w:rPr>
      </w:pPr>
      <w:r w:rsidRPr="000218DC">
        <w:rPr>
          <w:rFonts w:ascii="微软雅黑" w:eastAsia="微软雅黑" w:hAnsi="微软雅黑" w:cs="微软雅黑" w:hint="eastAsia"/>
          <w:noProof/>
          <w:spacing w:val="7"/>
          <w:lang w:eastAsia="zh-CN"/>
        </w:rPr>
        <w:t>洲际交易所</w:t>
      </w:r>
      <w:r w:rsidRPr="000218DC">
        <w:rPr>
          <w:rFonts w:ascii="微软雅黑" w:eastAsia="微软雅黑" w:hAnsi="微软雅黑" w:cs="微软雅黑"/>
          <w:noProof/>
          <w:spacing w:val="7"/>
          <w:lang w:eastAsia="zh-CN"/>
        </w:rPr>
        <w:t>(ICE)</w:t>
      </w:r>
      <w:r w:rsidRPr="000218DC">
        <w:rPr>
          <w:rFonts w:ascii="微软雅黑" w:eastAsia="微软雅黑" w:hAnsi="微软雅黑" w:cs="微软雅黑" w:hint="eastAsia"/>
          <w:noProof/>
          <w:spacing w:val="7"/>
          <w:lang w:eastAsia="zh-CN"/>
        </w:rPr>
        <w:t>棉花期货周三上涨，受其他农产品上涨联动支撑，与此同时，交易商持续关注印度天气风险，</w:t>
      </w:r>
      <w:r w:rsidRPr="000218DC">
        <w:rPr>
          <w:rFonts w:ascii="微软雅黑" w:eastAsia="微软雅黑" w:hAnsi="微软雅黑" w:cs="微软雅黑"/>
          <w:noProof/>
          <w:spacing w:val="7"/>
          <w:lang w:eastAsia="zh-CN"/>
        </w:rPr>
        <w:t>ICE 12</w:t>
      </w:r>
      <w:r w:rsidRPr="000218DC">
        <w:rPr>
          <w:rFonts w:ascii="微软雅黑" w:eastAsia="微软雅黑" w:hAnsi="微软雅黑" w:cs="微软雅黑" w:hint="eastAsia"/>
          <w:noProof/>
          <w:spacing w:val="7"/>
          <w:lang w:eastAsia="zh-CN"/>
        </w:rPr>
        <w:t>月棉花期货合约上涨</w:t>
      </w:r>
      <w:r w:rsidRPr="000218DC">
        <w:rPr>
          <w:rFonts w:ascii="微软雅黑" w:eastAsia="微软雅黑" w:hAnsi="微软雅黑" w:cs="微软雅黑"/>
          <w:noProof/>
          <w:spacing w:val="7"/>
          <w:lang w:eastAsia="zh-CN"/>
        </w:rPr>
        <w:t>0.69</w:t>
      </w:r>
      <w:r w:rsidRPr="000218DC">
        <w:rPr>
          <w:rFonts w:ascii="微软雅黑" w:eastAsia="微软雅黑" w:hAnsi="微软雅黑" w:cs="微软雅黑" w:hint="eastAsia"/>
          <w:noProof/>
          <w:spacing w:val="7"/>
          <w:lang w:eastAsia="zh-CN"/>
        </w:rPr>
        <w:t>美分或</w:t>
      </w:r>
      <w:r w:rsidRPr="000218DC">
        <w:rPr>
          <w:rFonts w:ascii="微软雅黑" w:eastAsia="微软雅黑" w:hAnsi="微软雅黑" w:cs="微软雅黑"/>
          <w:noProof/>
          <w:spacing w:val="7"/>
          <w:lang w:eastAsia="zh-CN"/>
        </w:rPr>
        <w:t>0.86%</w:t>
      </w:r>
      <w:r w:rsidRPr="000218DC">
        <w:rPr>
          <w:rFonts w:ascii="微软雅黑" w:eastAsia="微软雅黑" w:hAnsi="微软雅黑" w:cs="微软雅黑" w:hint="eastAsia"/>
          <w:noProof/>
          <w:spacing w:val="7"/>
          <w:lang w:eastAsia="zh-CN"/>
        </w:rPr>
        <w:t>，结算价报每磅</w:t>
      </w:r>
      <w:r w:rsidRPr="000218DC">
        <w:rPr>
          <w:rFonts w:ascii="微软雅黑" w:eastAsia="微软雅黑" w:hAnsi="微软雅黑" w:cs="微软雅黑"/>
          <w:noProof/>
          <w:spacing w:val="7"/>
          <w:lang w:eastAsia="zh-CN"/>
        </w:rPr>
        <w:t>81.11</w:t>
      </w:r>
      <w:r w:rsidRPr="000218DC">
        <w:rPr>
          <w:rFonts w:ascii="微软雅黑" w:eastAsia="微软雅黑" w:hAnsi="微软雅黑" w:cs="微软雅黑" w:hint="eastAsia"/>
          <w:noProof/>
          <w:spacing w:val="7"/>
          <w:lang w:eastAsia="zh-CN"/>
        </w:rPr>
        <w:t>美分。</w:t>
      </w:r>
    </w:p>
    <w:p w14:paraId="0DE264A7" w14:textId="33BFD78F" w:rsidR="00ED4A18" w:rsidRDefault="000218DC" w:rsidP="000218DC">
      <w:pPr>
        <w:spacing w:before="103" w:line="256" w:lineRule="auto"/>
        <w:ind w:right="210" w:firstLine="448"/>
        <w:jc w:val="both"/>
        <w:rPr>
          <w:rFonts w:ascii="微软雅黑" w:eastAsia="微软雅黑" w:hAnsi="微软雅黑" w:cs="微软雅黑" w:hint="eastAsia"/>
          <w:noProof/>
          <w:spacing w:val="7"/>
          <w:lang w:eastAsia="zh-CN"/>
        </w:rPr>
      </w:pPr>
      <w:r w:rsidRPr="000218DC">
        <w:rPr>
          <w:rFonts w:ascii="微软雅黑" w:eastAsia="微软雅黑" w:hAnsi="微软雅黑" w:cs="微软雅黑" w:hint="eastAsia"/>
          <w:noProof/>
          <w:spacing w:val="7"/>
          <w:lang w:eastAsia="zh-CN"/>
        </w:rPr>
        <w:t>国际方面，巴西国家商品供应公司（</w:t>
      </w:r>
      <w:r w:rsidRPr="000218DC">
        <w:rPr>
          <w:rFonts w:ascii="微软雅黑" w:eastAsia="微软雅黑" w:hAnsi="微软雅黑" w:cs="微软雅黑"/>
          <w:noProof/>
          <w:spacing w:val="7"/>
          <w:lang w:eastAsia="zh-CN"/>
        </w:rPr>
        <w:t>Conab</w:t>
      </w:r>
      <w:r w:rsidRPr="000218DC">
        <w:rPr>
          <w:rFonts w:ascii="微软雅黑" w:eastAsia="微软雅黑" w:hAnsi="微软雅黑" w:cs="微软雅黑" w:hint="eastAsia"/>
          <w:noProof/>
          <w:spacing w:val="7"/>
          <w:lang w:eastAsia="zh-CN"/>
        </w:rPr>
        <w:t>）发布数据显示，截止</w:t>
      </w:r>
      <w:r w:rsidRPr="000218DC">
        <w:rPr>
          <w:rFonts w:ascii="微软雅黑" w:eastAsia="微软雅黑" w:hAnsi="微软雅黑" w:cs="微软雅黑"/>
          <w:noProof/>
          <w:spacing w:val="7"/>
          <w:lang w:eastAsia="zh-CN"/>
        </w:rPr>
        <w:t>2026</w:t>
      </w:r>
      <w:r w:rsidRPr="000218DC">
        <w:rPr>
          <w:rFonts w:ascii="微软雅黑" w:eastAsia="微软雅黑" w:hAnsi="微软雅黑" w:cs="微软雅黑" w:hint="eastAsia"/>
          <w:noProof/>
          <w:spacing w:val="7"/>
          <w:lang w:eastAsia="zh-CN"/>
        </w:rPr>
        <w:t>年</w:t>
      </w:r>
      <w:r w:rsidRPr="000218DC">
        <w:rPr>
          <w:rFonts w:ascii="微软雅黑" w:eastAsia="微软雅黑" w:hAnsi="微软雅黑" w:cs="微软雅黑"/>
          <w:noProof/>
          <w:spacing w:val="7"/>
          <w:lang w:eastAsia="zh-CN"/>
        </w:rPr>
        <w:t>7</w:t>
      </w:r>
      <w:r w:rsidRPr="000218DC">
        <w:rPr>
          <w:rFonts w:ascii="微软雅黑" w:eastAsia="微软雅黑" w:hAnsi="微软雅黑" w:cs="微软雅黑" w:hint="eastAsia"/>
          <w:noProof/>
          <w:spacing w:val="7"/>
          <w:lang w:eastAsia="zh-CN"/>
        </w:rPr>
        <w:t>月</w:t>
      </w:r>
      <w:r w:rsidRPr="000218DC">
        <w:rPr>
          <w:rFonts w:ascii="微软雅黑" w:eastAsia="微软雅黑" w:hAnsi="微软雅黑" w:cs="微软雅黑"/>
          <w:noProof/>
          <w:spacing w:val="7"/>
          <w:lang w:eastAsia="zh-CN"/>
        </w:rPr>
        <w:t>17</w:t>
      </w:r>
      <w:r w:rsidRPr="000218DC">
        <w:rPr>
          <w:rFonts w:ascii="微软雅黑" w:eastAsia="微软雅黑" w:hAnsi="微软雅黑" w:cs="微软雅黑" w:hint="eastAsia"/>
          <w:noProof/>
          <w:spacing w:val="7"/>
          <w:lang w:eastAsia="zh-CN"/>
        </w:rPr>
        <w:t>日当周，巴西</w:t>
      </w:r>
      <w:r w:rsidRPr="000218DC">
        <w:rPr>
          <w:rFonts w:ascii="微软雅黑" w:eastAsia="微软雅黑" w:hAnsi="微软雅黑" w:cs="微软雅黑"/>
          <w:noProof/>
          <w:spacing w:val="7"/>
          <w:lang w:eastAsia="zh-CN"/>
        </w:rPr>
        <w:t>2025/26</w:t>
      </w:r>
      <w:r w:rsidRPr="000218DC">
        <w:rPr>
          <w:rFonts w:ascii="微软雅黑" w:eastAsia="微软雅黑" w:hAnsi="微软雅黑" w:cs="微软雅黑" w:hint="eastAsia"/>
          <w:noProof/>
          <w:spacing w:val="7"/>
          <w:lang w:eastAsia="zh-CN"/>
        </w:rPr>
        <w:t>年度棉花收割率为</w:t>
      </w:r>
      <w:r w:rsidRPr="000218DC">
        <w:rPr>
          <w:rFonts w:ascii="微软雅黑" w:eastAsia="微软雅黑" w:hAnsi="微软雅黑" w:cs="微软雅黑"/>
          <w:noProof/>
          <w:spacing w:val="7"/>
          <w:lang w:eastAsia="zh-CN"/>
        </w:rPr>
        <w:t>12.8%</w:t>
      </w:r>
      <w:r w:rsidRPr="000218DC">
        <w:rPr>
          <w:rFonts w:ascii="微软雅黑" w:eastAsia="微软雅黑" w:hAnsi="微软雅黑" w:cs="微软雅黑" w:hint="eastAsia"/>
          <w:noProof/>
          <w:spacing w:val="7"/>
          <w:lang w:eastAsia="zh-CN"/>
        </w:rPr>
        <w:t>，此前一周为</w:t>
      </w:r>
      <w:r w:rsidRPr="000218DC">
        <w:rPr>
          <w:rFonts w:ascii="微软雅黑" w:eastAsia="微软雅黑" w:hAnsi="微软雅黑" w:cs="微软雅黑"/>
          <w:noProof/>
          <w:spacing w:val="7"/>
          <w:lang w:eastAsia="zh-CN"/>
        </w:rPr>
        <w:t>8.1%</w:t>
      </w:r>
      <w:r w:rsidRPr="000218DC">
        <w:rPr>
          <w:rFonts w:ascii="微软雅黑" w:eastAsia="微软雅黑" w:hAnsi="微软雅黑" w:cs="微软雅黑" w:hint="eastAsia"/>
          <w:noProof/>
          <w:spacing w:val="7"/>
          <w:lang w:eastAsia="zh-CN"/>
        </w:rPr>
        <w:t>，上一年同期为</w:t>
      </w:r>
      <w:r w:rsidRPr="000218DC">
        <w:rPr>
          <w:rFonts w:ascii="微软雅黑" w:eastAsia="微软雅黑" w:hAnsi="微软雅黑" w:cs="微软雅黑"/>
          <w:noProof/>
          <w:spacing w:val="7"/>
          <w:lang w:eastAsia="zh-CN"/>
        </w:rPr>
        <w:t>16.7%</w:t>
      </w:r>
      <w:r w:rsidRPr="000218DC">
        <w:rPr>
          <w:rFonts w:ascii="微软雅黑" w:eastAsia="微软雅黑" w:hAnsi="微软雅黑" w:cs="微软雅黑" w:hint="eastAsia"/>
          <w:noProof/>
          <w:spacing w:val="7"/>
          <w:lang w:eastAsia="zh-CN"/>
        </w:rPr>
        <w:t>，五年均值为</w:t>
      </w:r>
      <w:r w:rsidRPr="000218DC">
        <w:rPr>
          <w:rFonts w:ascii="微软雅黑" w:eastAsia="微软雅黑" w:hAnsi="微软雅黑" w:cs="微软雅黑"/>
          <w:noProof/>
          <w:spacing w:val="7"/>
          <w:lang w:eastAsia="zh-CN"/>
        </w:rPr>
        <w:t>14..2%</w:t>
      </w:r>
      <w:r w:rsidRPr="000218DC">
        <w:rPr>
          <w:rFonts w:ascii="微软雅黑" w:eastAsia="微软雅黑" w:hAnsi="微软雅黑" w:cs="微软雅黑" w:hint="eastAsia"/>
          <w:noProof/>
          <w:spacing w:val="7"/>
          <w:lang w:eastAsia="zh-CN"/>
        </w:rPr>
        <w:t>。巴西棉收割进度慢于去年同期水平</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lastRenderedPageBreak/>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6DE23480" w:rsidR="00C24CC6" w:rsidRDefault="000218DC"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393AD269" wp14:editId="6F85AF36">
            <wp:extent cx="5271770" cy="1932305"/>
            <wp:effectExtent l="0" t="0" r="5080" b="0"/>
            <wp:docPr id="1752725151" name="图片 6" descr="QQ截图2026072308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QQ截图2026072308025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193230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A009B" w14:textId="77777777" w:rsidR="00D0738A" w:rsidRDefault="00D0738A">
      <w:pPr>
        <w:ind w:right="210" w:firstLine="420"/>
      </w:pPr>
      <w:r>
        <w:separator/>
      </w:r>
    </w:p>
  </w:endnote>
  <w:endnote w:type="continuationSeparator" w:id="0">
    <w:p w14:paraId="39CE182D" w14:textId="77777777" w:rsidR="00D0738A" w:rsidRDefault="00D0738A">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B1D4A" w14:textId="77777777" w:rsidR="00D0738A" w:rsidRDefault="00D0738A">
      <w:pPr>
        <w:ind w:right="210" w:firstLine="420"/>
      </w:pPr>
      <w:r>
        <w:separator/>
      </w:r>
    </w:p>
  </w:footnote>
  <w:footnote w:type="continuationSeparator" w:id="0">
    <w:p w14:paraId="655FEDC5" w14:textId="77777777" w:rsidR="00D0738A" w:rsidRDefault="00D0738A">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308162331"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765</Words>
  <Characters>4367</Characters>
  <Application>Microsoft Office Word</Application>
  <DocSecurity>0</DocSecurity>
  <Lines>36</Lines>
  <Paragraphs>10</Paragraphs>
  <ScaleCrop>false</ScaleCrop>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2026-07-23T01:20:00Z</dcterms:created>
  <dcterms:modified xsi:type="dcterms:W3CDTF">2026-07-23T01:20:00Z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