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xmlns:w16cei="http://schemas.microsoft.com/office/word/2026/wordml/cei">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0FF73404"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D566AC">
        <w:rPr>
          <w:rFonts w:ascii="微软雅黑" w:eastAsia="微软雅黑" w:hAnsi="微软雅黑" w:cs="微软雅黑" w:hint="eastAsia"/>
          <w:b/>
          <w:bCs/>
          <w:color w:val="005D97"/>
          <w:spacing w:val="-22"/>
          <w:sz w:val="48"/>
          <w:szCs w:val="48"/>
          <w:lang w:eastAsia="zh-CN"/>
        </w:rPr>
        <w:t>2</w:t>
      </w:r>
      <w:r w:rsidR="00504EAC">
        <w:rPr>
          <w:rFonts w:ascii="微软雅黑" w:eastAsia="微软雅黑" w:hAnsi="微软雅黑" w:cs="微软雅黑" w:hint="eastAsia"/>
          <w:b/>
          <w:bCs/>
          <w:color w:val="005D97"/>
          <w:spacing w:val="-22"/>
          <w:sz w:val="48"/>
          <w:szCs w:val="48"/>
          <w:lang w:eastAsia="zh-CN"/>
        </w:rPr>
        <w:t>5</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1C23F72A" w:rsidR="007B3E0B" w:rsidRDefault="00504EAC"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504EAC">
        <w:rPr>
          <w:rFonts w:ascii="微软雅黑" w:eastAsia="微软雅黑" w:hAnsi="微软雅黑" w:cs="微软雅黑"/>
          <w:spacing w:val="12"/>
          <w:lang w:eastAsia="zh-CN"/>
        </w:rPr>
        <w:t>美国三大股指收盘涨跌不一，道指涨0.26%报53417.16点，标普500指数跌0.28%报7652.86点，纳指跌0.76%报25980.19点。美元指数涨0.15%报98.99，非美货币多数下跌，欧元兑美元跌0.11%报1.1664，英镑兑美元跌0.10%报1.3631，澳元兑美元跌0.28%报0.7150，美元兑日元涨0.07%报159.0985，美元兑加元涨0.55%报1.3844，美元兑瑞郎涨0.15%报0.8025，离岸人民币对美元跌6个基点报6.7218。国际贵金属期货收盘涨跌不一，COMEX黄金期货涨0.63%报4710.00美元/盎司，COMEX白银期货跌0.81%报68.97美元/盎司。</w:t>
      </w:r>
      <w:r w:rsidR="00900347" w:rsidRPr="00504EAC">
        <w:rPr>
          <w:rFonts w:ascii="微软雅黑" w:eastAsia="微软雅黑" w:hAnsi="微软雅黑" w:cs="微软雅黑" w:hint="eastAsia"/>
          <w:spacing w:val="12"/>
          <w:lang w:eastAsia="zh-CN"/>
        </w:rPr>
        <w:t>I</w:t>
      </w:r>
      <w:r w:rsidR="007B3E0B" w:rsidRPr="00A12895">
        <w:rPr>
          <w:rFonts w:ascii="微软雅黑" w:eastAsia="微软雅黑" w:hAnsi="微软雅黑" w:cs="微软雅黑"/>
          <w:spacing w:val="12"/>
          <w:lang w:eastAsia="zh-CN"/>
        </w:rPr>
        <w:t>CE</w:t>
      </w:r>
      <w:r w:rsidR="007B3E0B" w:rsidRPr="00A12895">
        <w:rPr>
          <w:rFonts w:ascii="微软雅黑" w:eastAsia="微软雅黑" w:hAnsi="微软雅黑" w:cs="微软雅黑" w:hint="eastAsia"/>
          <w:spacing w:val="12"/>
          <w:lang w:eastAsia="zh-CN"/>
        </w:rPr>
        <w:t>原糖主</w:t>
      </w:r>
      <w:r w:rsidR="007B3E0B" w:rsidRPr="00EA0E37">
        <w:rPr>
          <w:rFonts w:ascii="微软雅黑" w:eastAsia="微软雅黑" w:hAnsi="微软雅黑" w:cs="微软雅黑" w:hint="eastAsia"/>
          <w:spacing w:val="12"/>
          <w:lang w:eastAsia="zh-CN"/>
        </w:rPr>
        <w:t>力合约</w:t>
      </w:r>
      <w:r>
        <w:rPr>
          <w:rFonts w:ascii="微软雅黑" w:eastAsia="微软雅黑" w:hAnsi="微软雅黑" w:cs="微软雅黑" w:hint="eastAsia"/>
          <w:spacing w:val="12"/>
          <w:lang w:eastAsia="zh-CN"/>
        </w:rPr>
        <w:t>涨</w:t>
      </w:r>
      <w:r w:rsidR="00A12895">
        <w:rPr>
          <w:rFonts w:ascii="微软雅黑" w:eastAsia="微软雅黑" w:hAnsi="微软雅黑" w:cs="微软雅黑" w:hint="eastAsia"/>
          <w:spacing w:val="12"/>
          <w:lang w:eastAsia="zh-CN"/>
        </w:rPr>
        <w:t>0.28</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报</w:t>
      </w:r>
      <w:r w:rsidR="009B536C" w:rsidRPr="00EA0E37">
        <w:rPr>
          <w:rFonts w:ascii="微软雅黑" w:eastAsia="微软雅黑" w:hAnsi="微软雅黑" w:cs="微软雅黑" w:hint="eastAsia"/>
          <w:spacing w:val="12"/>
          <w:lang w:eastAsia="zh-CN"/>
        </w:rPr>
        <w:t>1</w:t>
      </w:r>
      <w:r w:rsidR="00DA4CD1">
        <w:rPr>
          <w:rFonts w:ascii="微软雅黑" w:eastAsia="微软雅黑" w:hAnsi="微软雅黑" w:cs="微软雅黑" w:hint="eastAsia"/>
          <w:spacing w:val="12"/>
          <w:lang w:eastAsia="zh-CN"/>
        </w:rPr>
        <w:t>7.</w:t>
      </w:r>
      <w:r>
        <w:rPr>
          <w:rFonts w:ascii="微软雅黑" w:eastAsia="微软雅黑" w:hAnsi="微软雅黑" w:cs="微软雅黑" w:hint="eastAsia"/>
          <w:spacing w:val="12"/>
          <w:lang w:eastAsia="zh-CN"/>
        </w:rPr>
        <w:t>66</w:t>
      </w:r>
      <w:r w:rsidR="007B3E0B" w:rsidRPr="00EA0E37">
        <w:rPr>
          <w:rFonts w:ascii="微软雅黑" w:eastAsia="微软雅黑" w:hAnsi="微软雅黑" w:cs="微软雅黑" w:hint="eastAsia"/>
          <w:spacing w:val="12"/>
          <w:lang w:eastAsia="zh-CN"/>
        </w:rPr>
        <w:t>美分</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磅，</w:t>
      </w:r>
      <w:r w:rsidR="007B3E0B" w:rsidRPr="00EA0E37">
        <w:rPr>
          <w:rFonts w:ascii="微软雅黑" w:eastAsia="微软雅黑" w:hAnsi="微软雅黑" w:cs="微软雅黑"/>
          <w:spacing w:val="12"/>
          <w:lang w:eastAsia="zh-CN"/>
        </w:rPr>
        <w:t>ICE</w:t>
      </w:r>
      <w:r w:rsidR="007B3E0B" w:rsidRPr="00EA0E37">
        <w:rPr>
          <w:rFonts w:ascii="微软雅黑" w:eastAsia="微软雅黑" w:hAnsi="微软雅黑" w:cs="微软雅黑" w:hint="eastAsia"/>
          <w:spacing w:val="12"/>
          <w:lang w:eastAsia="zh-CN"/>
        </w:rPr>
        <w:t>棉花主力合约</w:t>
      </w:r>
      <w:r>
        <w:rPr>
          <w:rFonts w:ascii="微软雅黑" w:eastAsia="微软雅黑" w:hAnsi="微软雅黑" w:cs="微软雅黑" w:hint="eastAsia"/>
          <w:spacing w:val="12"/>
          <w:lang w:eastAsia="zh-CN"/>
        </w:rPr>
        <w:t>涨0.38</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CA4B03" w:rsidRPr="00D47ABC">
        <w:rPr>
          <w:rFonts w:ascii="微软雅黑" w:eastAsia="微软雅黑" w:hAnsi="微软雅黑" w:cs="微软雅黑" w:hint="eastAsia"/>
          <w:spacing w:val="12"/>
          <w:lang w:eastAsia="zh-CN"/>
        </w:rPr>
        <w:t>8</w:t>
      </w:r>
      <w:r w:rsidR="00D566AC">
        <w:rPr>
          <w:rFonts w:ascii="微软雅黑" w:eastAsia="微软雅黑" w:hAnsi="微软雅黑" w:cs="微软雅黑" w:hint="eastAsia"/>
          <w:spacing w:val="12"/>
          <w:lang w:eastAsia="zh-CN"/>
        </w:rPr>
        <w:t>8.</w:t>
      </w:r>
      <w:r>
        <w:rPr>
          <w:rFonts w:ascii="微软雅黑" w:eastAsia="微软雅黑" w:hAnsi="微软雅黑" w:cs="微软雅黑" w:hint="eastAsia"/>
          <w:spacing w:val="12"/>
          <w:lang w:eastAsia="zh-CN"/>
        </w:rPr>
        <w:t>69</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4DE5479D" w:rsidR="00557736" w:rsidRPr="0022448B" w:rsidRDefault="00504EAC"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7209F8EA" wp14:editId="53D694AC">
            <wp:extent cx="5952759" cy="3927117"/>
            <wp:effectExtent l="0" t="0" r="0" b="0"/>
            <wp:docPr id="1067270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59590" cy="3931623"/>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7A95412F" w:rsidR="00863E18" w:rsidRPr="00504EAC" w:rsidRDefault="0088093F" w:rsidP="0088093F">
      <w:pPr>
        <w:spacing w:before="102" w:line="257" w:lineRule="auto"/>
        <w:ind w:right="210" w:firstLine="436"/>
        <w:jc w:val="both"/>
        <w:rPr>
          <w:rFonts w:ascii="微软雅黑" w:eastAsia="微软雅黑" w:hAnsi="微软雅黑" w:cs="微软雅黑" w:hint="eastAsia"/>
          <w:color w:val="auto"/>
          <w:spacing w:val="4"/>
          <w:lang w:eastAsia="zh-CN"/>
        </w:rPr>
      </w:pPr>
      <w:r w:rsidRPr="00DA4CD1">
        <w:rPr>
          <w:rFonts w:ascii="微软雅黑" w:eastAsia="微软雅黑" w:hAnsi="微软雅黑" w:cs="微软雅黑" w:hint="eastAsia"/>
          <w:color w:val="auto"/>
          <w:spacing w:val="4"/>
          <w:lang w:eastAsia="zh-CN"/>
        </w:rPr>
        <w:t>【</w:t>
      </w:r>
      <w:r w:rsidR="00504EAC" w:rsidRPr="00504EAC">
        <w:rPr>
          <w:rFonts w:ascii="微软雅黑" w:eastAsia="微软雅黑" w:hAnsi="微软雅黑" w:cs="微软雅黑"/>
          <w:color w:val="auto"/>
          <w:spacing w:val="4"/>
          <w:lang w:eastAsia="zh-CN"/>
        </w:rPr>
        <w:t>消息称，美国财政部正考虑动用规模接近万亿美元的财政部一般账户（TGA），为扩大国债回购计划提供资金支持。TGA已被视为可用资金来源，目前余额已积累至约9500亿美元，远高于拜登政府时期5500亿至6000亿美元的目标水平。这一举措若付诸实施，将大幅改变市场对美国财政部干预长端利率能力的判断。</w:t>
      </w:r>
      <w:r w:rsidRPr="00504EAC">
        <w:rPr>
          <w:rFonts w:ascii="微软雅黑" w:eastAsia="微软雅黑" w:hAnsi="微软雅黑" w:cs="微软雅黑" w:hint="eastAsia"/>
          <w:color w:val="auto"/>
          <w:spacing w:val="4"/>
          <w:lang w:eastAsia="zh-CN"/>
        </w:rPr>
        <w:t>】</w:t>
      </w:r>
    </w:p>
    <w:p w14:paraId="44D59D47" w14:textId="7AABFEF6" w:rsidR="002E37FC" w:rsidRPr="00504EAC"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504EAC">
        <w:rPr>
          <w:rFonts w:ascii="微软雅黑" w:eastAsia="微软雅黑" w:hAnsi="微软雅黑" w:cs="微软雅黑" w:hint="eastAsia"/>
          <w:color w:val="auto"/>
          <w:spacing w:val="4"/>
          <w:lang w:eastAsia="zh-CN"/>
        </w:rPr>
        <w:t>【</w:t>
      </w:r>
      <w:r w:rsidR="00504EAC" w:rsidRPr="00504EAC">
        <w:rPr>
          <w:rFonts w:ascii="微软雅黑" w:eastAsia="微软雅黑" w:hAnsi="微软雅黑" w:cs="微软雅黑"/>
          <w:color w:val="auto"/>
          <w:spacing w:val="4"/>
          <w:lang w:eastAsia="zh-CN"/>
        </w:rPr>
        <w:t>美债长端利率的冲击波已从华尔街蔓延至全球。8月24日，一场席卷亚太、欧洲与美洲的科技股抛售潮同步上演，MSCI亚太股票指数下跌1%，三星电子和阿里巴巴成为主要拖累。港股市场一改连日来的反弹</w:t>
      </w:r>
      <w:r w:rsidR="00504EAC" w:rsidRPr="00504EAC">
        <w:rPr>
          <w:rFonts w:ascii="微软雅黑" w:eastAsia="微软雅黑" w:hAnsi="微软雅黑" w:cs="微软雅黑"/>
          <w:color w:val="auto"/>
          <w:spacing w:val="4"/>
          <w:lang w:eastAsia="zh-CN"/>
        </w:rPr>
        <w:lastRenderedPageBreak/>
        <w:t>，恒生科技指数大跌3.61%；A股市场则延续颓势。更需要警惕的是，G7国家超长端利率正在共振上行，这是一场全球性的主权债务风险溢价重估。</w:t>
      </w:r>
      <w:r w:rsidRPr="00504EAC">
        <w:rPr>
          <w:rFonts w:ascii="微软雅黑" w:eastAsia="微软雅黑" w:hAnsi="微软雅黑" w:cs="微软雅黑" w:hint="eastAsia"/>
          <w:color w:val="auto"/>
          <w:spacing w:val="4"/>
          <w:lang w:eastAsia="zh-CN"/>
        </w:rPr>
        <w:t>】</w:t>
      </w:r>
    </w:p>
    <w:p w14:paraId="32E97BC2" w14:textId="3C883F37" w:rsidR="00E20302" w:rsidRPr="00504EAC"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504EAC">
        <w:rPr>
          <w:rFonts w:ascii="微软雅黑" w:eastAsia="微软雅黑" w:hAnsi="微软雅黑" w:cs="微软雅黑" w:hint="eastAsia"/>
          <w:color w:val="auto"/>
          <w:spacing w:val="4"/>
          <w:lang w:eastAsia="zh-CN"/>
        </w:rPr>
        <w:t>【</w:t>
      </w:r>
      <w:r w:rsidR="00504EAC" w:rsidRPr="00504EAC">
        <w:rPr>
          <w:rFonts w:ascii="微软雅黑" w:eastAsia="微软雅黑" w:hAnsi="微软雅黑" w:cs="微软雅黑"/>
          <w:color w:val="auto"/>
          <w:spacing w:val="4"/>
          <w:lang w:eastAsia="zh-CN"/>
        </w:rPr>
        <w:t>美国财长贝森特公布多项针对伊朗的经济制裁措施，以进一步加大对伊朗施压。美国将扩大对与伊朗有商业往来的国家实施次级制裁的范围，并敦促相关国家作出选择。贝森特称，已针对伊朗政权用以支撑经济的五大领域——数字资产、技术、黄金、航空和航运发布相关制裁决定，还将对全球范围内60多个实体、个人及船只实施制裁。美国总统特朗普正与各国领导人通电话，要求他们停止与伊朗开展商业往来。伊朗伊斯兰议会议长卡利巴夫表示，伊朗贸易伙伴已经表态，“不会认真对待”美国相关制裁言论。伊朗最高领袖顾问穆赫贝尔表示，面对美方威胁，伊朗回应将比以往更加坚决。</w:t>
      </w:r>
      <w:r w:rsidRPr="00504EAC">
        <w:rPr>
          <w:rFonts w:ascii="微软雅黑" w:eastAsia="微软雅黑" w:hAnsi="微软雅黑" w:cs="微软雅黑" w:hint="eastAsia"/>
          <w:color w:val="auto"/>
          <w:spacing w:val="4"/>
          <w:lang w:eastAsia="zh-CN"/>
        </w:rPr>
        <w:t>】</w:t>
      </w:r>
    </w:p>
    <w:p w14:paraId="7676A4DD" w14:textId="18774B03" w:rsidR="00E20302" w:rsidRPr="00504EAC"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504EAC">
        <w:rPr>
          <w:rFonts w:ascii="微软雅黑" w:eastAsia="微软雅黑" w:hAnsi="微软雅黑" w:cs="微软雅黑" w:hint="eastAsia"/>
          <w:color w:val="auto"/>
          <w:spacing w:val="4"/>
          <w:lang w:eastAsia="zh-CN"/>
        </w:rPr>
        <w:t>【</w:t>
      </w:r>
      <w:r w:rsidR="00504EAC" w:rsidRPr="00504EAC">
        <w:rPr>
          <w:rFonts w:ascii="微软雅黑" w:eastAsia="微软雅黑" w:hAnsi="微软雅黑" w:cs="微软雅黑"/>
          <w:color w:val="auto"/>
          <w:spacing w:val="4"/>
          <w:lang w:eastAsia="zh-CN"/>
        </w:rPr>
        <w:t>美国总统特朗普宣布，自2027年1月1日起，美国将把对加拿大所有汽车、卡车、汽车零部件和钢铁征收的关税提高至50%。在美国生产相关产品则“零关税”。特朗普表示，美国“不需要加拿大，加拿大需要美国”，并表示加拿大95%的生意都与美国有关，而美国情况“恰恰相反”。</w:t>
      </w:r>
      <w:r w:rsidRPr="00504EAC">
        <w:rPr>
          <w:rFonts w:ascii="微软雅黑" w:eastAsia="微软雅黑" w:hAnsi="微软雅黑" w:cs="微软雅黑" w:hint="eastAsia"/>
          <w:color w:val="auto"/>
          <w:spacing w:val="4"/>
          <w:lang w:eastAsia="zh-CN"/>
        </w:rPr>
        <w:t>】</w:t>
      </w:r>
    </w:p>
    <w:p w14:paraId="2AAFB3E7" w14:textId="592FEE46" w:rsidR="00F50098" w:rsidRPr="00013073" w:rsidRDefault="00D566AC"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504EAC">
        <w:rPr>
          <w:rFonts w:ascii="微软雅黑" w:eastAsia="微软雅黑" w:hAnsi="微软雅黑" w:cs="微软雅黑" w:hint="eastAsia"/>
          <w:color w:val="auto"/>
          <w:spacing w:val="4"/>
          <w:lang w:eastAsia="zh-CN"/>
        </w:rPr>
        <w:t>【</w:t>
      </w:r>
      <w:r w:rsidR="00504EAC" w:rsidRPr="00504EAC">
        <w:rPr>
          <w:rFonts w:ascii="微软雅黑" w:eastAsia="微软雅黑" w:hAnsi="微软雅黑" w:cs="微软雅黑"/>
          <w:color w:val="auto"/>
          <w:spacing w:val="4"/>
          <w:lang w:eastAsia="zh-CN"/>
        </w:rPr>
        <w:t>伊朗波斯湾海峡管理局发表声明称，违反伊朗关于霍尔木兹海峡航行规定的船只将面临罚款、扣押或没收等限制措施。声明指出，往返波斯湾的货主在租船前必须查阅波斯湾海峡管理局发布的“违规船只”名单，以避免潜在问题。即日起，任何船只如与“违规船只”合作，也将被列入该名单。</w:t>
      </w:r>
      <w:r w:rsidRPr="00013073">
        <w:rPr>
          <w:rFonts w:ascii="微软雅黑" w:eastAsia="微软雅黑" w:hAnsi="微软雅黑" w:cs="微软雅黑" w:hint="eastAsia"/>
          <w:color w:val="auto"/>
          <w:spacing w:val="4"/>
          <w:lang w:eastAsia="zh-CN"/>
        </w:rPr>
        <w:t>】</w:t>
      </w:r>
    </w:p>
    <w:p w14:paraId="368E0BBD" w14:textId="77777777" w:rsid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A12895">
        <w:trPr>
          <w:trHeight w:val="640"/>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504EAC" w:rsidRPr="008D0ACF" w14:paraId="6CB27548" w14:textId="77777777" w:rsidTr="00E43653">
        <w:trPr>
          <w:trHeight w:val="620"/>
        </w:trPr>
        <w:tc>
          <w:tcPr>
            <w:tcW w:w="1701" w:type="dxa"/>
          </w:tcPr>
          <w:bookmarkEnd w:id="0"/>
          <w:p w14:paraId="06D90DF4" w14:textId="6A1F0570" w:rsidR="00504EAC" w:rsidRPr="00A47960" w:rsidRDefault="00504EAC" w:rsidP="00504EAC">
            <w:pPr>
              <w:spacing w:before="230" w:line="191" w:lineRule="auto"/>
              <w:ind w:right="210"/>
              <w:jc w:val="center"/>
              <w:rPr>
                <w:rFonts w:ascii="微软雅黑" w:eastAsia="微软雅黑" w:hAnsi="微软雅黑" w:cs="微软雅黑" w:hint="eastAsia"/>
                <w:b/>
                <w:bCs/>
                <w:spacing w:val="3"/>
                <w:sz w:val="19"/>
                <w:szCs w:val="19"/>
                <w:lang w:eastAsia="zh-CN"/>
              </w:rPr>
            </w:pPr>
            <w:r w:rsidRPr="00504EAC">
              <w:rPr>
                <w:rFonts w:ascii="微软雅黑" w:eastAsia="微软雅黑" w:hAnsi="微软雅黑" w:cs="微软雅黑"/>
                <w:b/>
                <w:bCs/>
                <w:spacing w:val="3"/>
                <w:sz w:val="19"/>
                <w:szCs w:val="19"/>
                <w:lang w:eastAsia="zh-CN"/>
              </w:rPr>
              <w:t>2026/8/25</w:t>
            </w:r>
          </w:p>
        </w:tc>
        <w:tc>
          <w:tcPr>
            <w:tcW w:w="1314" w:type="dxa"/>
          </w:tcPr>
          <w:p w14:paraId="4FF8F240" w14:textId="307E55DB" w:rsidR="00504EAC" w:rsidRPr="00A47960" w:rsidRDefault="00504EAC" w:rsidP="00504EAC">
            <w:pPr>
              <w:spacing w:before="230" w:line="191" w:lineRule="auto"/>
              <w:ind w:right="210"/>
              <w:jc w:val="center"/>
              <w:rPr>
                <w:rFonts w:ascii="微软雅黑" w:eastAsia="微软雅黑" w:hAnsi="微软雅黑" w:cs="微软雅黑" w:hint="eastAsia"/>
                <w:b/>
                <w:bCs/>
                <w:spacing w:val="3"/>
                <w:sz w:val="19"/>
                <w:szCs w:val="19"/>
                <w:lang w:eastAsia="zh-CN"/>
              </w:rPr>
            </w:pPr>
            <w:r w:rsidRPr="00504EAC">
              <w:rPr>
                <w:rFonts w:ascii="微软雅黑" w:eastAsia="微软雅黑" w:hAnsi="微软雅黑" w:cs="微软雅黑"/>
                <w:b/>
                <w:bCs/>
                <w:spacing w:val="3"/>
                <w:sz w:val="19"/>
                <w:szCs w:val="19"/>
                <w:lang w:eastAsia="zh-CN"/>
              </w:rPr>
              <w:t>14:00</w:t>
            </w:r>
          </w:p>
        </w:tc>
        <w:tc>
          <w:tcPr>
            <w:tcW w:w="6344" w:type="dxa"/>
          </w:tcPr>
          <w:p w14:paraId="1C726C53" w14:textId="0D204674" w:rsidR="00504EAC" w:rsidRPr="007B4F11" w:rsidRDefault="00504EAC" w:rsidP="00504EAC">
            <w:pPr>
              <w:spacing w:before="230" w:line="191" w:lineRule="auto"/>
              <w:ind w:right="210"/>
              <w:jc w:val="center"/>
              <w:rPr>
                <w:rFonts w:ascii="微软雅黑" w:eastAsia="微软雅黑" w:hAnsi="微软雅黑" w:cs="微软雅黑" w:hint="eastAsia"/>
                <w:b/>
                <w:bCs/>
                <w:spacing w:val="3"/>
                <w:sz w:val="19"/>
                <w:szCs w:val="19"/>
                <w:lang w:eastAsia="zh-CN"/>
              </w:rPr>
            </w:pPr>
            <w:r w:rsidRPr="00504EAC">
              <w:rPr>
                <w:rFonts w:ascii="微软雅黑" w:eastAsia="微软雅黑" w:hAnsi="微软雅黑" w:cs="微软雅黑"/>
                <w:b/>
                <w:bCs/>
                <w:spacing w:val="3"/>
                <w:sz w:val="19"/>
                <w:szCs w:val="19"/>
                <w:lang w:eastAsia="zh-CN"/>
              </w:rPr>
              <w:t>德国第二季度现价 GDP</w:t>
            </w:r>
          </w:p>
        </w:tc>
      </w:tr>
      <w:tr w:rsidR="00504EAC" w:rsidRPr="008D0ACF" w14:paraId="4D78ECAE" w14:textId="77777777" w:rsidTr="006D0765">
        <w:trPr>
          <w:trHeight w:val="620"/>
        </w:trPr>
        <w:tc>
          <w:tcPr>
            <w:tcW w:w="1701" w:type="dxa"/>
            <w:shd w:val="clear" w:color="auto" w:fill="DAE3F4" w:themeFill="accent1" w:themeFillTint="33"/>
          </w:tcPr>
          <w:p w14:paraId="7F9DA0F6" w14:textId="50D15EA2" w:rsidR="00504EAC" w:rsidRPr="00D47ABC" w:rsidRDefault="00504EAC" w:rsidP="00504EAC">
            <w:pPr>
              <w:spacing w:before="230" w:line="191" w:lineRule="auto"/>
              <w:ind w:right="210"/>
              <w:jc w:val="center"/>
              <w:rPr>
                <w:rFonts w:ascii="微软雅黑" w:eastAsia="微软雅黑" w:hAnsi="微软雅黑" w:cs="微软雅黑" w:hint="eastAsia"/>
                <w:b/>
                <w:bCs/>
                <w:spacing w:val="3"/>
                <w:sz w:val="19"/>
                <w:szCs w:val="19"/>
                <w:lang w:eastAsia="zh-CN"/>
              </w:rPr>
            </w:pPr>
            <w:r w:rsidRPr="00504EAC">
              <w:rPr>
                <w:rFonts w:ascii="微软雅黑" w:eastAsia="微软雅黑" w:hAnsi="微软雅黑" w:cs="微软雅黑"/>
                <w:b/>
                <w:bCs/>
                <w:spacing w:val="3"/>
                <w:sz w:val="19"/>
                <w:szCs w:val="19"/>
                <w:lang w:eastAsia="zh-CN"/>
              </w:rPr>
              <w:t>2026/8/25</w:t>
            </w:r>
          </w:p>
        </w:tc>
        <w:tc>
          <w:tcPr>
            <w:tcW w:w="1314" w:type="dxa"/>
            <w:shd w:val="clear" w:color="auto" w:fill="DAE3F4" w:themeFill="accent1" w:themeFillTint="33"/>
          </w:tcPr>
          <w:p w14:paraId="5D34EE48" w14:textId="7746D6E5" w:rsidR="00504EAC" w:rsidRPr="00F50098" w:rsidRDefault="00504EAC" w:rsidP="00504EAC">
            <w:pPr>
              <w:spacing w:before="230" w:line="191" w:lineRule="auto"/>
              <w:ind w:right="210"/>
              <w:jc w:val="center"/>
              <w:rPr>
                <w:rFonts w:ascii="微软雅黑" w:eastAsia="微软雅黑" w:hAnsi="微软雅黑" w:cs="微软雅黑" w:hint="eastAsia"/>
                <w:b/>
                <w:bCs/>
                <w:spacing w:val="3"/>
                <w:sz w:val="19"/>
                <w:szCs w:val="19"/>
                <w:lang w:eastAsia="zh-CN"/>
              </w:rPr>
            </w:pPr>
            <w:r>
              <w:rPr>
                <w:rFonts w:ascii="微软雅黑" w:eastAsia="微软雅黑" w:hAnsi="微软雅黑" w:cs="微软雅黑" w:hint="eastAsia"/>
                <w:b/>
                <w:bCs/>
                <w:spacing w:val="3"/>
                <w:sz w:val="19"/>
                <w:szCs w:val="19"/>
                <w:lang w:eastAsia="zh-CN"/>
              </w:rPr>
              <w:t>21</w:t>
            </w:r>
            <w:r w:rsidRPr="00A12895">
              <w:rPr>
                <w:rFonts w:ascii="微软雅黑" w:eastAsia="微软雅黑" w:hAnsi="微软雅黑" w:cs="微软雅黑"/>
                <w:b/>
                <w:bCs/>
                <w:spacing w:val="3"/>
                <w:sz w:val="19"/>
                <w:szCs w:val="19"/>
                <w:lang w:eastAsia="zh-CN"/>
              </w:rPr>
              <w:t>:00</w:t>
            </w:r>
          </w:p>
        </w:tc>
        <w:tc>
          <w:tcPr>
            <w:tcW w:w="6344" w:type="dxa"/>
            <w:shd w:val="clear" w:color="auto" w:fill="DAE3F4" w:themeFill="accent1" w:themeFillTint="33"/>
          </w:tcPr>
          <w:p w14:paraId="52A6362B" w14:textId="3CA6E376" w:rsidR="00504EAC" w:rsidRPr="00F50098" w:rsidRDefault="00504EAC" w:rsidP="00504EAC">
            <w:pPr>
              <w:spacing w:before="230" w:line="191" w:lineRule="auto"/>
              <w:ind w:right="210"/>
              <w:jc w:val="center"/>
              <w:rPr>
                <w:rFonts w:ascii="微软雅黑" w:eastAsia="微软雅黑" w:hAnsi="微软雅黑" w:cs="微软雅黑" w:hint="eastAsia"/>
                <w:b/>
                <w:bCs/>
                <w:spacing w:val="3"/>
                <w:sz w:val="19"/>
                <w:szCs w:val="19"/>
                <w:lang w:eastAsia="zh-CN"/>
              </w:rPr>
            </w:pPr>
            <w:r w:rsidRPr="00504EAC">
              <w:rPr>
                <w:rFonts w:ascii="微软雅黑" w:eastAsia="微软雅黑" w:hAnsi="微软雅黑" w:cs="微软雅黑"/>
                <w:b/>
                <w:bCs/>
                <w:spacing w:val="3"/>
                <w:sz w:val="19"/>
                <w:szCs w:val="19"/>
                <w:lang w:eastAsia="zh-CN"/>
              </w:rPr>
              <w:t>美国8月谘商会消费者信心指数</w:t>
            </w:r>
          </w:p>
        </w:tc>
      </w:tr>
      <w:tr w:rsidR="00504EAC" w:rsidRPr="008D0ACF" w14:paraId="12E905EE" w14:textId="77777777" w:rsidTr="00E43653">
        <w:trPr>
          <w:trHeight w:val="620"/>
        </w:trPr>
        <w:tc>
          <w:tcPr>
            <w:tcW w:w="1701" w:type="dxa"/>
          </w:tcPr>
          <w:p w14:paraId="6DE2087A" w14:textId="25ED064A" w:rsidR="00504EAC" w:rsidRPr="00A12895" w:rsidRDefault="00504EAC" w:rsidP="00504EAC">
            <w:pPr>
              <w:spacing w:before="230" w:line="191" w:lineRule="auto"/>
              <w:ind w:right="210"/>
              <w:jc w:val="center"/>
              <w:rPr>
                <w:rFonts w:ascii="微软雅黑" w:eastAsia="微软雅黑" w:hAnsi="微软雅黑" w:cs="微软雅黑" w:hint="eastAsia"/>
                <w:b/>
                <w:bCs/>
                <w:spacing w:val="3"/>
                <w:sz w:val="19"/>
                <w:szCs w:val="19"/>
                <w:lang w:eastAsia="zh-CN"/>
              </w:rPr>
            </w:pPr>
            <w:r w:rsidRPr="00504EAC">
              <w:rPr>
                <w:rFonts w:ascii="微软雅黑" w:eastAsia="微软雅黑" w:hAnsi="微软雅黑" w:cs="微软雅黑"/>
                <w:b/>
                <w:bCs/>
                <w:spacing w:val="3"/>
                <w:sz w:val="19"/>
                <w:szCs w:val="19"/>
                <w:lang w:eastAsia="zh-CN"/>
              </w:rPr>
              <w:t>2026/8/25</w:t>
            </w:r>
          </w:p>
        </w:tc>
        <w:tc>
          <w:tcPr>
            <w:tcW w:w="1314" w:type="dxa"/>
          </w:tcPr>
          <w:p w14:paraId="136C1D45" w14:textId="44F817CB" w:rsidR="00504EAC" w:rsidRPr="00A12895" w:rsidRDefault="00504EAC" w:rsidP="00504EAC">
            <w:pPr>
              <w:spacing w:before="230" w:line="191" w:lineRule="auto"/>
              <w:ind w:right="210"/>
              <w:jc w:val="center"/>
              <w:rPr>
                <w:rFonts w:ascii="微软雅黑" w:eastAsia="微软雅黑" w:hAnsi="微软雅黑" w:cs="微软雅黑" w:hint="eastAsia"/>
                <w:b/>
                <w:bCs/>
                <w:spacing w:val="3"/>
                <w:sz w:val="19"/>
                <w:szCs w:val="19"/>
                <w:lang w:eastAsia="zh-CN"/>
              </w:rPr>
            </w:pPr>
            <w:r>
              <w:rPr>
                <w:rFonts w:ascii="微软雅黑" w:eastAsia="微软雅黑" w:hAnsi="微软雅黑" w:cs="微软雅黑" w:hint="eastAsia"/>
                <w:b/>
                <w:bCs/>
                <w:spacing w:val="3"/>
                <w:sz w:val="19"/>
                <w:szCs w:val="19"/>
                <w:lang w:eastAsia="zh-CN"/>
              </w:rPr>
              <w:t>22</w:t>
            </w:r>
            <w:r w:rsidRPr="00A12895">
              <w:rPr>
                <w:rFonts w:ascii="微软雅黑" w:eastAsia="微软雅黑" w:hAnsi="微软雅黑" w:cs="微软雅黑"/>
                <w:b/>
                <w:bCs/>
                <w:spacing w:val="3"/>
                <w:sz w:val="19"/>
                <w:szCs w:val="19"/>
                <w:lang w:eastAsia="zh-CN"/>
              </w:rPr>
              <w:t>:</w:t>
            </w:r>
            <w:r>
              <w:rPr>
                <w:rFonts w:ascii="微软雅黑" w:eastAsia="微软雅黑" w:hAnsi="微软雅黑" w:cs="微软雅黑" w:hint="eastAsia"/>
                <w:b/>
                <w:bCs/>
                <w:spacing w:val="3"/>
                <w:sz w:val="19"/>
                <w:szCs w:val="19"/>
                <w:lang w:eastAsia="zh-CN"/>
              </w:rPr>
              <w:t>0</w:t>
            </w:r>
            <w:r w:rsidRPr="00A12895">
              <w:rPr>
                <w:rFonts w:ascii="微软雅黑" w:eastAsia="微软雅黑" w:hAnsi="微软雅黑" w:cs="微软雅黑"/>
                <w:b/>
                <w:bCs/>
                <w:spacing w:val="3"/>
                <w:sz w:val="19"/>
                <w:szCs w:val="19"/>
                <w:lang w:eastAsia="zh-CN"/>
              </w:rPr>
              <w:t>0</w:t>
            </w:r>
          </w:p>
        </w:tc>
        <w:tc>
          <w:tcPr>
            <w:tcW w:w="6344" w:type="dxa"/>
          </w:tcPr>
          <w:p w14:paraId="35AB97BD" w14:textId="49B033B2" w:rsidR="00504EAC" w:rsidRPr="00A12895" w:rsidRDefault="00504EAC" w:rsidP="00504EAC">
            <w:pPr>
              <w:spacing w:before="230" w:line="191" w:lineRule="auto"/>
              <w:ind w:right="210"/>
              <w:jc w:val="center"/>
              <w:rPr>
                <w:rFonts w:ascii="微软雅黑" w:eastAsia="微软雅黑" w:hAnsi="微软雅黑" w:cs="微软雅黑" w:hint="eastAsia"/>
                <w:b/>
                <w:bCs/>
                <w:spacing w:val="3"/>
                <w:sz w:val="19"/>
                <w:szCs w:val="19"/>
                <w:lang w:eastAsia="zh-CN"/>
              </w:rPr>
            </w:pPr>
            <w:r w:rsidRPr="00504EAC">
              <w:rPr>
                <w:rFonts w:ascii="微软雅黑" w:eastAsia="微软雅黑" w:hAnsi="微软雅黑" w:cs="微软雅黑"/>
                <w:b/>
                <w:bCs/>
                <w:spacing w:val="3"/>
                <w:sz w:val="19"/>
                <w:szCs w:val="19"/>
                <w:lang w:eastAsia="zh-CN"/>
              </w:rPr>
              <w:t>美国7月新屋销售</w:t>
            </w:r>
          </w:p>
        </w:tc>
      </w:tr>
    </w:tbl>
    <w:p w14:paraId="61DAEED5" w14:textId="77777777" w:rsidR="00904B93" w:rsidRPr="0088093F"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3840D41A" w14:textId="77777777" w:rsidR="00504EAC" w:rsidRPr="00504EAC" w:rsidRDefault="00504EAC" w:rsidP="00504EAC">
      <w:pPr>
        <w:spacing w:before="103" w:line="256" w:lineRule="auto"/>
        <w:ind w:right="210" w:firstLineChars="200" w:firstLine="448"/>
        <w:rPr>
          <w:rFonts w:ascii="微软雅黑" w:eastAsia="微软雅黑" w:hAnsi="微软雅黑" w:cs="微软雅黑"/>
          <w:spacing w:val="7"/>
          <w:lang w:eastAsia="zh-CN"/>
        </w:rPr>
      </w:pPr>
      <w:r w:rsidRPr="00504EAC">
        <w:rPr>
          <w:rFonts w:ascii="微软雅黑" w:eastAsia="微软雅黑" w:hAnsi="微软雅黑" w:cs="微软雅黑" w:hint="eastAsia"/>
          <w:spacing w:val="7"/>
          <w:lang w:eastAsia="zh-CN"/>
        </w:rPr>
        <w:t>隔夜，美元指数涨</w:t>
      </w:r>
      <w:r w:rsidRPr="00504EAC">
        <w:rPr>
          <w:rFonts w:ascii="微软雅黑" w:eastAsia="微软雅黑" w:hAnsi="微软雅黑" w:cs="微软雅黑"/>
          <w:spacing w:val="7"/>
          <w:lang w:eastAsia="zh-CN"/>
        </w:rPr>
        <w:t>0.15%</w:t>
      </w:r>
      <w:r w:rsidRPr="00504EAC">
        <w:rPr>
          <w:rFonts w:ascii="微软雅黑" w:eastAsia="微软雅黑" w:hAnsi="微软雅黑" w:cs="微软雅黑" w:hint="eastAsia"/>
          <w:spacing w:val="7"/>
          <w:lang w:eastAsia="zh-CN"/>
        </w:rPr>
        <w:t>报</w:t>
      </w:r>
      <w:r w:rsidRPr="00504EAC">
        <w:rPr>
          <w:rFonts w:ascii="微软雅黑" w:eastAsia="微软雅黑" w:hAnsi="微软雅黑" w:cs="微软雅黑"/>
          <w:spacing w:val="7"/>
          <w:lang w:eastAsia="zh-CN"/>
        </w:rPr>
        <w:t>98.99</w:t>
      </w:r>
      <w:r w:rsidRPr="00504EAC">
        <w:rPr>
          <w:rFonts w:ascii="微软雅黑" w:eastAsia="微软雅黑" w:hAnsi="微软雅黑" w:cs="微软雅黑" w:hint="eastAsia"/>
          <w:spacing w:val="7"/>
          <w:lang w:eastAsia="zh-CN"/>
        </w:rPr>
        <w:t>，非美货币多数下跌，欧元兑美元跌</w:t>
      </w:r>
      <w:r w:rsidRPr="00504EAC">
        <w:rPr>
          <w:rFonts w:ascii="微软雅黑" w:eastAsia="微软雅黑" w:hAnsi="微软雅黑" w:cs="微软雅黑"/>
          <w:spacing w:val="7"/>
          <w:lang w:eastAsia="zh-CN"/>
        </w:rPr>
        <w:t>0.11%</w:t>
      </w:r>
      <w:r w:rsidRPr="00504EAC">
        <w:rPr>
          <w:rFonts w:ascii="微软雅黑" w:eastAsia="微软雅黑" w:hAnsi="微软雅黑" w:cs="微软雅黑" w:hint="eastAsia"/>
          <w:spacing w:val="7"/>
          <w:lang w:eastAsia="zh-CN"/>
        </w:rPr>
        <w:t>报</w:t>
      </w:r>
      <w:r w:rsidRPr="00504EAC">
        <w:rPr>
          <w:rFonts w:ascii="微软雅黑" w:eastAsia="微软雅黑" w:hAnsi="微软雅黑" w:cs="微软雅黑"/>
          <w:spacing w:val="7"/>
          <w:lang w:eastAsia="zh-CN"/>
        </w:rPr>
        <w:t>1.1664</w:t>
      </w:r>
      <w:r w:rsidRPr="00504EAC">
        <w:rPr>
          <w:rFonts w:ascii="微软雅黑" w:eastAsia="微软雅黑" w:hAnsi="微软雅黑" w:cs="微软雅黑" w:hint="eastAsia"/>
          <w:spacing w:val="7"/>
          <w:lang w:eastAsia="zh-CN"/>
        </w:rPr>
        <w:t>，英镑兑美元跌</w:t>
      </w:r>
      <w:r w:rsidRPr="00504EAC">
        <w:rPr>
          <w:rFonts w:ascii="微软雅黑" w:eastAsia="微软雅黑" w:hAnsi="微软雅黑" w:cs="微软雅黑"/>
          <w:spacing w:val="7"/>
          <w:lang w:eastAsia="zh-CN"/>
        </w:rPr>
        <w:t>0.10%</w:t>
      </w:r>
      <w:r w:rsidRPr="00504EAC">
        <w:rPr>
          <w:rFonts w:ascii="微软雅黑" w:eastAsia="微软雅黑" w:hAnsi="微软雅黑" w:cs="微软雅黑" w:hint="eastAsia"/>
          <w:spacing w:val="7"/>
          <w:lang w:eastAsia="zh-CN"/>
        </w:rPr>
        <w:t>报</w:t>
      </w:r>
      <w:r w:rsidRPr="00504EAC">
        <w:rPr>
          <w:rFonts w:ascii="微软雅黑" w:eastAsia="微软雅黑" w:hAnsi="微软雅黑" w:cs="微软雅黑"/>
          <w:spacing w:val="7"/>
          <w:lang w:eastAsia="zh-CN"/>
        </w:rPr>
        <w:t>1.3631</w:t>
      </w:r>
      <w:r w:rsidRPr="00504EAC">
        <w:rPr>
          <w:rFonts w:ascii="微软雅黑" w:eastAsia="微软雅黑" w:hAnsi="微软雅黑" w:cs="微软雅黑" w:hint="eastAsia"/>
          <w:spacing w:val="7"/>
          <w:lang w:eastAsia="zh-CN"/>
        </w:rPr>
        <w:t>，美元兑日元涨</w:t>
      </w:r>
      <w:r w:rsidRPr="00504EAC">
        <w:rPr>
          <w:rFonts w:ascii="微软雅黑" w:eastAsia="微软雅黑" w:hAnsi="微软雅黑" w:cs="微软雅黑"/>
          <w:spacing w:val="7"/>
          <w:lang w:eastAsia="zh-CN"/>
        </w:rPr>
        <w:t>0.07%</w:t>
      </w:r>
      <w:r w:rsidRPr="00504EAC">
        <w:rPr>
          <w:rFonts w:ascii="微软雅黑" w:eastAsia="微软雅黑" w:hAnsi="微软雅黑" w:cs="微软雅黑" w:hint="eastAsia"/>
          <w:spacing w:val="7"/>
          <w:lang w:eastAsia="zh-CN"/>
        </w:rPr>
        <w:t>报</w:t>
      </w:r>
      <w:r w:rsidRPr="00504EAC">
        <w:rPr>
          <w:rFonts w:ascii="微软雅黑" w:eastAsia="微软雅黑" w:hAnsi="微软雅黑" w:cs="微软雅黑"/>
          <w:spacing w:val="7"/>
          <w:lang w:eastAsia="zh-CN"/>
        </w:rPr>
        <w:t>159.0985</w:t>
      </w:r>
      <w:r w:rsidRPr="00504EAC">
        <w:rPr>
          <w:rFonts w:ascii="微软雅黑" w:eastAsia="微软雅黑" w:hAnsi="微软雅黑" w:cs="微软雅黑" w:hint="eastAsia"/>
          <w:spacing w:val="7"/>
          <w:lang w:eastAsia="zh-CN"/>
        </w:rPr>
        <w:t>。</w:t>
      </w:r>
    </w:p>
    <w:p w14:paraId="2A15BD5E" w14:textId="77777777" w:rsidR="00504EAC" w:rsidRPr="00504EAC" w:rsidRDefault="00504EAC" w:rsidP="00504EAC">
      <w:pPr>
        <w:spacing w:before="103" w:line="256" w:lineRule="auto"/>
        <w:ind w:right="210" w:firstLineChars="200" w:firstLine="448"/>
        <w:rPr>
          <w:rFonts w:ascii="微软雅黑" w:eastAsia="微软雅黑" w:hAnsi="微软雅黑" w:cs="微软雅黑"/>
          <w:spacing w:val="7"/>
          <w:lang w:eastAsia="zh-CN"/>
        </w:rPr>
      </w:pPr>
      <w:r w:rsidRPr="00504EAC">
        <w:rPr>
          <w:rFonts w:ascii="微软雅黑" w:eastAsia="微软雅黑" w:hAnsi="微软雅黑" w:cs="微软雅黑" w:hint="eastAsia"/>
          <w:spacing w:val="7"/>
          <w:lang w:eastAsia="zh-CN"/>
        </w:rPr>
        <w:t>美国联邦政府债务总额突破</w:t>
      </w:r>
      <w:r w:rsidRPr="00504EAC">
        <w:rPr>
          <w:rFonts w:ascii="微软雅黑" w:eastAsia="微软雅黑" w:hAnsi="微软雅黑" w:cs="微软雅黑"/>
          <w:spacing w:val="7"/>
          <w:lang w:eastAsia="zh-CN"/>
        </w:rPr>
        <w:t>40</w:t>
      </w:r>
      <w:r w:rsidRPr="00504EAC">
        <w:rPr>
          <w:rFonts w:ascii="微软雅黑" w:eastAsia="微软雅黑" w:hAnsi="微软雅黑" w:cs="微软雅黑" w:hint="eastAsia"/>
          <w:spacing w:val="7"/>
          <w:lang w:eastAsia="zh-CN"/>
        </w:rPr>
        <w:t>万亿美元，财政赤字压力加大，美财长贝森特表示或动用财政部一般账户近</w:t>
      </w:r>
      <w:r w:rsidRPr="00504EAC">
        <w:rPr>
          <w:rFonts w:ascii="微软雅黑" w:eastAsia="微软雅黑" w:hAnsi="微软雅黑" w:cs="微软雅黑"/>
          <w:spacing w:val="7"/>
          <w:lang w:eastAsia="zh-CN"/>
        </w:rPr>
        <w:t>1</w:t>
      </w:r>
      <w:r w:rsidRPr="00504EAC">
        <w:rPr>
          <w:rFonts w:ascii="微软雅黑" w:eastAsia="微软雅黑" w:hAnsi="微软雅黑" w:cs="微软雅黑" w:hint="eastAsia"/>
          <w:spacing w:val="7"/>
          <w:lang w:eastAsia="zh-CN"/>
        </w:rPr>
        <w:t>万亿美元资金支持回购，引发投资者对财政可持续性的担忧，海外美债持仓总额较高位下滑，美财政部加码长端美债回购规模，此前创近三年新高的长端美债收益率高位回落。美国计划对加拿大商品加征</w:t>
      </w:r>
      <w:r w:rsidRPr="00504EAC">
        <w:rPr>
          <w:rFonts w:ascii="微软雅黑" w:eastAsia="微软雅黑" w:hAnsi="微软雅黑" w:cs="微软雅黑"/>
          <w:spacing w:val="7"/>
          <w:lang w:eastAsia="zh-CN"/>
        </w:rPr>
        <w:t>50%</w:t>
      </w:r>
      <w:r w:rsidRPr="00504EAC">
        <w:rPr>
          <w:rFonts w:ascii="微软雅黑" w:eastAsia="微软雅黑" w:hAnsi="微软雅黑" w:cs="微软雅黑" w:hint="eastAsia"/>
          <w:spacing w:val="7"/>
          <w:lang w:eastAsia="zh-CN"/>
        </w:rPr>
        <w:t>关税，贸易紧张局势骤然升级，加方表示将对等反制，市场担忧情绪重现。展望后市，美国就业及通胀放缓对美联储加息预期形成打压，叠加财政部政策干预对长端利率形成短线压制，市场重新就美元主权信用趋弱叙事展开定价，避险资金呈边际流出态势，美元指数短期或震荡运行。</w:t>
      </w:r>
    </w:p>
    <w:p w14:paraId="502379A4" w14:textId="1F0E8369" w:rsidR="002760F0" w:rsidRPr="002760F0" w:rsidRDefault="00504EAC" w:rsidP="00504EAC">
      <w:pPr>
        <w:spacing w:before="103" w:line="256" w:lineRule="auto"/>
        <w:ind w:right="210" w:firstLineChars="200" w:firstLine="448"/>
        <w:rPr>
          <w:rFonts w:ascii="微软雅黑" w:eastAsia="微软雅黑" w:hAnsi="微软雅黑" w:cs="微软雅黑" w:hint="eastAsia"/>
          <w:spacing w:val="7"/>
          <w:lang w:eastAsia="zh-CN"/>
        </w:rPr>
      </w:pPr>
      <w:r w:rsidRPr="00504EAC">
        <w:rPr>
          <w:rFonts w:ascii="微软雅黑" w:eastAsia="微软雅黑" w:hAnsi="微软雅黑" w:cs="微软雅黑" w:hint="eastAsia"/>
          <w:spacing w:val="7"/>
          <w:lang w:eastAsia="zh-CN"/>
        </w:rPr>
        <w:lastRenderedPageBreak/>
        <w:t>欧元区方面，经济基本面边际改善为欧元提供支撑，德国</w:t>
      </w:r>
      <w:r w:rsidRPr="00504EAC">
        <w:rPr>
          <w:rFonts w:ascii="微软雅黑" w:eastAsia="微软雅黑" w:hAnsi="微软雅黑" w:cs="微软雅黑"/>
          <w:spacing w:val="7"/>
          <w:lang w:eastAsia="zh-CN"/>
        </w:rPr>
        <w:t>7</w:t>
      </w:r>
      <w:r w:rsidRPr="00504EAC">
        <w:rPr>
          <w:rFonts w:ascii="微软雅黑" w:eastAsia="微软雅黑" w:hAnsi="微软雅黑" w:cs="微软雅黑" w:hint="eastAsia"/>
          <w:spacing w:val="7"/>
          <w:lang w:eastAsia="zh-CN"/>
        </w:rPr>
        <w:t>月</w:t>
      </w:r>
      <w:r w:rsidRPr="00504EAC">
        <w:rPr>
          <w:rFonts w:ascii="微软雅黑" w:eastAsia="微软雅黑" w:hAnsi="微软雅黑" w:cs="微软雅黑"/>
          <w:spacing w:val="7"/>
          <w:lang w:eastAsia="zh-CN"/>
        </w:rPr>
        <w:t>PPI</w:t>
      </w:r>
      <w:r w:rsidRPr="00504EAC">
        <w:rPr>
          <w:rFonts w:ascii="微软雅黑" w:eastAsia="微软雅黑" w:hAnsi="微软雅黑" w:cs="微软雅黑" w:hint="eastAsia"/>
          <w:spacing w:val="7"/>
          <w:lang w:eastAsia="zh-CN"/>
        </w:rPr>
        <w:t>增速录得阶段新高，进一步印证欧元区通胀粘性，但美联储官员对通胀上行风险的偏鹰表态，或继续对美债收益率形成支持，欧元上行空间或受限。日本</w:t>
      </w:r>
      <w:r w:rsidRPr="00504EAC">
        <w:rPr>
          <w:rFonts w:ascii="微软雅黑" w:eastAsia="微软雅黑" w:hAnsi="微软雅黑" w:cs="微软雅黑"/>
          <w:spacing w:val="7"/>
          <w:lang w:eastAsia="zh-CN"/>
        </w:rPr>
        <w:t>7</w:t>
      </w:r>
      <w:r w:rsidRPr="00504EAC">
        <w:rPr>
          <w:rFonts w:ascii="微软雅黑" w:eastAsia="微软雅黑" w:hAnsi="微软雅黑" w:cs="微软雅黑" w:hint="eastAsia"/>
          <w:spacing w:val="7"/>
          <w:lang w:eastAsia="zh-CN"/>
        </w:rPr>
        <w:t>月核心</w:t>
      </w:r>
      <w:r w:rsidRPr="00504EAC">
        <w:rPr>
          <w:rFonts w:ascii="微软雅黑" w:eastAsia="微软雅黑" w:hAnsi="微软雅黑" w:cs="微软雅黑"/>
          <w:spacing w:val="7"/>
          <w:lang w:eastAsia="zh-CN"/>
        </w:rPr>
        <w:t>CPI</w:t>
      </w:r>
      <w:r w:rsidRPr="00504EAC">
        <w:rPr>
          <w:rFonts w:ascii="微软雅黑" w:eastAsia="微软雅黑" w:hAnsi="微软雅黑" w:cs="微软雅黑" w:hint="eastAsia"/>
          <w:spacing w:val="7"/>
          <w:lang w:eastAsia="zh-CN"/>
        </w:rPr>
        <w:t>同比升至</w:t>
      </w:r>
      <w:r w:rsidRPr="00504EAC">
        <w:rPr>
          <w:rFonts w:ascii="微软雅黑" w:eastAsia="微软雅黑" w:hAnsi="微软雅黑" w:cs="微软雅黑"/>
          <w:spacing w:val="7"/>
          <w:lang w:eastAsia="zh-CN"/>
        </w:rPr>
        <w:t>1.8%</w:t>
      </w:r>
      <w:r w:rsidRPr="00504EAC">
        <w:rPr>
          <w:rFonts w:ascii="微软雅黑" w:eastAsia="微软雅黑" w:hAnsi="微软雅黑" w:cs="微软雅黑" w:hint="eastAsia"/>
          <w:spacing w:val="7"/>
          <w:lang w:eastAsia="zh-CN"/>
        </w:rPr>
        <w:t>，强化市场对日央行</w:t>
      </w:r>
      <w:r w:rsidRPr="00504EAC">
        <w:rPr>
          <w:rFonts w:ascii="微软雅黑" w:eastAsia="微软雅黑" w:hAnsi="微软雅黑" w:cs="微软雅黑"/>
          <w:spacing w:val="7"/>
          <w:lang w:eastAsia="zh-CN"/>
        </w:rPr>
        <w:t>9</w:t>
      </w:r>
      <w:r w:rsidRPr="00504EAC">
        <w:rPr>
          <w:rFonts w:ascii="微软雅黑" w:eastAsia="微软雅黑" w:hAnsi="微软雅黑" w:cs="微软雅黑" w:hint="eastAsia"/>
          <w:spacing w:val="7"/>
          <w:lang w:eastAsia="zh-CN"/>
        </w:rPr>
        <w:t>月加息的预期，但中东局势紧张推升油价，叠加日本对中东能源的高依赖，短期内仍对日元形成压力，美元兑日元存在上行风险。中期来看，货币政策正常化、结构性改革及经济韧性或为日元提供支撑，关注</w:t>
      </w:r>
      <w:r w:rsidRPr="00504EAC">
        <w:rPr>
          <w:rFonts w:ascii="微软雅黑" w:eastAsia="微软雅黑" w:hAnsi="微软雅黑" w:cs="微软雅黑"/>
          <w:spacing w:val="7"/>
          <w:lang w:eastAsia="zh-CN"/>
        </w:rPr>
        <w:t>9</w:t>
      </w:r>
      <w:r w:rsidRPr="00504EAC">
        <w:rPr>
          <w:rFonts w:ascii="微软雅黑" w:eastAsia="微软雅黑" w:hAnsi="微软雅黑" w:cs="微软雅黑" w:hint="eastAsia"/>
          <w:spacing w:val="7"/>
          <w:lang w:eastAsia="zh-CN"/>
        </w:rPr>
        <w:t>月议息会议与能源价格走势</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0C4EEFB6" w:rsidR="007A477E" w:rsidRDefault="00504EAC"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087F5E">
        <w:rPr>
          <w:rFonts w:ascii="黑体" w:eastAsia="黑体" w:hAnsi="黑体" w:cs="黑体"/>
          <w:noProof/>
          <w:color w:val="000000" w:themeColor="text1"/>
          <w:sz w:val="22"/>
          <w:szCs w:val="22"/>
          <w:shd w:val="clear" w:color="auto" w:fill="FFFFFF"/>
          <w:lang w:bidi="ar"/>
        </w:rPr>
        <w:drawing>
          <wp:inline distT="0" distB="0" distL="0" distR="0" wp14:anchorId="4B4ED56F" wp14:editId="2A5EE5A2">
            <wp:extent cx="4410075" cy="2199005"/>
            <wp:effectExtent l="0" t="0" r="9525" b="0"/>
            <wp:docPr id="5825009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0075" cy="2199005"/>
                    </a:xfrm>
                    <a:prstGeom prst="rect">
                      <a:avLst/>
                    </a:prstGeom>
                    <a:noFill/>
                    <a:ln>
                      <a:noFill/>
                    </a:ln>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655F652D" w:rsidR="00ED4A18" w:rsidRDefault="00504EAC" w:rsidP="00B00DB4">
      <w:pPr>
        <w:spacing w:before="103" w:line="256" w:lineRule="auto"/>
        <w:ind w:right="210" w:firstLine="448"/>
        <w:rPr>
          <w:rFonts w:ascii="微软雅黑" w:eastAsia="微软雅黑" w:hAnsi="微软雅黑" w:cs="微软雅黑" w:hint="eastAsia"/>
          <w:spacing w:val="7"/>
          <w:lang w:eastAsia="zh-CN"/>
        </w:rPr>
      </w:pPr>
      <w:r w:rsidRPr="00504EAC">
        <w:rPr>
          <w:rFonts w:ascii="微软雅黑" w:eastAsia="微软雅黑" w:hAnsi="微软雅黑" w:cs="微软雅黑"/>
          <w:spacing w:val="7"/>
          <w:lang w:eastAsia="zh-CN"/>
        </w:rPr>
        <w:t>截至8月24日，标普500指数下跌0.28%至7652.86；迷你标普500主力合约下跌0.18%至7674.25点。地缘局势上，美国财长贝森特公布多项针对伊朗经济制裁，旨在切断伊朗与全球各国的经济联系。对此伊朗方面表示将以更坚决的态度回应。由于此前市场已计价美国制裁的影响，消息公布后油价呈现利空出尽，但仍处在80美元上方。金融政策上，美国财政部正考虑动用规模接近万亿美元的财政部一般账户（TGA），为扩大国债回购计划提供资金支持。目前TGA余额已积累至约9500亿美元，若后续美国财政部正式动用该笔资金将对长端国债起到有力影响。昨日10年期美债收益率明显回落，跌破4.7%，但今日早间再度反弹。原油与美债收益率仍在高位，对美股形成压制</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5105160B" w:rsidR="007A477E" w:rsidRPr="00EE7376" w:rsidRDefault="00504EAC" w:rsidP="006B6996">
      <w:pPr>
        <w:spacing w:before="103" w:line="256" w:lineRule="auto"/>
        <w:ind w:right="210" w:firstLine="420"/>
        <w:jc w:val="center"/>
        <w:rPr>
          <w:rFonts w:ascii="微软雅黑" w:eastAsia="微软雅黑" w:hAnsi="微软雅黑" w:cs="微软雅黑" w:hint="eastAsia"/>
          <w:spacing w:val="7"/>
          <w:lang w:eastAsia="zh-CN"/>
        </w:rPr>
      </w:pPr>
      <w:r w:rsidRPr="0004109D">
        <w:rPr>
          <w:rFonts w:ascii="Helvetica" w:hAnsi="Helvetica" w:cs="Helvetica"/>
          <w:noProof/>
          <w:shd w:val="clear" w:color="auto" w:fill="FFFFFF"/>
        </w:rPr>
        <w:drawing>
          <wp:inline distT="0" distB="0" distL="0" distR="0" wp14:anchorId="4B2B9583" wp14:editId="16F42453">
            <wp:extent cx="5274310" cy="1590614"/>
            <wp:effectExtent l="0" t="0" r="2540" b="0"/>
            <wp:docPr id="3" name="图片 3" descr="C:\Users\Administrator\xwechat_files\wxid_vkxlzo0vqu7s22_6f5b\temp\InputTemp\735dfcad-5e7e-4a9a-84e8-1832a5b023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735dfcad-5e7e-4a9a-84e8-1832a5b023cb.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90614"/>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5FAA4699" w:rsidR="004F4EDC" w:rsidRDefault="00504EAC" w:rsidP="000511AA">
      <w:pPr>
        <w:spacing w:before="103" w:line="256" w:lineRule="auto"/>
        <w:ind w:right="210" w:firstLine="448"/>
        <w:jc w:val="both"/>
        <w:rPr>
          <w:rFonts w:ascii="微软雅黑" w:eastAsia="微软雅黑" w:hAnsi="微软雅黑" w:cs="微软雅黑" w:hint="eastAsia"/>
          <w:spacing w:val="7"/>
          <w:lang w:eastAsia="zh-CN"/>
        </w:rPr>
      </w:pPr>
      <w:r w:rsidRPr="00504EAC">
        <w:rPr>
          <w:rFonts w:ascii="微软雅黑" w:eastAsia="微软雅黑" w:hAnsi="微软雅黑" w:cs="微软雅黑"/>
          <w:spacing w:val="7"/>
          <w:lang w:eastAsia="zh-CN"/>
        </w:rPr>
        <w:lastRenderedPageBreak/>
        <w:t>截至8月24日，富时中国A50指数下跌1.06%至14706.81；新交所富时A50期指主力合约下跌1.29%至14652。海外方面，地缘局势上，美国财长贝森特公布多项针对伊朗经济制裁，旨在切断伊朗与全球各国的经济联系。对此伊朗方面表示将以更坚决的态度回应。由于此前市场已计价美国制裁的影响，消息公布后油价呈现利空出尽，但仍处在80美元上方。国内方面，经济基本面，7月份，我国进出口、规上工业增加值、固投、社零多项指标集体回落，投资端尤为疲弱，但值得注意的是高技术产业的生产、投资、出口增速较6月呈现上升。上市公司基本面，已披露半年报的部分公司业绩表现良好，全体A股净利增速分别为27%。整体来看，原油与美债收益率仍在高位，市场压力尚未缓解。同时，宏观基本面对股市带来的压力依旧明显，高科技产业与传统产业分化持续。最后，本周上市公司半年报披露进入冲刺阶段，市场波动预计放大，需密切观察半年报的整体情况</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59C283E9" w:rsidR="00A10388" w:rsidRDefault="00504EAC" w:rsidP="00A10388">
      <w:pPr>
        <w:spacing w:before="120" w:line="190" w:lineRule="auto"/>
        <w:ind w:right="210" w:firstLine="420"/>
        <w:jc w:val="center"/>
        <w:rPr>
          <w:rFonts w:ascii="新宋体" w:eastAsia="新宋体" w:hAnsi="新宋体" w:hint="eastAsia"/>
          <w:lang w:eastAsia="zh-CN"/>
        </w:rPr>
      </w:pPr>
      <w:r w:rsidRPr="000A4796">
        <w:rPr>
          <w:rFonts w:ascii="宋体" w:eastAsia="宋体" w:hAnsi="宋体"/>
          <w:b/>
          <w:noProof/>
        </w:rPr>
        <w:drawing>
          <wp:inline distT="0" distB="0" distL="0" distR="0" wp14:anchorId="164B7975" wp14:editId="6252A0EA">
            <wp:extent cx="5274310" cy="1593214"/>
            <wp:effectExtent l="0" t="0" r="2540" b="7620"/>
            <wp:docPr id="206166281" name="图片 206166281" descr="C:\Users\Administrator\xwechat_files\wxid_vkxlzo0vqu7s22_6f5b\temp\InputTemp\8c78ad98-c922-4f64-8497-3b70e7eb41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8c78ad98-c922-4f64-8497-3b70e7eb41c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93214"/>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132B33DD" w:rsidR="005B5E6A" w:rsidRDefault="00504EAC" w:rsidP="00F51117">
      <w:pPr>
        <w:spacing w:before="103" w:line="256" w:lineRule="auto"/>
        <w:ind w:right="210" w:firstLine="448"/>
        <w:jc w:val="both"/>
        <w:rPr>
          <w:rFonts w:ascii="微软雅黑" w:eastAsia="微软雅黑" w:hAnsi="微软雅黑" w:cs="微软雅黑" w:hint="eastAsia"/>
          <w:spacing w:val="12"/>
          <w:lang w:eastAsia="zh-CN"/>
        </w:rPr>
      </w:pPr>
      <w:r w:rsidRPr="00504EAC">
        <w:rPr>
          <w:rFonts w:ascii="微软雅黑" w:eastAsia="微软雅黑" w:hAnsi="微软雅黑" w:cs="微软雅黑"/>
          <w:spacing w:val="12"/>
          <w:lang w:eastAsia="zh-CN"/>
        </w:rPr>
        <w:t>隔夜COMEX铜震荡走势，报收6.7085元/磅，涨跌幅+0.31%。国际方面，美财政部宣布扩大次级制裁范围，将针对全球范围内仍与伊朗保持商业往来的实体及国家实施制裁，针对技术、黄金、航空和航运等发布相关制裁决定。财政部还对近60个实体、个人及船只实施了制裁。国内方面，《上海市加快推进新型工业化构建现代化产业体系“十五五”规划》提出，发挥产业地图引导作用，因地制宜发展新质生产力。市级聚焦10条重点产业链，做强新一代电子信息、智能网联新能源汽车、高端装备、软件和信息服务等万亿级产业集群，新增打造集成电路、生物医药、人工智能三个万亿级产业集群。库存方面，截至2026年8月24日，COMEX铜库存为744265短吨，环比+1487短吨；LME铜库存为240250吨，环比+1675吨；SHFE每日仓单41103吨，环比-5002吨。美元美债方面，因美国宣布扩大对伊朗的制裁，并对加拿大商品加征关税，美元指数盘中一度重回99关口上方，但在美盘时段回吐部分涨幅，最终收涨0.15%，报98.99；基准的10年期美债收益率收跌3.4个基点，报4.702%，对美联储政策利率敏感的2年期美债收益率收跌1.2个基点，报4.232%。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57903AC0" w:rsidR="00A02266" w:rsidRDefault="00504EAC" w:rsidP="006B6996">
      <w:pPr>
        <w:spacing w:before="103" w:line="256" w:lineRule="auto"/>
        <w:ind w:right="210" w:firstLine="420"/>
        <w:jc w:val="center"/>
      </w:pPr>
      <w:r>
        <w:rPr>
          <w:noProof/>
        </w:rPr>
        <w:lastRenderedPageBreak/>
        <w:drawing>
          <wp:inline distT="0" distB="0" distL="0" distR="0" wp14:anchorId="532ACBD0" wp14:editId="2BD9D244">
            <wp:extent cx="5274310" cy="2854325"/>
            <wp:effectExtent l="0" t="0" r="2540" b="3175"/>
            <wp:docPr id="18823928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92878" name=""/>
                    <pic:cNvPicPr/>
                  </pic:nvPicPr>
                  <pic:blipFill>
                    <a:blip r:embed="rId17"/>
                    <a:stretch>
                      <a:fillRect/>
                    </a:stretch>
                  </pic:blipFill>
                  <pic:spPr>
                    <a:xfrm>
                      <a:off x="0" y="0"/>
                      <a:ext cx="5274310" cy="2854325"/>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179010F0" w:rsidR="00F850DC" w:rsidRDefault="00504EAC" w:rsidP="00B00DB4">
      <w:pPr>
        <w:spacing w:before="103" w:line="256" w:lineRule="auto"/>
        <w:ind w:right="210" w:firstLine="468"/>
        <w:jc w:val="both"/>
        <w:rPr>
          <w:rFonts w:ascii="微软雅黑" w:eastAsia="微软雅黑" w:hAnsi="微软雅黑" w:cs="微软雅黑" w:hint="eastAsia"/>
          <w:noProof/>
          <w:spacing w:val="7"/>
          <w:lang w:eastAsia="zh-CN"/>
        </w:rPr>
      </w:pPr>
      <w:r w:rsidRPr="00504EAC">
        <w:rPr>
          <w:rFonts w:ascii="微软雅黑" w:eastAsia="微软雅黑" w:hAnsi="微软雅黑" w:cs="微软雅黑"/>
          <w:noProof/>
          <w:spacing w:val="7"/>
          <w:lang w:eastAsia="zh-CN"/>
        </w:rPr>
        <w:t>隔夜，外盘贵金属走势分化， COMEX黄金期货涨0.63%报4710.00美元/盎司，COMEX白银期货跌0.81%报68.97美元/盎司。美国与加拿大关税谈判破裂，美对部分加拿大商品加征50%关税，黄金避险溢价抬升，市场避险资金重新流入黄金。市场对于美伊战争定价较前期弱化，美伊谈判陷入僵局，年内"边打边谈"为基准情景，前期受避险需求提振的美元近期高位回落，推动资金回流贵金属市场。美国财政部超预期扩张长端美债回购规模，美财长贝森特表示将动用财政部一般账户近1万亿美元资金支持回购，引发投资者对美财政可持续性的担忧，美债收益率延续高位回落态势，提振黄金作为美元信用对冲首选工具的吸引力，但美长债收益率回落可持续性仍有待观察。展望后市，市场对于美联储加息预期的定价逐步弱化，地缘避险以及美元信用对冲逻辑有所转强，后续若不出现美国经济数据大幅波动，或沃什大幅放鹰的情景，金价有望维持震荡偏强运行，短期主要风险点包括：联储官员鹰派表态反复，紧缩预期尚未完全出清；美伊谈判进展反复，若通行争端持续僵持，油价走强仍可能通过物价传导抬升加息预期，进而制约金价上行空间。操作上建议逢低布局多单，近期贵金属获利了结需要升温或导致价格波动加剧，注意严格风险控制</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253E6E3E" w:rsidR="007A477E" w:rsidRDefault="00504EAC"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087F5E">
        <w:rPr>
          <w:rFonts w:ascii="黑体" w:eastAsia="黑体" w:hAnsi="黑体"/>
          <w:b/>
          <w:bCs/>
          <w:noProof/>
          <w:sz w:val="22"/>
          <w:szCs w:val="22"/>
          <w:shd w:val="clear" w:color="auto" w:fill="FFFFFF"/>
          <w:lang w:bidi="ar"/>
        </w:rPr>
        <w:lastRenderedPageBreak/>
        <w:drawing>
          <wp:inline distT="0" distB="0" distL="0" distR="0" wp14:anchorId="6718102C" wp14:editId="2131450C">
            <wp:extent cx="4448175" cy="2496185"/>
            <wp:effectExtent l="0" t="0" r="9525" b="8890"/>
            <wp:docPr id="15936097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48175" cy="249618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74D589D2" w14:textId="77777777" w:rsidR="00504EAC" w:rsidRPr="00504EAC" w:rsidRDefault="00504EAC" w:rsidP="00504EAC">
      <w:pPr>
        <w:spacing w:before="103" w:line="256" w:lineRule="auto"/>
        <w:ind w:right="210" w:firstLine="448"/>
        <w:jc w:val="both"/>
        <w:rPr>
          <w:rFonts w:ascii="微软雅黑" w:eastAsia="微软雅黑" w:hAnsi="微软雅黑" w:cs="微软雅黑"/>
          <w:noProof/>
          <w:spacing w:val="7"/>
          <w:lang w:eastAsia="zh-CN"/>
        </w:rPr>
      </w:pPr>
      <w:r w:rsidRPr="00504EAC">
        <w:rPr>
          <w:rFonts w:ascii="微软雅黑" w:eastAsia="微软雅黑" w:hAnsi="微软雅黑" w:cs="微软雅黑" w:hint="eastAsia"/>
          <w:noProof/>
          <w:spacing w:val="7"/>
          <w:lang w:eastAsia="zh-CN"/>
        </w:rPr>
        <w:t>洲际交易所</w:t>
      </w:r>
      <w:r w:rsidRPr="00504EAC">
        <w:rPr>
          <w:rFonts w:ascii="微软雅黑" w:eastAsia="微软雅黑" w:hAnsi="微软雅黑" w:cs="微软雅黑"/>
          <w:noProof/>
          <w:spacing w:val="7"/>
          <w:lang w:eastAsia="zh-CN"/>
        </w:rPr>
        <w:t>(ICE)</w:t>
      </w:r>
      <w:r w:rsidRPr="00504EAC">
        <w:rPr>
          <w:rFonts w:ascii="微软雅黑" w:eastAsia="微软雅黑" w:hAnsi="微软雅黑" w:cs="微软雅黑" w:hint="eastAsia"/>
          <w:noProof/>
          <w:spacing w:val="7"/>
          <w:lang w:eastAsia="zh-CN"/>
        </w:rPr>
        <w:t>原糖期货周一小幅上涨，受印度进口量可能低于此前预期的前景影响。</w:t>
      </w:r>
      <w:r w:rsidRPr="00504EAC">
        <w:rPr>
          <w:rFonts w:ascii="微软雅黑" w:eastAsia="微软雅黑" w:hAnsi="微软雅黑" w:cs="微软雅黑"/>
          <w:noProof/>
          <w:spacing w:val="7"/>
          <w:lang w:eastAsia="zh-CN"/>
        </w:rPr>
        <w:t>ICE</w:t>
      </w:r>
      <w:r w:rsidRPr="00504EAC">
        <w:rPr>
          <w:rFonts w:ascii="微软雅黑" w:eastAsia="微软雅黑" w:hAnsi="微软雅黑" w:cs="微软雅黑" w:hint="eastAsia"/>
          <w:noProof/>
          <w:spacing w:val="7"/>
          <w:lang w:eastAsia="zh-CN"/>
        </w:rPr>
        <w:t>交投最活跃的</w:t>
      </w:r>
      <w:r w:rsidRPr="00504EAC">
        <w:rPr>
          <w:rFonts w:ascii="微软雅黑" w:eastAsia="微软雅黑" w:hAnsi="微软雅黑" w:cs="微软雅黑"/>
          <w:noProof/>
          <w:spacing w:val="7"/>
          <w:lang w:eastAsia="zh-CN"/>
        </w:rPr>
        <w:t>10</w:t>
      </w:r>
      <w:r w:rsidRPr="00504EAC">
        <w:rPr>
          <w:rFonts w:ascii="微软雅黑" w:eastAsia="微软雅黑" w:hAnsi="微软雅黑" w:cs="微软雅黑" w:hint="eastAsia"/>
          <w:noProof/>
          <w:spacing w:val="7"/>
          <w:lang w:eastAsia="zh-CN"/>
        </w:rPr>
        <w:t>月原糖期货收涨</w:t>
      </w:r>
      <w:r w:rsidRPr="00504EAC">
        <w:rPr>
          <w:rFonts w:ascii="微软雅黑" w:eastAsia="微软雅黑" w:hAnsi="微软雅黑" w:cs="微软雅黑"/>
          <w:noProof/>
          <w:spacing w:val="7"/>
          <w:lang w:eastAsia="zh-CN"/>
        </w:rPr>
        <w:t>0.04</w:t>
      </w:r>
      <w:r w:rsidRPr="00504EAC">
        <w:rPr>
          <w:rFonts w:ascii="微软雅黑" w:eastAsia="微软雅黑" w:hAnsi="微软雅黑" w:cs="微软雅黑" w:hint="eastAsia"/>
          <w:noProof/>
          <w:spacing w:val="7"/>
          <w:lang w:eastAsia="zh-CN"/>
        </w:rPr>
        <w:t>美分或</w:t>
      </w:r>
      <w:r w:rsidRPr="00504EAC">
        <w:rPr>
          <w:rFonts w:ascii="微软雅黑" w:eastAsia="微软雅黑" w:hAnsi="微软雅黑" w:cs="微软雅黑"/>
          <w:noProof/>
          <w:spacing w:val="7"/>
          <w:lang w:eastAsia="zh-CN"/>
        </w:rPr>
        <w:t>0.23%</w:t>
      </w:r>
      <w:r w:rsidRPr="00504EAC">
        <w:rPr>
          <w:rFonts w:ascii="微软雅黑" w:eastAsia="微软雅黑" w:hAnsi="微软雅黑" w:cs="微软雅黑" w:hint="eastAsia"/>
          <w:noProof/>
          <w:spacing w:val="7"/>
          <w:lang w:eastAsia="zh-CN"/>
        </w:rPr>
        <w:t>，结算价报每磅</w:t>
      </w:r>
      <w:r w:rsidRPr="00504EAC">
        <w:rPr>
          <w:rFonts w:ascii="微软雅黑" w:eastAsia="微软雅黑" w:hAnsi="微软雅黑" w:cs="微软雅黑"/>
          <w:noProof/>
          <w:spacing w:val="7"/>
          <w:lang w:eastAsia="zh-CN"/>
        </w:rPr>
        <w:t>17.65</w:t>
      </w:r>
      <w:r w:rsidRPr="00504EAC">
        <w:rPr>
          <w:rFonts w:ascii="微软雅黑" w:eastAsia="微软雅黑" w:hAnsi="微软雅黑" w:cs="微软雅黑" w:hint="eastAsia"/>
          <w:noProof/>
          <w:spacing w:val="7"/>
          <w:lang w:eastAsia="zh-CN"/>
        </w:rPr>
        <w:t>美分。</w:t>
      </w:r>
    </w:p>
    <w:p w14:paraId="3F153B18" w14:textId="77777777" w:rsidR="00504EAC" w:rsidRPr="00504EAC" w:rsidRDefault="00504EAC" w:rsidP="00504EAC">
      <w:pPr>
        <w:spacing w:before="103" w:line="256" w:lineRule="auto"/>
        <w:ind w:right="210" w:firstLine="448"/>
        <w:jc w:val="both"/>
        <w:rPr>
          <w:rFonts w:ascii="微软雅黑" w:eastAsia="微软雅黑" w:hAnsi="微软雅黑" w:cs="微软雅黑"/>
          <w:noProof/>
          <w:spacing w:val="7"/>
          <w:lang w:eastAsia="zh-CN"/>
        </w:rPr>
      </w:pPr>
      <w:r w:rsidRPr="00504EAC">
        <w:rPr>
          <w:rFonts w:ascii="微软雅黑" w:eastAsia="微软雅黑" w:hAnsi="微软雅黑" w:cs="微软雅黑" w:hint="eastAsia"/>
          <w:noProof/>
          <w:spacing w:val="7"/>
          <w:lang w:eastAsia="zh-CN"/>
        </w:rPr>
        <w:t>国际方面，</w:t>
      </w:r>
      <w:r w:rsidRPr="00504EAC">
        <w:rPr>
          <w:rFonts w:ascii="微软雅黑" w:eastAsia="微软雅黑" w:hAnsi="微软雅黑" w:cs="微软雅黑"/>
          <w:noProof/>
          <w:spacing w:val="7"/>
          <w:lang w:eastAsia="zh-CN"/>
        </w:rPr>
        <w:t>Conab</w:t>
      </w:r>
      <w:r w:rsidRPr="00504EAC">
        <w:rPr>
          <w:rFonts w:ascii="微软雅黑" w:eastAsia="微软雅黑" w:hAnsi="微软雅黑" w:cs="微软雅黑" w:hint="eastAsia"/>
          <w:noProof/>
          <w:spacing w:val="7"/>
          <w:lang w:eastAsia="zh-CN"/>
        </w:rPr>
        <w:t>预测</w:t>
      </w:r>
      <w:r w:rsidRPr="00504EAC">
        <w:rPr>
          <w:rFonts w:ascii="微软雅黑" w:eastAsia="微软雅黑" w:hAnsi="微软雅黑" w:cs="微软雅黑"/>
          <w:noProof/>
          <w:spacing w:val="7"/>
          <w:lang w:eastAsia="zh-CN"/>
        </w:rPr>
        <w:t>2026/27</w:t>
      </w:r>
      <w:r w:rsidRPr="00504EAC">
        <w:rPr>
          <w:rFonts w:ascii="微软雅黑" w:eastAsia="微软雅黑" w:hAnsi="微软雅黑" w:cs="微软雅黑" w:hint="eastAsia"/>
          <w:noProof/>
          <w:spacing w:val="7"/>
          <w:lang w:eastAsia="zh-CN"/>
        </w:rPr>
        <w:t>年度巴西甘蔗调查报告：</w:t>
      </w:r>
      <w:r w:rsidRPr="00504EAC">
        <w:rPr>
          <w:rFonts w:ascii="微软雅黑" w:eastAsia="微软雅黑" w:hAnsi="微软雅黑" w:cs="微软雅黑"/>
          <w:noProof/>
          <w:spacing w:val="7"/>
          <w:lang w:eastAsia="zh-CN"/>
        </w:rPr>
        <w:t>2026/27</w:t>
      </w:r>
      <w:r w:rsidRPr="00504EAC">
        <w:rPr>
          <w:rFonts w:ascii="微软雅黑" w:eastAsia="微软雅黑" w:hAnsi="微软雅黑" w:cs="微软雅黑" w:hint="eastAsia"/>
          <w:noProof/>
          <w:spacing w:val="7"/>
          <w:lang w:eastAsia="zh-CN"/>
        </w:rPr>
        <w:t>榨季巴西甘蔗产量将达到</w:t>
      </w:r>
      <w:r w:rsidRPr="00504EAC">
        <w:rPr>
          <w:rFonts w:ascii="微软雅黑" w:eastAsia="微软雅黑" w:hAnsi="微软雅黑" w:cs="微软雅黑"/>
          <w:noProof/>
          <w:spacing w:val="7"/>
          <w:lang w:eastAsia="zh-CN"/>
        </w:rPr>
        <w:t>7.052</w:t>
      </w:r>
      <w:r w:rsidRPr="00504EAC">
        <w:rPr>
          <w:rFonts w:ascii="微软雅黑" w:eastAsia="微软雅黑" w:hAnsi="微软雅黑" w:cs="微软雅黑" w:hint="eastAsia"/>
          <w:noProof/>
          <w:spacing w:val="7"/>
          <w:lang w:eastAsia="zh-CN"/>
        </w:rPr>
        <w:t>亿吨，较上一年度增长</w:t>
      </w:r>
      <w:r w:rsidRPr="00504EAC">
        <w:rPr>
          <w:rFonts w:ascii="微软雅黑" w:eastAsia="微软雅黑" w:hAnsi="微软雅黑" w:cs="微软雅黑"/>
          <w:noProof/>
          <w:spacing w:val="7"/>
          <w:lang w:eastAsia="zh-CN"/>
        </w:rPr>
        <w:t>4.7%</w:t>
      </w:r>
      <w:r w:rsidRPr="00504EAC">
        <w:rPr>
          <w:rFonts w:ascii="微软雅黑" w:eastAsia="微软雅黑" w:hAnsi="微软雅黑" w:cs="微软雅黑" w:hint="eastAsia"/>
          <w:noProof/>
          <w:spacing w:val="7"/>
          <w:lang w:eastAsia="zh-CN"/>
        </w:rPr>
        <w:t>。同时，受生物燃料市场环境走强支撑，乙醇产量预计将实现增长。</w:t>
      </w:r>
      <w:r w:rsidRPr="00504EAC">
        <w:rPr>
          <w:rFonts w:ascii="微软雅黑" w:eastAsia="微软雅黑" w:hAnsi="微软雅黑" w:cs="微软雅黑"/>
          <w:noProof/>
          <w:spacing w:val="7"/>
          <w:lang w:eastAsia="zh-CN"/>
        </w:rPr>
        <w:t>2026/27</w:t>
      </w:r>
      <w:r w:rsidRPr="00504EAC">
        <w:rPr>
          <w:rFonts w:ascii="微软雅黑" w:eastAsia="微软雅黑" w:hAnsi="微软雅黑" w:cs="微软雅黑" w:hint="eastAsia"/>
          <w:noProof/>
          <w:spacing w:val="7"/>
          <w:lang w:eastAsia="zh-CN"/>
        </w:rPr>
        <w:t>榨季巴西中南部甘蔗产量预计为</w:t>
      </w:r>
      <w:r w:rsidRPr="00504EAC">
        <w:rPr>
          <w:rFonts w:ascii="微软雅黑" w:eastAsia="微软雅黑" w:hAnsi="微软雅黑" w:cs="微软雅黑"/>
          <w:noProof/>
          <w:spacing w:val="7"/>
          <w:lang w:eastAsia="zh-CN"/>
        </w:rPr>
        <w:t>6.457</w:t>
      </w:r>
      <w:r w:rsidRPr="00504EAC">
        <w:rPr>
          <w:rFonts w:ascii="微软雅黑" w:eastAsia="微软雅黑" w:hAnsi="微软雅黑" w:cs="微软雅黑" w:hint="eastAsia"/>
          <w:noProof/>
          <w:spacing w:val="7"/>
          <w:lang w:eastAsia="zh-CN"/>
        </w:rPr>
        <w:t>亿吨，同比增长</w:t>
      </w:r>
      <w:r w:rsidRPr="00504EAC">
        <w:rPr>
          <w:rFonts w:ascii="微软雅黑" w:eastAsia="微软雅黑" w:hAnsi="微软雅黑" w:cs="微软雅黑"/>
          <w:noProof/>
          <w:spacing w:val="7"/>
          <w:lang w:eastAsia="zh-CN"/>
        </w:rPr>
        <w:t>4.8%</w:t>
      </w:r>
      <w:r w:rsidRPr="00504EAC">
        <w:rPr>
          <w:rFonts w:ascii="微软雅黑" w:eastAsia="微软雅黑" w:hAnsi="微软雅黑" w:cs="微软雅黑" w:hint="eastAsia"/>
          <w:noProof/>
          <w:spacing w:val="7"/>
          <w:lang w:eastAsia="zh-CN"/>
        </w:rPr>
        <w:t>，上一榨季为</w:t>
      </w:r>
      <w:r w:rsidRPr="00504EAC">
        <w:rPr>
          <w:rFonts w:ascii="微软雅黑" w:eastAsia="微软雅黑" w:hAnsi="微软雅黑" w:cs="微软雅黑"/>
          <w:noProof/>
          <w:spacing w:val="7"/>
          <w:lang w:eastAsia="zh-CN"/>
        </w:rPr>
        <w:t>6.1624</w:t>
      </w:r>
      <w:r w:rsidRPr="00504EAC">
        <w:rPr>
          <w:rFonts w:ascii="微软雅黑" w:eastAsia="微软雅黑" w:hAnsi="微软雅黑" w:cs="微软雅黑" w:hint="eastAsia"/>
          <w:noProof/>
          <w:spacing w:val="7"/>
          <w:lang w:eastAsia="zh-CN"/>
        </w:rPr>
        <w:t>亿吨。巴西</w:t>
      </w:r>
      <w:r w:rsidRPr="00504EAC">
        <w:rPr>
          <w:rFonts w:ascii="微软雅黑" w:eastAsia="微软雅黑" w:hAnsi="微软雅黑" w:cs="微软雅黑"/>
          <w:noProof/>
          <w:spacing w:val="7"/>
          <w:lang w:eastAsia="zh-CN"/>
        </w:rPr>
        <w:t>2026/27</w:t>
      </w:r>
      <w:r w:rsidRPr="00504EAC">
        <w:rPr>
          <w:rFonts w:ascii="微软雅黑" w:eastAsia="微软雅黑" w:hAnsi="微软雅黑" w:cs="微软雅黑" w:hint="eastAsia"/>
          <w:noProof/>
          <w:spacing w:val="7"/>
          <w:lang w:eastAsia="zh-CN"/>
        </w:rPr>
        <w:t>年度糖产量下降</w:t>
      </w:r>
      <w:r w:rsidRPr="00504EAC">
        <w:rPr>
          <w:rFonts w:ascii="微软雅黑" w:eastAsia="微软雅黑" w:hAnsi="微软雅黑" w:cs="微软雅黑"/>
          <w:noProof/>
          <w:spacing w:val="7"/>
          <w:lang w:eastAsia="zh-CN"/>
        </w:rPr>
        <w:t>2.9%</w:t>
      </w:r>
      <w:r w:rsidRPr="00504EAC">
        <w:rPr>
          <w:rFonts w:ascii="微软雅黑" w:eastAsia="微软雅黑" w:hAnsi="微软雅黑" w:cs="微软雅黑" w:hint="eastAsia"/>
          <w:noProof/>
          <w:spacing w:val="7"/>
          <w:lang w:eastAsia="zh-CN"/>
        </w:rPr>
        <w:t>至</w:t>
      </w:r>
      <w:r w:rsidRPr="00504EAC">
        <w:rPr>
          <w:rFonts w:ascii="微软雅黑" w:eastAsia="微软雅黑" w:hAnsi="微软雅黑" w:cs="微软雅黑"/>
          <w:noProof/>
          <w:spacing w:val="7"/>
          <w:lang w:eastAsia="zh-CN"/>
        </w:rPr>
        <w:t>4290</w:t>
      </w:r>
      <w:r w:rsidRPr="00504EAC">
        <w:rPr>
          <w:rFonts w:ascii="微软雅黑" w:eastAsia="微软雅黑" w:hAnsi="微软雅黑" w:cs="微软雅黑" w:hint="eastAsia"/>
          <w:noProof/>
          <w:spacing w:val="7"/>
          <w:lang w:eastAsia="zh-CN"/>
        </w:rPr>
        <w:t>万吨。巴西乙醇产量将增长</w:t>
      </w:r>
      <w:r w:rsidRPr="00504EAC">
        <w:rPr>
          <w:rFonts w:ascii="微软雅黑" w:eastAsia="微软雅黑" w:hAnsi="微软雅黑" w:cs="微软雅黑"/>
          <w:noProof/>
          <w:spacing w:val="7"/>
          <w:lang w:eastAsia="zh-CN"/>
        </w:rPr>
        <w:t>11.7%</w:t>
      </w:r>
      <w:r w:rsidRPr="00504EAC">
        <w:rPr>
          <w:rFonts w:ascii="微软雅黑" w:eastAsia="微软雅黑" w:hAnsi="微软雅黑" w:cs="微软雅黑" w:hint="eastAsia"/>
          <w:noProof/>
          <w:spacing w:val="7"/>
          <w:lang w:eastAsia="zh-CN"/>
        </w:rPr>
        <w:t>至</w:t>
      </w:r>
      <w:r w:rsidRPr="00504EAC">
        <w:rPr>
          <w:rFonts w:ascii="微软雅黑" w:eastAsia="微软雅黑" w:hAnsi="微软雅黑" w:cs="微软雅黑"/>
          <w:noProof/>
          <w:spacing w:val="7"/>
          <w:lang w:eastAsia="zh-CN"/>
        </w:rPr>
        <w:t>418.8</w:t>
      </w:r>
      <w:r w:rsidRPr="00504EAC">
        <w:rPr>
          <w:rFonts w:ascii="微软雅黑" w:eastAsia="微软雅黑" w:hAnsi="微软雅黑" w:cs="微软雅黑" w:hint="eastAsia"/>
          <w:noProof/>
          <w:spacing w:val="7"/>
          <w:lang w:eastAsia="zh-CN"/>
        </w:rPr>
        <w:t>亿升。尽管巴西甘蔗收割量增加，但产糖预估减少。</w:t>
      </w:r>
    </w:p>
    <w:p w14:paraId="3F44DEBC" w14:textId="2C88E0A9" w:rsidR="00C27A84" w:rsidRDefault="00504EAC" w:rsidP="00504EAC">
      <w:pPr>
        <w:spacing w:before="103" w:line="256" w:lineRule="auto"/>
        <w:ind w:right="210" w:firstLine="448"/>
        <w:jc w:val="both"/>
        <w:rPr>
          <w:rFonts w:ascii="微软雅黑" w:eastAsia="微软雅黑" w:hAnsi="微软雅黑" w:cs="微软雅黑" w:hint="eastAsia"/>
          <w:noProof/>
          <w:spacing w:val="7"/>
          <w:lang w:eastAsia="zh-CN"/>
        </w:rPr>
      </w:pPr>
      <w:r w:rsidRPr="00504EAC">
        <w:rPr>
          <w:rFonts w:ascii="微软雅黑" w:eastAsia="微软雅黑" w:hAnsi="微软雅黑" w:cs="微软雅黑" w:hint="eastAsia"/>
          <w:noProof/>
          <w:spacing w:val="7"/>
          <w:lang w:eastAsia="zh-CN"/>
        </w:rPr>
        <w:t>美糖主力价格关注上方压力</w:t>
      </w:r>
      <w:r w:rsidRPr="00504EAC">
        <w:rPr>
          <w:rFonts w:ascii="微软雅黑" w:eastAsia="微软雅黑" w:hAnsi="微软雅黑" w:cs="微软雅黑"/>
          <w:noProof/>
          <w:spacing w:val="7"/>
          <w:lang w:eastAsia="zh-CN"/>
        </w:rPr>
        <w:t>18.2</w:t>
      </w:r>
      <w:r w:rsidRPr="00504EAC">
        <w:rPr>
          <w:rFonts w:ascii="微软雅黑" w:eastAsia="微软雅黑" w:hAnsi="微软雅黑" w:cs="微软雅黑" w:hint="eastAsia"/>
          <w:noProof/>
          <w:spacing w:val="7"/>
          <w:lang w:eastAsia="zh-CN"/>
        </w:rPr>
        <w:t>美分</w:t>
      </w:r>
      <w:r w:rsidRPr="00504EAC">
        <w:rPr>
          <w:rFonts w:ascii="微软雅黑" w:eastAsia="微软雅黑" w:hAnsi="微软雅黑" w:cs="微软雅黑"/>
          <w:noProof/>
          <w:spacing w:val="7"/>
          <w:lang w:eastAsia="zh-CN"/>
        </w:rPr>
        <w:t>/</w:t>
      </w:r>
      <w:r w:rsidRPr="00504EAC">
        <w:rPr>
          <w:rFonts w:ascii="微软雅黑" w:eastAsia="微软雅黑" w:hAnsi="微软雅黑" w:cs="微软雅黑" w:hint="eastAsia"/>
          <w:noProof/>
          <w:spacing w:val="7"/>
          <w:lang w:eastAsia="zh-CN"/>
        </w:rPr>
        <w:t>磅，下方支撑</w:t>
      </w:r>
      <w:r w:rsidRPr="00504EAC">
        <w:rPr>
          <w:rFonts w:ascii="微软雅黑" w:eastAsia="微软雅黑" w:hAnsi="微软雅黑" w:cs="微软雅黑"/>
          <w:noProof/>
          <w:spacing w:val="7"/>
          <w:lang w:eastAsia="zh-CN"/>
        </w:rPr>
        <w:t>15.6</w:t>
      </w:r>
      <w:r w:rsidRPr="00504EAC">
        <w:rPr>
          <w:rFonts w:ascii="微软雅黑" w:eastAsia="微软雅黑" w:hAnsi="微软雅黑" w:cs="微软雅黑" w:hint="eastAsia"/>
          <w:noProof/>
          <w:spacing w:val="7"/>
          <w:lang w:eastAsia="zh-CN"/>
        </w:rPr>
        <w:t>美分</w:t>
      </w:r>
      <w:r w:rsidRPr="00504EAC">
        <w:rPr>
          <w:rFonts w:ascii="微软雅黑" w:eastAsia="微软雅黑" w:hAnsi="微软雅黑" w:cs="微软雅黑"/>
          <w:noProof/>
          <w:spacing w:val="7"/>
          <w:lang w:eastAsia="zh-CN"/>
        </w:rPr>
        <w:t>/</w:t>
      </w:r>
      <w:r w:rsidRPr="00504EAC">
        <w:rPr>
          <w:rFonts w:ascii="微软雅黑" w:eastAsia="微软雅黑" w:hAnsi="微软雅黑" w:cs="微软雅黑" w:hint="eastAsia"/>
          <w:noProof/>
          <w:spacing w:val="7"/>
          <w:lang w:eastAsia="zh-CN"/>
        </w:rPr>
        <w:t>磅。建议</w:t>
      </w:r>
      <w:r w:rsidRPr="00504EAC">
        <w:rPr>
          <w:rFonts w:ascii="微软雅黑" w:eastAsia="微软雅黑" w:hAnsi="微软雅黑" w:cs="微软雅黑"/>
          <w:noProof/>
          <w:spacing w:val="7"/>
          <w:lang w:eastAsia="zh-CN"/>
        </w:rPr>
        <w:t>10</w:t>
      </w:r>
      <w:r w:rsidRPr="00504EAC">
        <w:rPr>
          <w:rFonts w:ascii="微软雅黑" w:eastAsia="微软雅黑" w:hAnsi="微软雅黑" w:cs="微软雅黑" w:hint="eastAsia"/>
          <w:noProof/>
          <w:spacing w:val="7"/>
          <w:lang w:eastAsia="zh-CN"/>
        </w:rPr>
        <w:t>月</w:t>
      </w:r>
      <w:r w:rsidRPr="00504EAC">
        <w:rPr>
          <w:rFonts w:ascii="微软雅黑" w:eastAsia="微软雅黑" w:hAnsi="微软雅黑" w:cs="微软雅黑"/>
          <w:noProof/>
          <w:spacing w:val="7"/>
          <w:lang w:eastAsia="zh-CN"/>
        </w:rPr>
        <w:t xml:space="preserve"> ICE </w:t>
      </w:r>
      <w:r w:rsidRPr="00504EAC">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6C36C860" w:rsidR="007A477E" w:rsidRPr="00786136" w:rsidRDefault="00504EAC"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5A7F6F92" wp14:editId="3FE57F54">
            <wp:extent cx="5263515" cy="2154555"/>
            <wp:effectExtent l="0" t="0" r="0" b="0"/>
            <wp:docPr id="1665690855" name="图片 5" descr="QQ截图20260825080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QQ截图202608250807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3515" cy="2154555"/>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6BA597C3" w14:textId="77777777" w:rsidR="00504EAC" w:rsidRPr="00504EAC" w:rsidRDefault="00504EAC" w:rsidP="00504EAC">
      <w:pPr>
        <w:spacing w:before="103" w:line="256" w:lineRule="auto"/>
        <w:ind w:right="210" w:firstLine="448"/>
        <w:jc w:val="both"/>
        <w:rPr>
          <w:rFonts w:ascii="微软雅黑" w:eastAsia="微软雅黑" w:hAnsi="微软雅黑" w:cs="微软雅黑"/>
          <w:noProof/>
          <w:spacing w:val="7"/>
          <w:lang w:eastAsia="zh-CN"/>
        </w:rPr>
      </w:pPr>
      <w:r w:rsidRPr="00504EAC">
        <w:rPr>
          <w:rFonts w:ascii="微软雅黑" w:eastAsia="微软雅黑" w:hAnsi="微软雅黑" w:cs="微软雅黑" w:hint="eastAsia"/>
          <w:noProof/>
          <w:spacing w:val="7"/>
          <w:lang w:eastAsia="zh-CN"/>
        </w:rPr>
        <w:lastRenderedPageBreak/>
        <w:t>洲际交易所</w:t>
      </w:r>
      <w:r w:rsidRPr="00504EAC">
        <w:rPr>
          <w:rFonts w:ascii="微软雅黑" w:eastAsia="微软雅黑" w:hAnsi="微软雅黑" w:cs="微软雅黑"/>
          <w:noProof/>
          <w:spacing w:val="7"/>
          <w:lang w:eastAsia="zh-CN"/>
        </w:rPr>
        <w:t>(ICE)</w:t>
      </w:r>
      <w:r w:rsidRPr="00504EAC">
        <w:rPr>
          <w:rFonts w:ascii="微软雅黑" w:eastAsia="微软雅黑" w:hAnsi="微软雅黑" w:cs="微软雅黑" w:hint="eastAsia"/>
          <w:noProof/>
          <w:spacing w:val="7"/>
          <w:lang w:eastAsia="zh-CN"/>
        </w:rPr>
        <w:t>棉花期货周一上涨，因天气恶劣及近年来最强厄尔尼诺事件之一导致的作物状况恶化，支撑价格维持高位，</w:t>
      </w:r>
      <w:r w:rsidRPr="00504EAC">
        <w:rPr>
          <w:rFonts w:ascii="微软雅黑" w:eastAsia="微软雅黑" w:hAnsi="微软雅黑" w:cs="微软雅黑"/>
          <w:noProof/>
          <w:spacing w:val="7"/>
          <w:lang w:eastAsia="zh-CN"/>
        </w:rPr>
        <w:t>ICE 12</w:t>
      </w:r>
      <w:r w:rsidRPr="00504EAC">
        <w:rPr>
          <w:rFonts w:ascii="微软雅黑" w:eastAsia="微软雅黑" w:hAnsi="微软雅黑" w:cs="微软雅黑" w:hint="eastAsia"/>
          <w:noProof/>
          <w:spacing w:val="7"/>
          <w:lang w:eastAsia="zh-CN"/>
        </w:rPr>
        <w:t>月棉花期货合约上涨</w:t>
      </w:r>
      <w:r w:rsidRPr="00504EAC">
        <w:rPr>
          <w:rFonts w:ascii="微软雅黑" w:eastAsia="微软雅黑" w:hAnsi="微软雅黑" w:cs="微软雅黑"/>
          <w:noProof/>
          <w:spacing w:val="7"/>
          <w:lang w:eastAsia="zh-CN"/>
        </w:rPr>
        <w:t>0.48</w:t>
      </w:r>
      <w:r w:rsidRPr="00504EAC">
        <w:rPr>
          <w:rFonts w:ascii="微软雅黑" w:eastAsia="微软雅黑" w:hAnsi="微软雅黑" w:cs="微软雅黑" w:hint="eastAsia"/>
          <w:noProof/>
          <w:spacing w:val="7"/>
          <w:lang w:eastAsia="zh-CN"/>
        </w:rPr>
        <w:t>美分或</w:t>
      </w:r>
      <w:r w:rsidRPr="00504EAC">
        <w:rPr>
          <w:rFonts w:ascii="微软雅黑" w:eastAsia="微软雅黑" w:hAnsi="微软雅黑" w:cs="微软雅黑"/>
          <w:noProof/>
          <w:spacing w:val="7"/>
          <w:lang w:eastAsia="zh-CN"/>
        </w:rPr>
        <w:t>0.54%</w:t>
      </w:r>
      <w:r w:rsidRPr="00504EAC">
        <w:rPr>
          <w:rFonts w:ascii="微软雅黑" w:eastAsia="微软雅黑" w:hAnsi="微软雅黑" w:cs="微软雅黑" w:hint="eastAsia"/>
          <w:noProof/>
          <w:spacing w:val="7"/>
          <w:lang w:eastAsia="zh-CN"/>
        </w:rPr>
        <w:t>，结算价报每磅</w:t>
      </w:r>
      <w:r w:rsidRPr="00504EAC">
        <w:rPr>
          <w:rFonts w:ascii="微软雅黑" w:eastAsia="微软雅黑" w:hAnsi="微软雅黑" w:cs="微软雅黑"/>
          <w:noProof/>
          <w:spacing w:val="7"/>
          <w:lang w:eastAsia="zh-CN"/>
        </w:rPr>
        <w:t>88.83</w:t>
      </w:r>
      <w:r w:rsidRPr="00504EAC">
        <w:rPr>
          <w:rFonts w:ascii="微软雅黑" w:eastAsia="微软雅黑" w:hAnsi="微软雅黑" w:cs="微软雅黑" w:hint="eastAsia"/>
          <w:noProof/>
          <w:spacing w:val="7"/>
          <w:lang w:eastAsia="zh-CN"/>
        </w:rPr>
        <w:t>美分。</w:t>
      </w:r>
    </w:p>
    <w:p w14:paraId="0DE264A7" w14:textId="4ABC147E" w:rsidR="00ED4A18" w:rsidRDefault="00504EAC" w:rsidP="00504EAC">
      <w:pPr>
        <w:spacing w:before="103" w:line="256" w:lineRule="auto"/>
        <w:ind w:right="210" w:firstLine="448"/>
        <w:jc w:val="both"/>
        <w:rPr>
          <w:rFonts w:ascii="微软雅黑" w:eastAsia="微软雅黑" w:hAnsi="微软雅黑" w:cs="微软雅黑" w:hint="eastAsia"/>
          <w:noProof/>
          <w:spacing w:val="7"/>
          <w:lang w:eastAsia="zh-CN"/>
        </w:rPr>
      </w:pPr>
      <w:r w:rsidRPr="00504EAC">
        <w:rPr>
          <w:rFonts w:ascii="微软雅黑" w:eastAsia="微软雅黑" w:hAnsi="微软雅黑" w:cs="微软雅黑" w:hint="eastAsia"/>
          <w:noProof/>
          <w:spacing w:val="7"/>
          <w:lang w:eastAsia="zh-CN"/>
        </w:rPr>
        <w:t>国际方面，据美国农业部</w:t>
      </w:r>
      <w:r w:rsidRPr="00504EAC">
        <w:rPr>
          <w:rFonts w:ascii="微软雅黑" w:eastAsia="微软雅黑" w:hAnsi="微软雅黑" w:cs="微软雅黑"/>
          <w:noProof/>
          <w:spacing w:val="7"/>
          <w:lang w:eastAsia="zh-CN"/>
        </w:rPr>
        <w:t>(USDA)</w:t>
      </w:r>
      <w:r w:rsidRPr="00504EAC">
        <w:rPr>
          <w:rFonts w:ascii="微软雅黑" w:eastAsia="微软雅黑" w:hAnsi="微软雅黑" w:cs="微软雅黑" w:hint="eastAsia"/>
          <w:noProof/>
          <w:spacing w:val="7"/>
          <w:lang w:eastAsia="zh-CN"/>
        </w:rPr>
        <w:t>报告显示，</w:t>
      </w:r>
      <w:r w:rsidRPr="00504EAC">
        <w:rPr>
          <w:rFonts w:ascii="微软雅黑" w:eastAsia="微软雅黑" w:hAnsi="微软雅黑" w:cs="微软雅黑"/>
          <w:noProof/>
          <w:spacing w:val="7"/>
          <w:lang w:eastAsia="zh-CN"/>
        </w:rPr>
        <w:t>8</w:t>
      </w:r>
      <w:r w:rsidRPr="00504EAC">
        <w:rPr>
          <w:rFonts w:ascii="微软雅黑" w:eastAsia="微软雅黑" w:hAnsi="微软雅黑" w:cs="微软雅黑" w:hint="eastAsia"/>
          <w:noProof/>
          <w:spacing w:val="7"/>
          <w:lang w:eastAsia="zh-CN"/>
        </w:rPr>
        <w:t>月</w:t>
      </w:r>
      <w:r w:rsidRPr="00504EAC">
        <w:rPr>
          <w:rFonts w:ascii="微软雅黑" w:eastAsia="微软雅黑" w:hAnsi="微软雅黑" w:cs="微软雅黑"/>
          <w:noProof/>
          <w:spacing w:val="7"/>
          <w:lang w:eastAsia="zh-CN"/>
        </w:rPr>
        <w:t>13</w:t>
      </w:r>
      <w:r w:rsidRPr="00504EAC">
        <w:rPr>
          <w:rFonts w:ascii="微软雅黑" w:eastAsia="微软雅黑" w:hAnsi="微软雅黑" w:cs="微软雅黑" w:hint="eastAsia"/>
          <w:noProof/>
          <w:spacing w:val="7"/>
          <w:lang w:eastAsia="zh-CN"/>
        </w:rPr>
        <w:t>日止当周，美国</w:t>
      </w:r>
      <w:r w:rsidRPr="00504EAC">
        <w:rPr>
          <w:rFonts w:ascii="微软雅黑" w:eastAsia="微软雅黑" w:hAnsi="微软雅黑" w:cs="微软雅黑"/>
          <w:noProof/>
          <w:spacing w:val="7"/>
          <w:lang w:eastAsia="zh-CN"/>
        </w:rPr>
        <w:t>2026/27</w:t>
      </w:r>
      <w:r w:rsidRPr="00504EAC">
        <w:rPr>
          <w:rFonts w:ascii="微软雅黑" w:eastAsia="微软雅黑" w:hAnsi="微软雅黑" w:cs="微软雅黑" w:hint="eastAsia"/>
          <w:noProof/>
          <w:spacing w:val="7"/>
          <w:lang w:eastAsia="zh-CN"/>
        </w:rPr>
        <w:t>年度（</w:t>
      </w:r>
      <w:r w:rsidRPr="00504EAC">
        <w:rPr>
          <w:rFonts w:ascii="微软雅黑" w:eastAsia="微软雅黑" w:hAnsi="微软雅黑" w:cs="微软雅黑"/>
          <w:noProof/>
          <w:spacing w:val="7"/>
          <w:lang w:eastAsia="zh-CN"/>
        </w:rPr>
        <w:t>8</w:t>
      </w:r>
      <w:r w:rsidRPr="00504EAC">
        <w:rPr>
          <w:rFonts w:ascii="微软雅黑" w:eastAsia="微软雅黑" w:hAnsi="微软雅黑" w:cs="微软雅黑" w:hint="eastAsia"/>
          <w:noProof/>
          <w:spacing w:val="7"/>
          <w:lang w:eastAsia="zh-CN"/>
        </w:rPr>
        <w:t>月</w:t>
      </w:r>
      <w:r w:rsidRPr="00504EAC">
        <w:rPr>
          <w:rFonts w:ascii="微软雅黑" w:eastAsia="微软雅黑" w:hAnsi="微软雅黑" w:cs="微软雅黑"/>
          <w:noProof/>
          <w:spacing w:val="7"/>
          <w:lang w:eastAsia="zh-CN"/>
        </w:rPr>
        <w:t>1</w:t>
      </w:r>
      <w:r w:rsidRPr="00504EAC">
        <w:rPr>
          <w:rFonts w:ascii="微软雅黑" w:eastAsia="微软雅黑" w:hAnsi="微软雅黑" w:cs="微软雅黑" w:hint="eastAsia"/>
          <w:noProof/>
          <w:spacing w:val="7"/>
          <w:lang w:eastAsia="zh-CN"/>
        </w:rPr>
        <w:t>日开始）陆地棉出口销售净增</w:t>
      </w:r>
      <w:r w:rsidRPr="00504EAC">
        <w:rPr>
          <w:rFonts w:ascii="微软雅黑" w:eastAsia="微软雅黑" w:hAnsi="微软雅黑" w:cs="微软雅黑"/>
          <w:noProof/>
          <w:spacing w:val="7"/>
          <w:lang w:eastAsia="zh-CN"/>
        </w:rPr>
        <w:t>20.936</w:t>
      </w:r>
      <w:r w:rsidRPr="00504EAC">
        <w:rPr>
          <w:rFonts w:ascii="微软雅黑" w:eastAsia="微软雅黑" w:hAnsi="微软雅黑" w:cs="微软雅黑" w:hint="eastAsia"/>
          <w:noProof/>
          <w:spacing w:val="7"/>
          <w:lang w:eastAsia="zh-CN"/>
        </w:rPr>
        <w:t>万包，当周美国市场出口装船</w:t>
      </w:r>
      <w:r w:rsidRPr="00504EAC">
        <w:rPr>
          <w:rFonts w:ascii="微软雅黑" w:eastAsia="微软雅黑" w:hAnsi="微软雅黑" w:cs="微软雅黑"/>
          <w:noProof/>
          <w:spacing w:val="7"/>
          <w:lang w:eastAsia="zh-CN"/>
        </w:rPr>
        <w:t>222046</w:t>
      </w:r>
      <w:r w:rsidRPr="00504EAC">
        <w:rPr>
          <w:rFonts w:ascii="微软雅黑" w:eastAsia="微软雅黑" w:hAnsi="微软雅黑" w:cs="微软雅黑" w:hint="eastAsia"/>
          <w:noProof/>
          <w:spacing w:val="7"/>
          <w:lang w:eastAsia="zh-CN"/>
        </w:rPr>
        <w:t>包，出口销售报告凸显需求可观</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0113FBAB" w:rsidR="00C24CC6" w:rsidRDefault="00504EAC"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4082F542" wp14:editId="19933859">
            <wp:extent cx="5271770" cy="2162810"/>
            <wp:effectExtent l="0" t="0" r="5080" b="8890"/>
            <wp:docPr id="379011218" name="图片 6" descr="QQ截图20260825080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QQ截图202608250807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1770" cy="216281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lastRenderedPageBreak/>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E9A88" w14:textId="77777777" w:rsidR="00E10A59" w:rsidRDefault="00E10A59">
      <w:pPr>
        <w:ind w:right="210" w:firstLine="420"/>
      </w:pPr>
      <w:r>
        <w:separator/>
      </w:r>
    </w:p>
  </w:endnote>
  <w:endnote w:type="continuationSeparator" w:id="0">
    <w:p w14:paraId="0B1A85BA" w14:textId="77777777" w:rsidR="00E10A59" w:rsidRDefault="00E10A59">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DFD41" w14:textId="77777777" w:rsidR="00E10A59" w:rsidRDefault="00E10A59">
      <w:pPr>
        <w:ind w:right="210" w:firstLine="420"/>
      </w:pPr>
      <w:r>
        <w:separator/>
      </w:r>
    </w:p>
  </w:footnote>
  <w:footnote w:type="continuationSeparator" w:id="0">
    <w:p w14:paraId="53E448F7" w14:textId="77777777" w:rsidR="00E10A59" w:rsidRDefault="00E10A59">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111250318"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3073"/>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1F96"/>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781"/>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4EAC"/>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2BF9"/>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3F"/>
    <w:rsid w:val="008813CF"/>
    <w:rsid w:val="0088229B"/>
    <w:rsid w:val="00882A0E"/>
    <w:rsid w:val="008837C6"/>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D7AF1"/>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2895"/>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6F24"/>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6AC"/>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0A59"/>
    <w:rsid w:val="00E129AF"/>
    <w:rsid w:val="00E1325C"/>
    <w:rsid w:val="00E13F32"/>
    <w:rsid w:val="00E15363"/>
    <w:rsid w:val="00E15A36"/>
    <w:rsid w:val="00E16FE2"/>
    <w:rsid w:val="00E2030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0D22"/>
    <w:rsid w:val="00E53526"/>
    <w:rsid w:val="00E540C4"/>
    <w:rsid w:val="00E54357"/>
    <w:rsid w:val="00E557EA"/>
    <w:rsid w:val="00E55D02"/>
    <w:rsid w:val="00E56235"/>
    <w:rsid w:val="00E57530"/>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30F9"/>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750</Words>
  <Characters>4276</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2026-08-25T01:58:00Z</dcterms:created>
  <dcterms:modified xsi:type="dcterms:W3CDTF">2026-08-25T01:58:00Z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