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04F91EFC"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2E2592">
        <w:rPr>
          <w:rFonts w:ascii="微软雅黑" w:eastAsia="微软雅黑" w:hAnsi="微软雅黑" w:cs="微软雅黑" w:hint="eastAsia"/>
          <w:b/>
          <w:bCs/>
          <w:color w:val="005D97"/>
          <w:spacing w:val="-22"/>
          <w:sz w:val="48"/>
          <w:szCs w:val="48"/>
          <w:lang w:eastAsia="zh-CN"/>
        </w:rPr>
        <w:t>10</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16069AE5" w:rsidR="007B3E0B" w:rsidRDefault="002E2592"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2E2592">
        <w:rPr>
          <w:rFonts w:ascii="微软雅黑" w:eastAsia="微软雅黑" w:hAnsi="微软雅黑" w:cs="微软雅黑"/>
          <w:spacing w:val="12"/>
          <w:lang w:eastAsia="zh-CN"/>
        </w:rPr>
        <w:t>美国三大股指全线收跌，道指跌0.77%报52380.66点，标普500指数跌0.48%报7636.36点，纳指跌0.64%报26253.34点。</w:t>
      </w:r>
      <w:r w:rsidR="00E742AA" w:rsidRPr="00E742AA">
        <w:rPr>
          <w:rFonts w:ascii="微软雅黑" w:eastAsia="微软雅黑" w:hAnsi="微软雅黑" w:cs="微软雅黑"/>
          <w:spacing w:val="12"/>
          <w:lang w:eastAsia="zh-CN"/>
        </w:rPr>
        <w:t>纽约尾盘，</w:t>
      </w:r>
      <w:r w:rsidRPr="002E2592">
        <w:rPr>
          <w:rFonts w:ascii="微软雅黑" w:eastAsia="微软雅黑" w:hAnsi="微软雅黑" w:cs="微软雅黑"/>
          <w:spacing w:val="12"/>
          <w:lang w:eastAsia="zh-CN"/>
        </w:rPr>
        <w:t>美元指数跌0.08%报98.79，非美货币多数上涨，欧元兑美元涨0.09%报1.1633，英镑兑美元涨0.05%报1.3547，澳元兑美元涨0.02%报0.7218，美元兑日元跌0.29%报153.5565，美元兑加元涨0.16%报1.3806，美元兑瑞郎涨0.07%报0.8102，离岸人民币对美元涨3个基点报6.7065。</w:t>
      </w:r>
      <w:r w:rsidR="00E742AA" w:rsidRPr="00E742AA">
        <w:rPr>
          <w:rFonts w:ascii="微软雅黑" w:eastAsia="微软雅黑" w:hAnsi="微软雅黑" w:cs="微软雅黑"/>
          <w:spacing w:val="12"/>
          <w:lang w:eastAsia="zh-CN"/>
        </w:rPr>
        <w:t>国际贵金属期货收涨，COMEX黄金期货涨1.07%报4447.20美元/盎司，COMEX白银期货涨2.34%报67.925美元/盎司。</w:t>
      </w:r>
      <w:r w:rsidR="00425C42" w:rsidRPr="00425C42">
        <w:rPr>
          <w:rFonts w:ascii="微软雅黑" w:eastAsia="微软雅黑" w:hAnsi="微软雅黑" w:cs="微软雅黑"/>
          <w:spacing w:val="12"/>
          <w:lang w:eastAsia="zh-CN"/>
        </w:rPr>
        <w:t>ICE原糖主力合约</w:t>
      </w:r>
      <w:r w:rsidR="00425C42">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1.36</w:t>
      </w:r>
      <w:r w:rsidR="00425C42" w:rsidRPr="00425C42">
        <w:rPr>
          <w:rFonts w:ascii="微软雅黑" w:eastAsia="微软雅黑" w:hAnsi="微软雅黑" w:cs="微软雅黑"/>
          <w:spacing w:val="12"/>
          <w:lang w:eastAsia="zh-CN"/>
        </w:rPr>
        <w:t>%报</w:t>
      </w:r>
      <w:r>
        <w:rPr>
          <w:rFonts w:ascii="微软雅黑" w:eastAsia="微软雅黑" w:hAnsi="微软雅黑" w:cs="微软雅黑" w:hint="eastAsia"/>
          <w:spacing w:val="12"/>
          <w:lang w:eastAsia="zh-CN"/>
        </w:rPr>
        <w:t>19.35</w:t>
      </w:r>
      <w:r w:rsidR="00425C42" w:rsidRPr="00425C42">
        <w:rPr>
          <w:rFonts w:ascii="微软雅黑" w:eastAsia="微软雅黑" w:hAnsi="微软雅黑" w:cs="微软雅黑"/>
          <w:spacing w:val="12"/>
          <w:lang w:eastAsia="zh-CN"/>
        </w:rPr>
        <w:t>美分/磅，ICE棉花主力合约</w:t>
      </w:r>
      <w:r w:rsidR="00425C42">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1.26</w:t>
      </w:r>
      <w:r w:rsidR="00425C42" w:rsidRPr="00425C42">
        <w:rPr>
          <w:rFonts w:ascii="微软雅黑" w:eastAsia="微软雅黑" w:hAnsi="微软雅黑" w:cs="微软雅黑"/>
          <w:spacing w:val="12"/>
          <w:lang w:eastAsia="zh-CN"/>
        </w:rPr>
        <w:t>%报8</w:t>
      </w:r>
      <w:r>
        <w:rPr>
          <w:rFonts w:ascii="微软雅黑" w:eastAsia="微软雅黑" w:hAnsi="微软雅黑" w:cs="微软雅黑" w:hint="eastAsia"/>
          <w:spacing w:val="12"/>
          <w:lang w:eastAsia="zh-CN"/>
        </w:rPr>
        <w:t>7.41</w:t>
      </w:r>
      <w:r w:rsidR="00425C42" w:rsidRPr="00425C42">
        <w:rPr>
          <w:rFonts w:ascii="微软雅黑" w:eastAsia="微软雅黑" w:hAnsi="微软雅黑" w:cs="微软雅黑"/>
          <w:spacing w:val="12"/>
          <w:lang w:eastAsia="zh-CN"/>
        </w:rPr>
        <w:t>美分/磅</w:t>
      </w:r>
      <w:r w:rsidR="00425C42">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561B8381" w:rsidR="00557736" w:rsidRPr="0022448B" w:rsidRDefault="002E2592"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01FE01F5" wp14:editId="279FD602">
            <wp:extent cx="5941843" cy="3919915"/>
            <wp:effectExtent l="0" t="0" r="1905" b="4445"/>
            <wp:docPr id="1368630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420" cy="3920955"/>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20C6FC24" w:rsidR="002E37FC" w:rsidRPr="002E2592"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2E2592" w:rsidRPr="002E2592">
        <w:rPr>
          <w:rFonts w:ascii="微软雅黑" w:eastAsia="微软雅黑" w:hAnsi="微软雅黑" w:cs="微软雅黑"/>
          <w:color w:val="auto"/>
          <w:spacing w:val="4"/>
          <w:lang w:eastAsia="zh-CN"/>
        </w:rPr>
        <w:t>美伊互袭进一步升级。在美军宣布摧毁5艘伊朗油轮后，伊朗伊斯兰革命卫队宣布打击位于约旦的美军基地，并对两艘美国军舰、8艘油轮以及10艘违规船只实施打击。伊朗还宣布将设立新的海上“制裁区域”，并公布停战条件，包括完全停止军事行动并放弃再次威胁、解冻伊朗被冻结的244亿美元资产、停止干涉伊朗的核能力与导弹研发计划等。</w:t>
      </w:r>
      <w:r w:rsidRPr="002E2592">
        <w:rPr>
          <w:rFonts w:ascii="微软雅黑" w:eastAsia="微软雅黑" w:hAnsi="微软雅黑" w:cs="微软雅黑" w:hint="eastAsia"/>
          <w:color w:val="auto"/>
          <w:spacing w:val="4"/>
          <w:lang w:eastAsia="zh-CN"/>
        </w:rPr>
        <w:t>】</w:t>
      </w:r>
    </w:p>
    <w:p w14:paraId="32E97BC2" w14:textId="27F1CB97" w:rsidR="00E20302" w:rsidRPr="002E2592"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E2592">
        <w:rPr>
          <w:rFonts w:ascii="微软雅黑" w:eastAsia="微软雅黑" w:hAnsi="微软雅黑" w:cs="微软雅黑" w:hint="eastAsia"/>
          <w:color w:val="auto"/>
          <w:spacing w:val="4"/>
          <w:lang w:eastAsia="zh-CN"/>
        </w:rPr>
        <w:t>【</w:t>
      </w:r>
      <w:r w:rsidR="002E2592" w:rsidRPr="002E2592">
        <w:rPr>
          <w:rFonts w:ascii="微软雅黑" w:eastAsia="微软雅黑" w:hAnsi="微软雅黑" w:cs="微软雅黑"/>
          <w:color w:val="auto"/>
          <w:spacing w:val="4"/>
          <w:lang w:eastAsia="zh-CN"/>
        </w:rPr>
        <w:t>美国总统特朗普表示，与俄罗斯总统普京进行了很好的交谈，可能会举行双边会晤。中期选举一结束，伊朗战事将立即终结。一旦战事结束，油价将急剧下跌。</w:t>
      </w:r>
      <w:r w:rsidRPr="002E2592">
        <w:rPr>
          <w:rFonts w:ascii="微软雅黑" w:eastAsia="微软雅黑" w:hAnsi="微软雅黑" w:cs="微软雅黑" w:hint="eastAsia"/>
          <w:color w:val="auto"/>
          <w:spacing w:val="4"/>
          <w:lang w:eastAsia="zh-CN"/>
        </w:rPr>
        <w:t>】</w:t>
      </w:r>
    </w:p>
    <w:p w14:paraId="7676A4DD" w14:textId="2197120E" w:rsidR="00E20302" w:rsidRPr="002E2592"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E2592">
        <w:rPr>
          <w:rFonts w:ascii="微软雅黑" w:eastAsia="微软雅黑" w:hAnsi="微软雅黑" w:cs="微软雅黑" w:hint="eastAsia"/>
          <w:color w:val="auto"/>
          <w:spacing w:val="4"/>
          <w:lang w:eastAsia="zh-CN"/>
        </w:rPr>
        <w:lastRenderedPageBreak/>
        <w:t>【</w:t>
      </w:r>
      <w:r w:rsidR="002E2592" w:rsidRPr="002E2592">
        <w:rPr>
          <w:rFonts w:ascii="微软雅黑" w:eastAsia="微软雅黑" w:hAnsi="微软雅黑" w:cs="微软雅黑"/>
          <w:color w:val="auto"/>
          <w:spacing w:val="4"/>
          <w:lang w:eastAsia="zh-CN"/>
        </w:rPr>
        <w:t>美国财政部将于周四回购至多60亿美元长期国债，是此前3倍，但仍低于部分机构的预期。消息公布后，美债收益率进一步走高，10年、20年、30期美债收益率均一度升超6个基点。“新债王”冈拉克警告称，如果美联储下周按兵不动，可能会推动长期美债收益率进一步攀升，并加剧债市抛售。</w:t>
      </w:r>
      <w:r w:rsidRPr="002E2592">
        <w:rPr>
          <w:rFonts w:ascii="微软雅黑" w:eastAsia="微软雅黑" w:hAnsi="微软雅黑" w:cs="微软雅黑" w:hint="eastAsia"/>
          <w:color w:val="auto"/>
          <w:spacing w:val="4"/>
          <w:lang w:eastAsia="zh-CN"/>
        </w:rPr>
        <w:t>】</w:t>
      </w:r>
    </w:p>
    <w:p w14:paraId="6ECB3648" w14:textId="7D5313BF" w:rsidR="00292AD2" w:rsidRPr="002018F3"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E2592">
        <w:rPr>
          <w:rFonts w:ascii="微软雅黑" w:eastAsia="微软雅黑" w:hAnsi="微软雅黑" w:cs="微软雅黑" w:hint="eastAsia"/>
          <w:color w:val="auto"/>
          <w:spacing w:val="4"/>
          <w:lang w:eastAsia="zh-CN"/>
        </w:rPr>
        <w:t>【</w:t>
      </w:r>
      <w:r w:rsidR="002E2592" w:rsidRPr="002E2592">
        <w:rPr>
          <w:rFonts w:ascii="微软雅黑" w:eastAsia="微软雅黑" w:hAnsi="微软雅黑" w:cs="微软雅黑"/>
          <w:color w:val="auto"/>
          <w:spacing w:val="4"/>
          <w:lang w:eastAsia="zh-CN"/>
        </w:rPr>
        <w:t>至少三分之一的美联储官员表示，他们会考虑减少开会频率来设定利率，这为沃什作为新任主席提出的最大结构性变革之一提供了早期机会。克利夫兰联储主席哈马克、堪萨斯城联储主席施密德和费城联储主席保尔森均在近期表示愿意减少利率决议会议次数。</w:t>
      </w:r>
      <w:r w:rsidRPr="002018F3">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984"/>
        <w:gridCol w:w="1418"/>
        <w:gridCol w:w="5957"/>
      </w:tblGrid>
      <w:tr w:rsidR="002E2592" w:rsidRPr="008D0ACF" w14:paraId="2120A809" w14:textId="77777777" w:rsidTr="002E2592">
        <w:trPr>
          <w:trHeight w:val="620"/>
        </w:trPr>
        <w:tc>
          <w:tcPr>
            <w:tcW w:w="1984" w:type="dxa"/>
          </w:tcPr>
          <w:bookmarkEnd w:id="0"/>
          <w:p w14:paraId="5AEE1463" w14:textId="15EE7714" w:rsidR="002E2592" w:rsidRPr="00C427B8"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2026/9/10</w:t>
            </w:r>
          </w:p>
        </w:tc>
        <w:tc>
          <w:tcPr>
            <w:tcW w:w="1418" w:type="dxa"/>
          </w:tcPr>
          <w:p w14:paraId="7A911059" w14:textId="54B782E3" w:rsidR="002E2592"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20:15</w:t>
            </w:r>
          </w:p>
        </w:tc>
        <w:tc>
          <w:tcPr>
            <w:tcW w:w="5957" w:type="dxa"/>
          </w:tcPr>
          <w:p w14:paraId="2A2D263C" w14:textId="2956C12B" w:rsidR="002E2592" w:rsidRPr="005C0045"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欧洲央行利率决议</w:t>
            </w:r>
          </w:p>
        </w:tc>
      </w:tr>
      <w:tr w:rsidR="002E2592" w:rsidRPr="008D0ACF" w14:paraId="6CB27548" w14:textId="77777777" w:rsidTr="002E2592">
        <w:trPr>
          <w:trHeight w:val="620"/>
        </w:trPr>
        <w:tc>
          <w:tcPr>
            <w:tcW w:w="1984" w:type="dxa"/>
            <w:shd w:val="clear" w:color="auto" w:fill="DAE3F4" w:themeFill="accent1" w:themeFillTint="33"/>
          </w:tcPr>
          <w:p w14:paraId="06D90DF4" w14:textId="54C3D3A8" w:rsidR="002E2592" w:rsidRPr="00A47960"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2026/9/10</w:t>
            </w:r>
          </w:p>
        </w:tc>
        <w:tc>
          <w:tcPr>
            <w:tcW w:w="1418" w:type="dxa"/>
            <w:shd w:val="clear" w:color="auto" w:fill="DAE3F4" w:themeFill="accent1" w:themeFillTint="33"/>
          </w:tcPr>
          <w:p w14:paraId="4FF8F240" w14:textId="2029892E" w:rsidR="002E2592" w:rsidRPr="00A47960"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20:30</w:t>
            </w:r>
          </w:p>
        </w:tc>
        <w:tc>
          <w:tcPr>
            <w:tcW w:w="5957" w:type="dxa"/>
            <w:shd w:val="clear" w:color="auto" w:fill="DAE3F4" w:themeFill="accent1" w:themeFillTint="33"/>
          </w:tcPr>
          <w:p w14:paraId="1C726C53" w14:textId="672D150C" w:rsidR="002E2592" w:rsidRPr="007B4F11"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美国 8 月 PPI 年率和月率</w:t>
            </w:r>
          </w:p>
        </w:tc>
      </w:tr>
      <w:tr w:rsidR="002E2592" w:rsidRPr="008D0ACF" w14:paraId="3E2CDFE7" w14:textId="77777777" w:rsidTr="002E2592">
        <w:trPr>
          <w:trHeight w:val="620"/>
        </w:trPr>
        <w:tc>
          <w:tcPr>
            <w:tcW w:w="1984" w:type="dxa"/>
          </w:tcPr>
          <w:p w14:paraId="70D1AE03" w14:textId="2E46E932" w:rsidR="002E2592" w:rsidRPr="00900B4E"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2026/9/10</w:t>
            </w:r>
          </w:p>
        </w:tc>
        <w:tc>
          <w:tcPr>
            <w:tcW w:w="1418" w:type="dxa"/>
          </w:tcPr>
          <w:p w14:paraId="370DAA91" w14:textId="009FB145" w:rsidR="002E2592" w:rsidRPr="00292AD2"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20:30</w:t>
            </w:r>
          </w:p>
        </w:tc>
        <w:tc>
          <w:tcPr>
            <w:tcW w:w="5957" w:type="dxa"/>
          </w:tcPr>
          <w:p w14:paraId="225551B9" w14:textId="524A0C55" w:rsidR="002E2592" w:rsidRPr="00900B4E" w:rsidRDefault="002E2592" w:rsidP="002E259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E2592">
              <w:rPr>
                <w:rFonts w:ascii="微软雅黑" w:eastAsia="微软雅黑" w:hAnsi="微软雅黑" w:cs="微软雅黑"/>
                <w:b/>
                <w:bCs/>
                <w:spacing w:val="3"/>
                <w:sz w:val="19"/>
                <w:szCs w:val="19"/>
                <w:lang w:eastAsia="zh-CN"/>
              </w:rPr>
              <w:t>美国至 9 月 5 日当周初请失业金人数（万人</w:t>
            </w:r>
            <w:r w:rsidRPr="00425C42">
              <w:rPr>
                <w:rFonts w:ascii="微软雅黑" w:eastAsia="微软雅黑" w:hAnsi="微软雅黑" w:cs="微软雅黑"/>
                <w:b/>
                <w:bCs/>
                <w:spacing w:val="3"/>
                <w:sz w:val="19"/>
                <w:szCs w:val="19"/>
                <w:lang w:eastAsia="zh-CN"/>
              </w:rPr>
              <w:t>）</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659477A6" w14:textId="77777777" w:rsidR="002E2592" w:rsidRPr="002E2592" w:rsidRDefault="002E2592" w:rsidP="002E2592">
      <w:pPr>
        <w:spacing w:before="103" w:line="256" w:lineRule="auto"/>
        <w:ind w:right="210" w:firstLineChars="200" w:firstLine="448"/>
        <w:rPr>
          <w:rFonts w:ascii="微软雅黑" w:eastAsia="微软雅黑" w:hAnsi="微软雅黑" w:cs="微软雅黑"/>
          <w:spacing w:val="7"/>
          <w:lang w:eastAsia="zh-CN"/>
        </w:rPr>
      </w:pPr>
      <w:r w:rsidRPr="002E2592">
        <w:rPr>
          <w:rFonts w:ascii="微软雅黑" w:eastAsia="微软雅黑" w:hAnsi="微软雅黑" w:cs="微软雅黑" w:hint="eastAsia"/>
          <w:spacing w:val="7"/>
          <w:lang w:eastAsia="zh-CN"/>
        </w:rPr>
        <w:t>美国</w:t>
      </w:r>
      <w:r w:rsidRPr="002E2592">
        <w:rPr>
          <w:rFonts w:ascii="微软雅黑" w:eastAsia="微软雅黑" w:hAnsi="微软雅黑" w:cs="微软雅黑"/>
          <w:spacing w:val="7"/>
          <w:lang w:eastAsia="zh-CN"/>
        </w:rPr>
        <w:t>8</w:t>
      </w:r>
      <w:r w:rsidRPr="002E2592">
        <w:rPr>
          <w:rFonts w:ascii="微软雅黑" w:eastAsia="微软雅黑" w:hAnsi="微软雅黑" w:cs="微软雅黑" w:hint="eastAsia"/>
          <w:spacing w:val="7"/>
          <w:lang w:eastAsia="zh-CN"/>
        </w:rPr>
        <w:t>月非农新增大幅高于市场预期，失业率与上月同期持平，但主要源于劳动参与率下滑。本轮就业增长集中于餐饮及政府教育等相对低薪服务业拉动，而信息技术行业就业则出现下滑，内部结构裂痕显著。当前市场对</w:t>
      </w:r>
      <w:r w:rsidRPr="002E2592">
        <w:rPr>
          <w:rFonts w:ascii="微软雅黑" w:eastAsia="微软雅黑" w:hAnsi="微软雅黑" w:cs="微软雅黑"/>
          <w:spacing w:val="7"/>
          <w:lang w:eastAsia="zh-CN"/>
        </w:rPr>
        <w:t>9</w:t>
      </w:r>
      <w:r w:rsidRPr="002E2592">
        <w:rPr>
          <w:rFonts w:ascii="微软雅黑" w:eastAsia="微软雅黑" w:hAnsi="微软雅黑" w:cs="微软雅黑" w:hint="eastAsia"/>
          <w:spacing w:val="7"/>
          <w:lang w:eastAsia="zh-CN"/>
        </w:rPr>
        <w:t>月加息的押注有所升温，据</w:t>
      </w:r>
      <w:r w:rsidRPr="002E2592">
        <w:rPr>
          <w:rFonts w:ascii="微软雅黑" w:eastAsia="微软雅黑" w:hAnsi="微软雅黑" w:cs="微软雅黑"/>
          <w:spacing w:val="7"/>
          <w:lang w:eastAsia="zh-CN"/>
        </w:rPr>
        <w:t>CME“</w:t>
      </w:r>
      <w:r w:rsidRPr="002E2592">
        <w:rPr>
          <w:rFonts w:ascii="微软雅黑" w:eastAsia="微软雅黑" w:hAnsi="微软雅黑" w:cs="微软雅黑" w:hint="eastAsia"/>
          <w:spacing w:val="7"/>
          <w:lang w:eastAsia="zh-CN"/>
        </w:rPr>
        <w:t>美联储观察”，美联储到</w:t>
      </w:r>
      <w:r w:rsidRPr="002E2592">
        <w:rPr>
          <w:rFonts w:ascii="微软雅黑" w:eastAsia="微软雅黑" w:hAnsi="微软雅黑" w:cs="微软雅黑"/>
          <w:spacing w:val="7"/>
          <w:lang w:eastAsia="zh-CN"/>
        </w:rPr>
        <w:t>9</w:t>
      </w:r>
      <w:r w:rsidRPr="002E2592">
        <w:rPr>
          <w:rFonts w:ascii="微软雅黑" w:eastAsia="微软雅黑" w:hAnsi="微软雅黑" w:cs="微软雅黑" w:hint="eastAsia"/>
          <w:spacing w:val="7"/>
          <w:lang w:eastAsia="zh-CN"/>
        </w:rPr>
        <w:t>月累计加息</w:t>
      </w:r>
      <w:r w:rsidRPr="002E2592">
        <w:rPr>
          <w:rFonts w:ascii="微软雅黑" w:eastAsia="微软雅黑" w:hAnsi="微软雅黑" w:cs="微软雅黑"/>
          <w:spacing w:val="7"/>
          <w:lang w:eastAsia="zh-CN"/>
        </w:rPr>
        <w:t>25</w:t>
      </w:r>
      <w:r w:rsidRPr="002E2592">
        <w:rPr>
          <w:rFonts w:ascii="微软雅黑" w:eastAsia="微软雅黑" w:hAnsi="微软雅黑" w:cs="微软雅黑" w:hint="eastAsia"/>
          <w:spacing w:val="7"/>
          <w:lang w:eastAsia="zh-CN"/>
        </w:rPr>
        <w:t>个基点的概率为</w:t>
      </w:r>
      <w:r w:rsidRPr="002E2592">
        <w:rPr>
          <w:rFonts w:ascii="微软雅黑" w:eastAsia="微软雅黑" w:hAnsi="微软雅黑" w:cs="微软雅黑"/>
          <w:spacing w:val="7"/>
          <w:lang w:eastAsia="zh-CN"/>
        </w:rPr>
        <w:t>59.4%</w:t>
      </w:r>
      <w:r w:rsidRPr="002E2592">
        <w:rPr>
          <w:rFonts w:ascii="微软雅黑" w:eastAsia="微软雅黑" w:hAnsi="微软雅黑" w:cs="微软雅黑" w:hint="eastAsia"/>
          <w:spacing w:val="7"/>
          <w:lang w:eastAsia="zh-CN"/>
        </w:rPr>
        <w:t>，市场普遍预期下次降息时点推迟至</w:t>
      </w:r>
      <w:r w:rsidRPr="002E2592">
        <w:rPr>
          <w:rFonts w:ascii="微软雅黑" w:eastAsia="微软雅黑" w:hAnsi="微软雅黑" w:cs="微软雅黑"/>
          <w:spacing w:val="7"/>
          <w:lang w:eastAsia="zh-CN"/>
        </w:rPr>
        <w:t>2027</w:t>
      </w:r>
      <w:r w:rsidRPr="002E2592">
        <w:rPr>
          <w:rFonts w:ascii="微软雅黑" w:eastAsia="微软雅黑" w:hAnsi="微软雅黑" w:cs="微软雅黑" w:hint="eastAsia"/>
          <w:spacing w:val="7"/>
          <w:lang w:eastAsia="zh-CN"/>
        </w:rPr>
        <w:t>年年中。展望后市，美联储鹰派政策预期存在反复，美财政部政策干预对长端利率形成潜在上方压制，市场重新就美元主权信用叙事展开定价，避险资金呈边际流出态势，叠加欧洲及日本央行均呈现偏鹰姿态，美元指数上行仍面临较强阻力。</w:t>
      </w:r>
    </w:p>
    <w:p w14:paraId="502379A4" w14:textId="0BBEFE70" w:rsidR="002760F0" w:rsidRPr="002760F0" w:rsidRDefault="002E2592" w:rsidP="002E2592">
      <w:pPr>
        <w:spacing w:before="103" w:line="256" w:lineRule="auto"/>
        <w:ind w:right="210" w:firstLineChars="200" w:firstLine="448"/>
        <w:rPr>
          <w:rFonts w:ascii="微软雅黑" w:eastAsia="微软雅黑" w:hAnsi="微软雅黑" w:cs="微软雅黑" w:hint="eastAsia"/>
          <w:spacing w:val="7"/>
          <w:lang w:eastAsia="zh-CN"/>
        </w:rPr>
      </w:pPr>
      <w:r w:rsidRPr="002E2592">
        <w:rPr>
          <w:rFonts w:ascii="微软雅黑" w:eastAsia="微软雅黑" w:hAnsi="微软雅黑" w:cs="微软雅黑" w:hint="eastAsia"/>
          <w:spacing w:val="7"/>
          <w:lang w:eastAsia="zh-CN"/>
        </w:rPr>
        <w:t>欧元区</w:t>
      </w:r>
      <w:r w:rsidRPr="002E2592">
        <w:rPr>
          <w:rFonts w:ascii="微软雅黑" w:eastAsia="微软雅黑" w:hAnsi="微软雅黑" w:cs="微软雅黑"/>
          <w:spacing w:val="7"/>
          <w:lang w:eastAsia="zh-CN"/>
        </w:rPr>
        <w:t>8</w:t>
      </w:r>
      <w:r w:rsidRPr="002E2592">
        <w:rPr>
          <w:rFonts w:ascii="微软雅黑" w:eastAsia="微软雅黑" w:hAnsi="微软雅黑" w:cs="微软雅黑" w:hint="eastAsia"/>
          <w:spacing w:val="7"/>
          <w:lang w:eastAsia="zh-CN"/>
        </w:rPr>
        <w:t>月综合</w:t>
      </w:r>
      <w:r w:rsidRPr="002E2592">
        <w:rPr>
          <w:rFonts w:ascii="微软雅黑" w:eastAsia="微软雅黑" w:hAnsi="微软雅黑" w:cs="微软雅黑"/>
          <w:spacing w:val="7"/>
          <w:lang w:eastAsia="zh-CN"/>
        </w:rPr>
        <w:t>PMI</w:t>
      </w:r>
      <w:r w:rsidRPr="002E2592">
        <w:rPr>
          <w:rFonts w:ascii="微软雅黑" w:eastAsia="微软雅黑" w:hAnsi="微软雅黑" w:cs="微软雅黑" w:hint="eastAsia"/>
          <w:spacing w:val="7"/>
          <w:lang w:eastAsia="zh-CN"/>
        </w:rPr>
        <w:t>维持扩张，服务业就业继续改善，经济韧性有所增强。市场普遍预计欧洲央行</w:t>
      </w:r>
      <w:r w:rsidRPr="002E2592">
        <w:rPr>
          <w:rFonts w:ascii="微软雅黑" w:eastAsia="微软雅黑" w:hAnsi="微软雅黑" w:cs="微软雅黑"/>
          <w:spacing w:val="7"/>
          <w:lang w:eastAsia="zh-CN"/>
        </w:rPr>
        <w:t>9</w:t>
      </w:r>
      <w:r w:rsidRPr="002E2592">
        <w:rPr>
          <w:rFonts w:ascii="微软雅黑" w:eastAsia="微软雅黑" w:hAnsi="微软雅黑" w:cs="微软雅黑" w:hint="eastAsia"/>
          <w:spacing w:val="7"/>
          <w:lang w:eastAsia="zh-CN"/>
        </w:rPr>
        <w:t>月再加息</w:t>
      </w:r>
      <w:r w:rsidRPr="002E2592">
        <w:rPr>
          <w:rFonts w:ascii="微软雅黑" w:eastAsia="微软雅黑" w:hAnsi="微软雅黑" w:cs="微软雅黑"/>
          <w:spacing w:val="7"/>
          <w:lang w:eastAsia="zh-CN"/>
        </w:rPr>
        <w:t>25</w:t>
      </w:r>
      <w:r w:rsidRPr="002E2592">
        <w:rPr>
          <w:rFonts w:ascii="微软雅黑" w:eastAsia="微软雅黑" w:hAnsi="微软雅黑" w:cs="微软雅黑" w:hint="eastAsia"/>
          <w:spacing w:val="7"/>
          <w:lang w:eastAsia="zh-CN"/>
        </w:rPr>
        <w:t>基点，但在经济增长仍偏弱背景下，进一步连续加息空间有限，欧元短期获得政策预期支撑。日本方面，植田和男表示</w:t>
      </w:r>
      <w:r w:rsidRPr="002E2592">
        <w:rPr>
          <w:rFonts w:ascii="微软雅黑" w:eastAsia="微软雅黑" w:hAnsi="微软雅黑" w:cs="微软雅黑"/>
          <w:spacing w:val="7"/>
          <w:lang w:eastAsia="zh-CN"/>
        </w:rPr>
        <w:t>9</w:t>
      </w:r>
      <w:r w:rsidRPr="002E2592">
        <w:rPr>
          <w:rFonts w:ascii="微软雅黑" w:eastAsia="微软雅黑" w:hAnsi="微软雅黑" w:cs="微软雅黑" w:hint="eastAsia"/>
          <w:spacing w:val="7"/>
          <w:lang w:eastAsia="zh-CN"/>
        </w:rPr>
        <w:t>月会议将讨论加息，叠加日央行官员显著偏鹰表态，</w:t>
      </w:r>
      <w:r w:rsidRPr="002E2592">
        <w:rPr>
          <w:rFonts w:ascii="微软雅黑" w:eastAsia="微软雅黑" w:hAnsi="微软雅黑" w:cs="微软雅黑"/>
          <w:spacing w:val="7"/>
          <w:lang w:eastAsia="zh-CN"/>
        </w:rPr>
        <w:t>9</w:t>
      </w:r>
      <w:r w:rsidRPr="002E2592">
        <w:rPr>
          <w:rFonts w:ascii="微软雅黑" w:eastAsia="微软雅黑" w:hAnsi="微软雅黑" w:cs="微软雅黑" w:hint="eastAsia"/>
          <w:spacing w:val="7"/>
          <w:lang w:eastAsia="zh-CN"/>
        </w:rPr>
        <w:t>月加息概率大幅走高，日元近期强势反弹。展望后市，美就业数据偏强推动美联储加息预期回升，短线或对非美货币形成压制，但欧央行及日本央行的偏鹰立场或提供利差修复空间，重点关注周内美国</w:t>
      </w:r>
      <w:r w:rsidRPr="002E2592">
        <w:rPr>
          <w:rFonts w:ascii="微软雅黑" w:eastAsia="微软雅黑" w:hAnsi="微软雅黑" w:cs="微软雅黑"/>
          <w:spacing w:val="7"/>
          <w:lang w:eastAsia="zh-CN"/>
        </w:rPr>
        <w:t>8</w:t>
      </w:r>
      <w:r w:rsidRPr="002E2592">
        <w:rPr>
          <w:rFonts w:ascii="微软雅黑" w:eastAsia="微软雅黑" w:hAnsi="微软雅黑" w:cs="微软雅黑" w:hint="eastAsia"/>
          <w:spacing w:val="7"/>
          <w:lang w:eastAsia="zh-CN"/>
        </w:rPr>
        <w:t>月</w:t>
      </w:r>
      <w:r w:rsidRPr="002E2592">
        <w:rPr>
          <w:rFonts w:ascii="微软雅黑" w:eastAsia="微软雅黑" w:hAnsi="微软雅黑" w:cs="微软雅黑"/>
          <w:spacing w:val="7"/>
          <w:lang w:eastAsia="zh-CN"/>
        </w:rPr>
        <w:t>CPI</w:t>
      </w:r>
      <w:r w:rsidRPr="002E2592">
        <w:rPr>
          <w:rFonts w:ascii="微软雅黑" w:eastAsia="微软雅黑" w:hAnsi="微软雅黑" w:cs="微软雅黑" w:hint="eastAsia"/>
          <w:spacing w:val="7"/>
          <w:lang w:eastAsia="zh-CN"/>
        </w:rPr>
        <w:t>数据表现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6EED1C29" w:rsidR="007A477E" w:rsidRDefault="002E2592"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B941B3">
        <w:rPr>
          <w:rFonts w:ascii="黑体" w:eastAsia="黑体" w:hAnsi="黑体" w:cs="黑体"/>
          <w:noProof/>
          <w:color w:val="000000" w:themeColor="text1"/>
          <w:sz w:val="22"/>
          <w:szCs w:val="22"/>
          <w:shd w:val="clear" w:color="auto" w:fill="FFFFFF"/>
        </w:rPr>
        <w:lastRenderedPageBreak/>
        <w:drawing>
          <wp:inline distT="0" distB="0" distL="0" distR="0" wp14:anchorId="195E36A6" wp14:editId="4E634B8E">
            <wp:extent cx="5274310" cy="2137774"/>
            <wp:effectExtent l="0" t="0" r="2540" b="0"/>
            <wp:docPr id="1625471087" name="图片 1625471087" descr="C:\Users\Administrator\xwechat_files\wxid_vkxlzo0vqu7s22_6f5b\temp\InputTemp\952cc96c-dac0-4ff3-b6ab-26ca9d6963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952cc96c-dac0-4ff3-b6ab-26ca9d6963ac.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137774"/>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D9E1FB3" w:rsidR="00ED4A18" w:rsidRDefault="002E2592" w:rsidP="00B00DB4">
      <w:pPr>
        <w:spacing w:before="103" w:line="256" w:lineRule="auto"/>
        <w:ind w:right="210" w:firstLine="448"/>
        <w:rPr>
          <w:rFonts w:ascii="微软雅黑" w:eastAsia="微软雅黑" w:hAnsi="微软雅黑" w:cs="微软雅黑" w:hint="eastAsia"/>
          <w:spacing w:val="7"/>
          <w:lang w:eastAsia="zh-CN"/>
        </w:rPr>
      </w:pPr>
      <w:r w:rsidRPr="002E2592">
        <w:rPr>
          <w:rFonts w:ascii="微软雅黑" w:eastAsia="微软雅黑" w:hAnsi="微软雅黑" w:cs="微软雅黑"/>
          <w:spacing w:val="7"/>
          <w:lang w:eastAsia="zh-CN"/>
        </w:rPr>
        <w:t>截至9月9日，标普500指数下跌0.48%至7636.36；迷你标普500主力合约下跌0.39%至7648点。地缘局势上，美军宣布摧毁5艘伊朗油轮后，伊朗对美军基地、军舰等目标进行打击予以回应。原油供应中断风险进一步加剧。布油站上100美元。金融政策上，美国财政部宣布将于周四回购至多60亿美元长期国债，这一数值低于市场预期，消息公布后美债收益率大幅拉升，10年期美债收益率站上4.8%。整体来看，地缘局势依旧紧张，同时美债收益率持续攀升对美股形成明显的重估值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15570FBC" w:rsidR="007A477E" w:rsidRPr="00EE7376" w:rsidRDefault="002E2592" w:rsidP="006B6996">
      <w:pPr>
        <w:spacing w:before="103" w:line="256" w:lineRule="auto"/>
        <w:ind w:right="210" w:firstLine="420"/>
        <w:jc w:val="center"/>
        <w:rPr>
          <w:rFonts w:ascii="微软雅黑" w:eastAsia="微软雅黑" w:hAnsi="微软雅黑" w:cs="微软雅黑" w:hint="eastAsia"/>
          <w:spacing w:val="7"/>
          <w:lang w:eastAsia="zh-CN"/>
        </w:rPr>
      </w:pPr>
      <w:r w:rsidRPr="00F20E2B">
        <w:rPr>
          <w:rFonts w:ascii="Helvetica" w:hAnsi="Helvetica" w:cs="Helvetica"/>
          <w:noProof/>
          <w:shd w:val="clear" w:color="auto" w:fill="FFFFFF"/>
        </w:rPr>
        <w:drawing>
          <wp:inline distT="0" distB="0" distL="0" distR="0" wp14:anchorId="48034FDA" wp14:editId="07FC8071">
            <wp:extent cx="5274310" cy="1586138"/>
            <wp:effectExtent l="0" t="0" r="2540" b="0"/>
            <wp:docPr id="3" name="图片 3" descr="C:\Users\Administrator\xwechat_files\wxid_vkxlzo0vqu7s22_6f5b\temp\InputTemp\cd31d6bf-8439-4ece-bd89-3c3f7c0a7b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cd31d6bf-8439-4ece-bd89-3c3f7c0a7b4c.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6138"/>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107DB450" w:rsidR="004F4EDC" w:rsidRDefault="002E2592" w:rsidP="000511AA">
      <w:pPr>
        <w:spacing w:before="103" w:line="256" w:lineRule="auto"/>
        <w:ind w:right="210" w:firstLine="448"/>
        <w:jc w:val="both"/>
        <w:rPr>
          <w:rFonts w:ascii="微软雅黑" w:eastAsia="微软雅黑" w:hAnsi="微软雅黑" w:cs="微软雅黑" w:hint="eastAsia"/>
          <w:spacing w:val="7"/>
          <w:lang w:eastAsia="zh-CN"/>
        </w:rPr>
      </w:pPr>
      <w:r w:rsidRPr="002E2592">
        <w:rPr>
          <w:rFonts w:ascii="微软雅黑" w:eastAsia="微软雅黑" w:hAnsi="微软雅黑" w:cs="微软雅黑"/>
          <w:spacing w:val="7"/>
          <w:lang w:eastAsia="zh-CN"/>
        </w:rPr>
        <w:t>截至9月9日，富时中国A50指数上涨0.33%至14700.65；新交所富时A50期指主力合约上涨0.69%至14665。海外方面，地缘局势上，美军宣布摧毁5艘伊朗油轮后，伊朗对美军基地、军舰等目标进行打击予以回应。原油供应中断风险进一步加剧。布油站上100美元。金融政策上，美国财政部宣布将于周四回购至多60亿美元长期国债，这一数值低于市场预期，消息公布后美债收益率大幅拉升，10年期美债收益率站上4.8%。国内方面，经济基本面，8月份，国内进出口金额同比增速均较上月走高，出口增速加快与8月制造业PMI中新出口订单升至扩张期间相呼应。同时，高新技术产品出口值依旧保持极高增速，且同样较7月进一步走高。物价层面，主要受能源价格上涨影响，国内8月物价同比、环比增速均加快，同时，新动能价格涨幅明显。整体来看，国内经济K型分化仍在延续，外需继续对经济起到支撑。随着市场对</w:t>
      </w:r>
      <w:r w:rsidRPr="002E2592">
        <w:rPr>
          <w:rFonts w:ascii="微软雅黑" w:eastAsia="微软雅黑" w:hAnsi="微软雅黑" w:cs="微软雅黑"/>
          <w:spacing w:val="7"/>
          <w:lang w:eastAsia="zh-CN"/>
        </w:rPr>
        <w:lastRenderedPageBreak/>
        <w:t>半年报充分定价后，整体关注焦点转向国内宏观数据与海外流动性变化。海外地缘局势依旧紧张，原油与美债收益率仍在高位，市场依旧面临一定压力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7ED3001D" w:rsidR="00A10388" w:rsidRDefault="002E2592" w:rsidP="00A10388">
      <w:pPr>
        <w:spacing w:before="120" w:line="190" w:lineRule="auto"/>
        <w:ind w:right="210" w:firstLine="422"/>
        <w:jc w:val="center"/>
        <w:rPr>
          <w:rFonts w:ascii="新宋体" w:eastAsia="新宋体" w:hAnsi="新宋体" w:hint="eastAsia"/>
          <w:lang w:eastAsia="zh-CN"/>
        </w:rPr>
      </w:pPr>
      <w:r w:rsidRPr="00F20E2B">
        <w:rPr>
          <w:rFonts w:ascii="宋体" w:eastAsia="宋体" w:hAnsi="宋体"/>
          <w:b/>
          <w:noProof/>
        </w:rPr>
        <w:drawing>
          <wp:inline distT="0" distB="0" distL="0" distR="0" wp14:anchorId="7FB84374" wp14:editId="4AA71C7B">
            <wp:extent cx="5274310" cy="1580690"/>
            <wp:effectExtent l="0" t="0" r="2540" b="635"/>
            <wp:docPr id="997952638" name="图片 997952638" descr="C:\Users\Administrator\xwechat_files\wxid_vkxlzo0vqu7s22_6f5b\temp\InputTemp\9497d7b9-166e-4dd7-9cc5-7ecfc8be85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9497d7b9-166e-4dd7-9cc5-7ecfc8be85d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069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37892496" w:rsidR="005B5E6A" w:rsidRDefault="00E742AA" w:rsidP="00F51117">
      <w:pPr>
        <w:spacing w:before="103" w:line="256" w:lineRule="auto"/>
        <w:ind w:right="210" w:firstLine="468"/>
        <w:jc w:val="both"/>
        <w:rPr>
          <w:rFonts w:ascii="微软雅黑" w:eastAsia="微软雅黑" w:hAnsi="微软雅黑" w:cs="微软雅黑" w:hint="eastAsia"/>
          <w:spacing w:val="12"/>
          <w:lang w:eastAsia="zh-CN"/>
        </w:rPr>
      </w:pPr>
      <w:r w:rsidRPr="00E742AA">
        <w:rPr>
          <w:rFonts w:ascii="微软雅黑" w:eastAsia="微软雅黑" w:hAnsi="微软雅黑" w:cs="微软雅黑"/>
          <w:spacing w:val="12"/>
          <w:lang w:eastAsia="zh-CN"/>
        </w:rPr>
        <w:t>隔夜COMEX铜震荡偏强，报收6.8885元/磅，涨跌幅+0.43%。国际方面，至少三分之一的美联储官员表示，他们会考虑减少开会频率来设定利率，这为沃什作为新任主席提出的最大结构性变革之一提供了早期机会。克利夫兰联储主席哈马克、堪萨斯城联储主席施密德和费城联储主席保尔森均在近期表示愿意减少利率决议会议次数。国内方面，中国8月通胀数据出炉。受国际市场价格变动、食品价格季节性上涨等因素影响，中国8月CPI环比上涨0.4%，同比涨幅扩大0.3个百分点至0.8%；核心CPI同比涨幅回升至1%；PPI环比上涨0.4%，同比涨幅扩大0.3个百分点至3.8%。库存方面，截至2026年9月9日，COMEX铜库存为767495短吨，环比+220短吨；LME铜库存为235825吨，环比-1900吨；SHFE每日仓单21009吨，环比-403吨。美元美债方面，美元指数连续第三个交易日走低，最终收跌0.06%，报98.78。财政部周四回购操作规模后，美债不涨反跌，基准的10年期美债收益率涨超5个基点，收报4.849%，创近三年新高；对美联储政策利率敏感的2年期美债收益率收涨超3个基点报4.442%。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1CD491D0" w:rsidR="00A02266" w:rsidRDefault="00E742AA" w:rsidP="006B6996">
      <w:pPr>
        <w:spacing w:before="103" w:line="256" w:lineRule="auto"/>
        <w:ind w:right="210" w:firstLine="420"/>
        <w:jc w:val="center"/>
      </w:pPr>
      <w:r>
        <w:rPr>
          <w:noProof/>
        </w:rPr>
        <w:lastRenderedPageBreak/>
        <w:drawing>
          <wp:inline distT="0" distB="0" distL="0" distR="0" wp14:anchorId="21EA9542" wp14:editId="3F6CBD66">
            <wp:extent cx="5274310" cy="2879090"/>
            <wp:effectExtent l="0" t="0" r="2540" b="0"/>
            <wp:docPr id="17651893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89349"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2EB062F5" w:rsidR="00F850DC" w:rsidRDefault="00E742AA" w:rsidP="00B00DB4">
      <w:pPr>
        <w:spacing w:before="103" w:line="256" w:lineRule="auto"/>
        <w:ind w:right="210" w:firstLine="448"/>
        <w:jc w:val="both"/>
        <w:rPr>
          <w:rFonts w:ascii="微软雅黑" w:eastAsia="微软雅黑" w:hAnsi="微软雅黑" w:cs="微软雅黑" w:hint="eastAsia"/>
          <w:noProof/>
          <w:spacing w:val="7"/>
          <w:lang w:eastAsia="zh-CN"/>
        </w:rPr>
      </w:pPr>
      <w:r w:rsidRPr="00E742AA">
        <w:rPr>
          <w:rFonts w:ascii="微软雅黑" w:eastAsia="微软雅黑" w:hAnsi="微软雅黑" w:cs="微软雅黑"/>
          <w:noProof/>
          <w:spacing w:val="7"/>
          <w:lang w:eastAsia="zh-CN"/>
        </w:rPr>
        <w:t>隔夜，国际贵金属期货收涨，COMEX黄金期货涨1.07%报4447.20美元/盎司，COMEX白银期货涨2.34%报67.925美元/盎司。美国8月非农再超市场预期，美联储加息预期阶段性回升。昨日，美军宣布摧毁5艘伊朗油轮后，伊朗对美军基地、军舰等目标进行打击予以回应。原油供应中断风险进一步加剧。布油站上100美元。市场对成本推动通货膨胀的担忧有增无减。美国财政部宣布将于周四回购至多60亿美元长期国债，这一数值低于市场预期，消息公布后美债收益率大幅拉升，10年期美债收益率站上4.8%。然而，当前市场对9月政策路径仍高度依赖即将公布的通胀数据，若数据无法进一步证明通胀粘性，加息预期存在较大修正空间。从中期看，经济活动与就业边际降温、全球财政及债务风险上升，使美联储持续大幅收紧的空间受到约束，黄金的避险与货币信用对冲属性仍未改变；同时，央行持续购金与黄金ETF资金重新流入为贵金属提供底部支撑，中国央行黄金储备规8月环比增加65万盎司，为连续第22个月增持，强化央行逢低购金逻辑。整体来看，无风险利率高企，对无息资产黄金短线形成明显利空。但长期资金配置和央行需求仍是维持黄金多头逻辑的重要因素。重点关注10日及11日晚间美国8月PPI、CPI数据</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791EFEBB" w:rsidR="007A477E" w:rsidRDefault="00E742AA"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sidRPr="00B941B3">
        <w:rPr>
          <w:rFonts w:ascii="黑体" w:eastAsia="黑体" w:hAnsi="黑体"/>
          <w:b/>
          <w:bCs/>
          <w:noProof/>
          <w:sz w:val="22"/>
          <w:szCs w:val="22"/>
          <w:shd w:val="clear" w:color="auto" w:fill="FFFFFF"/>
        </w:rPr>
        <w:drawing>
          <wp:inline distT="0" distB="0" distL="0" distR="0" wp14:anchorId="351F4D09" wp14:editId="2D1CB1EB">
            <wp:extent cx="5274310" cy="1754394"/>
            <wp:effectExtent l="0" t="0" r="2540" b="0"/>
            <wp:docPr id="2" name="图片 2" descr="C:\Users\Administrator\xwechat_files\wxid_vkxlzo0vqu7s22_6f5b\temp\InputTemp\a3c6d43c-f709-4936-a651-7974b99ca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a3c6d43c-f709-4936-a651-7974b99cae1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754394"/>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lastRenderedPageBreak/>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3D6B7B93" w14:textId="77777777" w:rsidR="00E742AA" w:rsidRPr="00E742AA" w:rsidRDefault="00E742AA" w:rsidP="00E742AA">
      <w:pPr>
        <w:spacing w:before="103" w:line="256" w:lineRule="auto"/>
        <w:ind w:right="210" w:firstLine="448"/>
        <w:jc w:val="both"/>
        <w:rPr>
          <w:rFonts w:ascii="微软雅黑" w:eastAsia="微软雅黑" w:hAnsi="微软雅黑" w:cs="微软雅黑"/>
          <w:noProof/>
          <w:spacing w:val="7"/>
          <w:lang w:eastAsia="zh-CN"/>
        </w:rPr>
      </w:pPr>
      <w:r w:rsidRPr="00E742AA">
        <w:rPr>
          <w:rFonts w:ascii="微软雅黑" w:eastAsia="微软雅黑" w:hAnsi="微软雅黑" w:cs="微软雅黑" w:hint="eastAsia"/>
          <w:noProof/>
          <w:spacing w:val="7"/>
          <w:lang w:eastAsia="zh-CN"/>
        </w:rPr>
        <w:t>洲际交易所</w:t>
      </w:r>
      <w:r w:rsidRPr="00E742AA">
        <w:rPr>
          <w:rFonts w:ascii="微软雅黑" w:eastAsia="微软雅黑" w:hAnsi="微软雅黑" w:cs="微软雅黑"/>
          <w:noProof/>
          <w:spacing w:val="7"/>
          <w:lang w:eastAsia="zh-CN"/>
        </w:rPr>
        <w:t>(ICE)</w:t>
      </w:r>
      <w:r w:rsidRPr="00E742AA">
        <w:rPr>
          <w:rFonts w:ascii="微软雅黑" w:eastAsia="微软雅黑" w:hAnsi="微软雅黑" w:cs="微软雅黑" w:hint="eastAsia"/>
          <w:noProof/>
          <w:spacing w:val="7"/>
          <w:lang w:eastAsia="zh-CN"/>
        </w:rPr>
        <w:t>原糖期货周三上涨，受印度糖供应紧张提振。</w:t>
      </w:r>
      <w:r w:rsidRPr="00E742AA">
        <w:rPr>
          <w:rFonts w:ascii="微软雅黑" w:eastAsia="微软雅黑" w:hAnsi="微软雅黑" w:cs="微软雅黑"/>
          <w:noProof/>
          <w:spacing w:val="7"/>
          <w:lang w:eastAsia="zh-CN"/>
        </w:rPr>
        <w:t>ICE</w:t>
      </w:r>
      <w:r w:rsidRPr="00E742AA">
        <w:rPr>
          <w:rFonts w:ascii="微软雅黑" w:eastAsia="微软雅黑" w:hAnsi="微软雅黑" w:cs="微软雅黑" w:hint="eastAsia"/>
          <w:noProof/>
          <w:spacing w:val="7"/>
          <w:lang w:eastAsia="zh-CN"/>
        </w:rPr>
        <w:t>交投最活跃的</w:t>
      </w:r>
      <w:r w:rsidRPr="00E742AA">
        <w:rPr>
          <w:rFonts w:ascii="微软雅黑" w:eastAsia="微软雅黑" w:hAnsi="微软雅黑" w:cs="微软雅黑"/>
          <w:noProof/>
          <w:spacing w:val="7"/>
          <w:lang w:eastAsia="zh-CN"/>
        </w:rPr>
        <w:t>10</w:t>
      </w:r>
      <w:r w:rsidRPr="00E742AA">
        <w:rPr>
          <w:rFonts w:ascii="微软雅黑" w:eastAsia="微软雅黑" w:hAnsi="微软雅黑" w:cs="微软雅黑" w:hint="eastAsia"/>
          <w:noProof/>
          <w:spacing w:val="7"/>
          <w:lang w:eastAsia="zh-CN"/>
        </w:rPr>
        <w:t>月原糖期货收涨</w:t>
      </w:r>
      <w:r w:rsidRPr="00E742AA">
        <w:rPr>
          <w:rFonts w:ascii="微软雅黑" w:eastAsia="微软雅黑" w:hAnsi="微软雅黑" w:cs="微软雅黑"/>
          <w:noProof/>
          <w:spacing w:val="7"/>
          <w:lang w:eastAsia="zh-CN"/>
        </w:rPr>
        <w:t>0.30</w:t>
      </w:r>
      <w:r w:rsidRPr="00E742AA">
        <w:rPr>
          <w:rFonts w:ascii="微软雅黑" w:eastAsia="微软雅黑" w:hAnsi="微软雅黑" w:cs="微软雅黑" w:hint="eastAsia"/>
          <w:noProof/>
          <w:spacing w:val="7"/>
          <w:lang w:eastAsia="zh-CN"/>
        </w:rPr>
        <w:t>美分或</w:t>
      </w:r>
      <w:r w:rsidRPr="00E742AA">
        <w:rPr>
          <w:rFonts w:ascii="微软雅黑" w:eastAsia="微软雅黑" w:hAnsi="微软雅黑" w:cs="微软雅黑"/>
          <w:noProof/>
          <w:spacing w:val="7"/>
          <w:lang w:eastAsia="zh-CN"/>
        </w:rPr>
        <w:t>1.66%</w:t>
      </w:r>
      <w:r w:rsidRPr="00E742AA">
        <w:rPr>
          <w:rFonts w:ascii="微软雅黑" w:eastAsia="微软雅黑" w:hAnsi="微软雅黑" w:cs="微软雅黑" w:hint="eastAsia"/>
          <w:noProof/>
          <w:spacing w:val="7"/>
          <w:lang w:eastAsia="zh-CN"/>
        </w:rPr>
        <w:t>，结算价报每磅</w:t>
      </w:r>
      <w:r w:rsidRPr="00E742AA">
        <w:rPr>
          <w:rFonts w:ascii="微软雅黑" w:eastAsia="微软雅黑" w:hAnsi="微软雅黑" w:cs="微软雅黑"/>
          <w:noProof/>
          <w:spacing w:val="7"/>
          <w:lang w:eastAsia="zh-CN"/>
        </w:rPr>
        <w:t>18.40</w:t>
      </w:r>
      <w:r w:rsidRPr="00E742AA">
        <w:rPr>
          <w:rFonts w:ascii="微软雅黑" w:eastAsia="微软雅黑" w:hAnsi="微软雅黑" w:cs="微软雅黑" w:hint="eastAsia"/>
          <w:noProof/>
          <w:spacing w:val="7"/>
          <w:lang w:eastAsia="zh-CN"/>
        </w:rPr>
        <w:t>美分。</w:t>
      </w:r>
    </w:p>
    <w:p w14:paraId="5F70903D" w14:textId="77777777" w:rsidR="00E742AA" w:rsidRPr="00E742AA" w:rsidRDefault="00E742AA" w:rsidP="00E742AA">
      <w:pPr>
        <w:spacing w:before="103" w:line="256" w:lineRule="auto"/>
        <w:ind w:right="210" w:firstLine="448"/>
        <w:jc w:val="both"/>
        <w:rPr>
          <w:rFonts w:ascii="微软雅黑" w:eastAsia="微软雅黑" w:hAnsi="微软雅黑" w:cs="微软雅黑"/>
          <w:noProof/>
          <w:spacing w:val="7"/>
          <w:lang w:eastAsia="zh-CN"/>
        </w:rPr>
      </w:pPr>
      <w:r w:rsidRPr="00E742AA">
        <w:rPr>
          <w:rFonts w:ascii="微软雅黑" w:eastAsia="微软雅黑" w:hAnsi="微软雅黑" w:cs="微软雅黑" w:hint="eastAsia"/>
          <w:noProof/>
          <w:spacing w:val="7"/>
          <w:lang w:eastAsia="zh-CN"/>
        </w:rPr>
        <w:t>国际方面，据巴西农业部数据显示，巴西中南部</w:t>
      </w:r>
      <w:r w:rsidRPr="00E742AA">
        <w:rPr>
          <w:rFonts w:ascii="微软雅黑" w:eastAsia="微软雅黑" w:hAnsi="微软雅黑" w:cs="微软雅黑"/>
          <w:noProof/>
          <w:spacing w:val="7"/>
          <w:lang w:eastAsia="zh-CN"/>
        </w:rPr>
        <w:t>8</w:t>
      </w:r>
      <w:r w:rsidRPr="00E742AA">
        <w:rPr>
          <w:rFonts w:ascii="微软雅黑" w:eastAsia="微软雅黑" w:hAnsi="微软雅黑" w:cs="微软雅黑" w:hint="eastAsia"/>
          <w:noProof/>
          <w:spacing w:val="7"/>
          <w:lang w:eastAsia="zh-CN"/>
        </w:rPr>
        <w:t>月上半月甘蔗压榨量同比增加</w:t>
      </w:r>
      <w:r w:rsidRPr="00E742AA">
        <w:rPr>
          <w:rFonts w:ascii="微软雅黑" w:eastAsia="微软雅黑" w:hAnsi="微软雅黑" w:cs="微软雅黑"/>
          <w:noProof/>
          <w:spacing w:val="7"/>
          <w:lang w:eastAsia="zh-CN"/>
        </w:rPr>
        <w:t>2%</w:t>
      </w:r>
      <w:r w:rsidRPr="00E742AA">
        <w:rPr>
          <w:rFonts w:ascii="微软雅黑" w:eastAsia="微软雅黑" w:hAnsi="微软雅黑" w:cs="微软雅黑" w:hint="eastAsia"/>
          <w:noProof/>
          <w:spacing w:val="7"/>
          <w:lang w:eastAsia="zh-CN"/>
        </w:rPr>
        <w:t>，至</w:t>
      </w:r>
      <w:r w:rsidRPr="00E742AA">
        <w:rPr>
          <w:rFonts w:ascii="微软雅黑" w:eastAsia="微软雅黑" w:hAnsi="微软雅黑" w:cs="微软雅黑"/>
          <w:noProof/>
          <w:spacing w:val="7"/>
          <w:lang w:eastAsia="zh-CN"/>
        </w:rPr>
        <w:t>4839</w:t>
      </w:r>
      <w:r w:rsidRPr="00E742AA">
        <w:rPr>
          <w:rFonts w:ascii="微软雅黑" w:eastAsia="微软雅黑" w:hAnsi="微软雅黑" w:cs="微软雅黑" w:hint="eastAsia"/>
          <w:noProof/>
          <w:spacing w:val="7"/>
          <w:lang w:eastAsia="zh-CN"/>
        </w:rPr>
        <w:t>万吨；糖产量同比下降</w:t>
      </w:r>
      <w:r w:rsidRPr="00E742AA">
        <w:rPr>
          <w:rFonts w:ascii="微软雅黑" w:eastAsia="微软雅黑" w:hAnsi="微软雅黑" w:cs="微软雅黑"/>
          <w:noProof/>
          <w:spacing w:val="7"/>
          <w:lang w:eastAsia="zh-CN"/>
        </w:rPr>
        <w:t>7.9%</w:t>
      </w:r>
      <w:r w:rsidRPr="00E742AA">
        <w:rPr>
          <w:rFonts w:ascii="微软雅黑" w:eastAsia="微软雅黑" w:hAnsi="微软雅黑" w:cs="微软雅黑" w:hint="eastAsia"/>
          <w:noProof/>
          <w:spacing w:val="7"/>
          <w:lang w:eastAsia="zh-CN"/>
        </w:rPr>
        <w:t>，至</w:t>
      </w:r>
      <w:r w:rsidRPr="00E742AA">
        <w:rPr>
          <w:rFonts w:ascii="微软雅黑" w:eastAsia="微软雅黑" w:hAnsi="微软雅黑" w:cs="微软雅黑"/>
          <w:noProof/>
          <w:spacing w:val="7"/>
          <w:lang w:eastAsia="zh-CN"/>
        </w:rPr>
        <w:t>331</w:t>
      </w:r>
      <w:r w:rsidRPr="00E742AA">
        <w:rPr>
          <w:rFonts w:ascii="微软雅黑" w:eastAsia="微软雅黑" w:hAnsi="微软雅黑" w:cs="微软雅黑" w:hint="eastAsia"/>
          <w:noProof/>
          <w:spacing w:val="7"/>
          <w:lang w:eastAsia="zh-CN"/>
        </w:rPr>
        <w:t>万吨；乙醇产量同比增长</w:t>
      </w:r>
      <w:r w:rsidRPr="00E742AA">
        <w:rPr>
          <w:rFonts w:ascii="微软雅黑" w:eastAsia="微软雅黑" w:hAnsi="微软雅黑" w:cs="微软雅黑"/>
          <w:noProof/>
          <w:spacing w:val="7"/>
          <w:lang w:eastAsia="zh-CN"/>
        </w:rPr>
        <w:t>6%</w:t>
      </w:r>
      <w:r w:rsidRPr="00E742AA">
        <w:rPr>
          <w:rFonts w:ascii="微软雅黑" w:eastAsia="微软雅黑" w:hAnsi="微软雅黑" w:cs="微软雅黑" w:hint="eastAsia"/>
          <w:noProof/>
          <w:spacing w:val="7"/>
          <w:lang w:eastAsia="zh-CN"/>
        </w:rPr>
        <w:t>，至</w:t>
      </w:r>
      <w:r w:rsidRPr="00E742AA">
        <w:rPr>
          <w:rFonts w:ascii="微软雅黑" w:eastAsia="微软雅黑" w:hAnsi="微软雅黑" w:cs="微软雅黑"/>
          <w:noProof/>
          <w:spacing w:val="7"/>
          <w:lang w:eastAsia="zh-CN"/>
        </w:rPr>
        <w:t>23.4</w:t>
      </w:r>
      <w:r w:rsidRPr="00E742AA">
        <w:rPr>
          <w:rFonts w:ascii="微软雅黑" w:eastAsia="微软雅黑" w:hAnsi="微软雅黑" w:cs="微软雅黑" w:hint="eastAsia"/>
          <w:noProof/>
          <w:spacing w:val="7"/>
          <w:lang w:eastAsia="zh-CN"/>
        </w:rPr>
        <w:t>亿升。</w:t>
      </w:r>
      <w:r w:rsidRPr="00E742AA">
        <w:rPr>
          <w:rFonts w:ascii="微软雅黑" w:eastAsia="微软雅黑" w:hAnsi="微软雅黑" w:cs="微软雅黑"/>
          <w:noProof/>
          <w:spacing w:val="7"/>
          <w:lang w:eastAsia="zh-CN"/>
        </w:rPr>
        <w:t>8</w:t>
      </w:r>
      <w:r w:rsidRPr="00E742AA">
        <w:rPr>
          <w:rFonts w:ascii="微软雅黑" w:eastAsia="微软雅黑" w:hAnsi="微软雅黑" w:cs="微软雅黑" w:hint="eastAsia"/>
          <w:noProof/>
          <w:spacing w:val="7"/>
          <w:lang w:eastAsia="zh-CN"/>
        </w:rPr>
        <w:t>月上半月巴西中南部甘蔗压榨量虽然同比增加，但产糖量仍同比下滑，得益于甘蔗用于生物燃料生产的比例提高。</w:t>
      </w:r>
    </w:p>
    <w:p w14:paraId="3F44DEBC" w14:textId="7C5A6C31" w:rsidR="00C27A84" w:rsidRDefault="00E742AA" w:rsidP="00E742AA">
      <w:pPr>
        <w:spacing w:before="103" w:line="256" w:lineRule="auto"/>
        <w:ind w:right="210" w:firstLine="448"/>
        <w:jc w:val="both"/>
        <w:rPr>
          <w:rFonts w:ascii="微软雅黑" w:eastAsia="微软雅黑" w:hAnsi="微软雅黑" w:cs="微软雅黑" w:hint="eastAsia"/>
          <w:noProof/>
          <w:spacing w:val="7"/>
          <w:lang w:eastAsia="zh-CN"/>
        </w:rPr>
      </w:pPr>
      <w:r w:rsidRPr="00E742AA">
        <w:rPr>
          <w:rFonts w:ascii="微软雅黑" w:eastAsia="微软雅黑" w:hAnsi="微软雅黑" w:cs="微软雅黑" w:hint="eastAsia"/>
          <w:noProof/>
          <w:spacing w:val="7"/>
          <w:lang w:eastAsia="zh-CN"/>
        </w:rPr>
        <w:t>美糖主力价格关注上方压力</w:t>
      </w:r>
      <w:r w:rsidRPr="00E742AA">
        <w:rPr>
          <w:rFonts w:ascii="微软雅黑" w:eastAsia="微软雅黑" w:hAnsi="微软雅黑" w:cs="微软雅黑"/>
          <w:noProof/>
          <w:spacing w:val="7"/>
          <w:lang w:eastAsia="zh-CN"/>
        </w:rPr>
        <w:t>19.0</w:t>
      </w:r>
      <w:r w:rsidRPr="00E742AA">
        <w:rPr>
          <w:rFonts w:ascii="微软雅黑" w:eastAsia="微软雅黑" w:hAnsi="微软雅黑" w:cs="微软雅黑" w:hint="eastAsia"/>
          <w:noProof/>
          <w:spacing w:val="7"/>
          <w:lang w:eastAsia="zh-CN"/>
        </w:rPr>
        <w:t>美分</w:t>
      </w:r>
      <w:r w:rsidRPr="00E742AA">
        <w:rPr>
          <w:rFonts w:ascii="微软雅黑" w:eastAsia="微软雅黑" w:hAnsi="微软雅黑" w:cs="微软雅黑"/>
          <w:noProof/>
          <w:spacing w:val="7"/>
          <w:lang w:eastAsia="zh-CN"/>
        </w:rPr>
        <w:t>/</w:t>
      </w:r>
      <w:r w:rsidRPr="00E742AA">
        <w:rPr>
          <w:rFonts w:ascii="微软雅黑" w:eastAsia="微软雅黑" w:hAnsi="微软雅黑" w:cs="微软雅黑" w:hint="eastAsia"/>
          <w:noProof/>
          <w:spacing w:val="7"/>
          <w:lang w:eastAsia="zh-CN"/>
        </w:rPr>
        <w:t>磅，下方支撑</w:t>
      </w:r>
      <w:r w:rsidRPr="00E742AA">
        <w:rPr>
          <w:rFonts w:ascii="微软雅黑" w:eastAsia="微软雅黑" w:hAnsi="微软雅黑" w:cs="微软雅黑"/>
          <w:noProof/>
          <w:spacing w:val="7"/>
          <w:lang w:eastAsia="zh-CN"/>
        </w:rPr>
        <w:t>15.6</w:t>
      </w:r>
      <w:r w:rsidRPr="00E742AA">
        <w:rPr>
          <w:rFonts w:ascii="微软雅黑" w:eastAsia="微软雅黑" w:hAnsi="微软雅黑" w:cs="微软雅黑" w:hint="eastAsia"/>
          <w:noProof/>
          <w:spacing w:val="7"/>
          <w:lang w:eastAsia="zh-CN"/>
        </w:rPr>
        <w:t>美分</w:t>
      </w:r>
      <w:r w:rsidRPr="00E742AA">
        <w:rPr>
          <w:rFonts w:ascii="微软雅黑" w:eastAsia="微软雅黑" w:hAnsi="微软雅黑" w:cs="微软雅黑"/>
          <w:noProof/>
          <w:spacing w:val="7"/>
          <w:lang w:eastAsia="zh-CN"/>
        </w:rPr>
        <w:t>/</w:t>
      </w:r>
      <w:r w:rsidRPr="00E742AA">
        <w:rPr>
          <w:rFonts w:ascii="微软雅黑" w:eastAsia="微软雅黑" w:hAnsi="微软雅黑" w:cs="微软雅黑" w:hint="eastAsia"/>
          <w:noProof/>
          <w:spacing w:val="7"/>
          <w:lang w:eastAsia="zh-CN"/>
        </w:rPr>
        <w:t>磅。建议</w:t>
      </w:r>
      <w:r w:rsidRPr="00E742AA">
        <w:rPr>
          <w:rFonts w:ascii="微软雅黑" w:eastAsia="微软雅黑" w:hAnsi="微软雅黑" w:cs="微软雅黑"/>
          <w:noProof/>
          <w:spacing w:val="7"/>
          <w:lang w:eastAsia="zh-CN"/>
        </w:rPr>
        <w:t>10</w:t>
      </w:r>
      <w:r w:rsidRPr="00E742AA">
        <w:rPr>
          <w:rFonts w:ascii="微软雅黑" w:eastAsia="微软雅黑" w:hAnsi="微软雅黑" w:cs="微软雅黑" w:hint="eastAsia"/>
          <w:noProof/>
          <w:spacing w:val="7"/>
          <w:lang w:eastAsia="zh-CN"/>
        </w:rPr>
        <w:t>月</w:t>
      </w:r>
      <w:r w:rsidRPr="00E742AA">
        <w:rPr>
          <w:rFonts w:ascii="微软雅黑" w:eastAsia="微软雅黑" w:hAnsi="微软雅黑" w:cs="微软雅黑"/>
          <w:noProof/>
          <w:spacing w:val="7"/>
          <w:lang w:eastAsia="zh-CN"/>
        </w:rPr>
        <w:t xml:space="preserve"> ICE </w:t>
      </w:r>
      <w:r w:rsidRPr="00E742AA">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E35F570" w:rsidR="007A477E" w:rsidRPr="00786136" w:rsidRDefault="00E742AA"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09415FBF" wp14:editId="4CD1F123">
            <wp:extent cx="5274310" cy="2179955"/>
            <wp:effectExtent l="0" t="0" r="2540" b="0"/>
            <wp:docPr id="1660543626" name="图片 5" descr="QQ截图20260910075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QQ截图2026091007594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17995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236F9B4D" w14:textId="77777777" w:rsidR="00E742AA" w:rsidRPr="00E742AA" w:rsidRDefault="00E742AA" w:rsidP="00E742AA">
      <w:pPr>
        <w:spacing w:before="103" w:line="256" w:lineRule="auto"/>
        <w:ind w:right="210" w:firstLine="448"/>
        <w:jc w:val="both"/>
        <w:rPr>
          <w:rFonts w:ascii="微软雅黑" w:eastAsia="微软雅黑" w:hAnsi="微软雅黑" w:cs="微软雅黑"/>
          <w:noProof/>
          <w:spacing w:val="7"/>
          <w:lang w:eastAsia="zh-CN"/>
        </w:rPr>
      </w:pPr>
      <w:r w:rsidRPr="00E742AA">
        <w:rPr>
          <w:rFonts w:ascii="微软雅黑" w:eastAsia="微软雅黑" w:hAnsi="微软雅黑" w:cs="微软雅黑" w:hint="eastAsia"/>
          <w:noProof/>
          <w:spacing w:val="7"/>
          <w:lang w:eastAsia="zh-CN"/>
        </w:rPr>
        <w:t>洲际交易所</w:t>
      </w:r>
      <w:r w:rsidRPr="00E742AA">
        <w:rPr>
          <w:rFonts w:ascii="微软雅黑" w:eastAsia="微软雅黑" w:hAnsi="微软雅黑" w:cs="微软雅黑"/>
          <w:noProof/>
          <w:spacing w:val="7"/>
          <w:lang w:eastAsia="zh-CN"/>
        </w:rPr>
        <w:t>(ICE)</w:t>
      </w:r>
      <w:r w:rsidRPr="00E742AA">
        <w:rPr>
          <w:rFonts w:ascii="微软雅黑" w:eastAsia="微软雅黑" w:hAnsi="微软雅黑" w:cs="微软雅黑" w:hint="eastAsia"/>
          <w:noProof/>
          <w:spacing w:val="7"/>
          <w:lang w:eastAsia="zh-CN"/>
        </w:rPr>
        <w:t>棉花期货周三从低点反弹，因美元走软，同时市场等待本周将公布的美国农作物供需报告，</w:t>
      </w:r>
      <w:r w:rsidRPr="00E742AA">
        <w:rPr>
          <w:rFonts w:ascii="微软雅黑" w:eastAsia="微软雅黑" w:hAnsi="微软雅黑" w:cs="微软雅黑"/>
          <w:noProof/>
          <w:spacing w:val="7"/>
          <w:lang w:eastAsia="zh-CN"/>
        </w:rPr>
        <w:t>ICE 12</w:t>
      </w:r>
      <w:r w:rsidRPr="00E742AA">
        <w:rPr>
          <w:rFonts w:ascii="微软雅黑" w:eastAsia="微软雅黑" w:hAnsi="微软雅黑" w:cs="微软雅黑" w:hint="eastAsia"/>
          <w:noProof/>
          <w:spacing w:val="7"/>
          <w:lang w:eastAsia="zh-CN"/>
        </w:rPr>
        <w:t>月棉花期货合约上涨</w:t>
      </w:r>
      <w:r w:rsidRPr="00E742AA">
        <w:rPr>
          <w:rFonts w:ascii="微软雅黑" w:eastAsia="微软雅黑" w:hAnsi="微软雅黑" w:cs="微软雅黑"/>
          <w:noProof/>
          <w:spacing w:val="7"/>
          <w:lang w:eastAsia="zh-CN"/>
        </w:rPr>
        <w:t>0.96</w:t>
      </w:r>
      <w:r w:rsidRPr="00E742AA">
        <w:rPr>
          <w:rFonts w:ascii="微软雅黑" w:eastAsia="微软雅黑" w:hAnsi="微软雅黑" w:cs="微软雅黑" w:hint="eastAsia"/>
          <w:noProof/>
          <w:spacing w:val="7"/>
          <w:lang w:eastAsia="zh-CN"/>
        </w:rPr>
        <w:t>美分或</w:t>
      </w:r>
      <w:r w:rsidRPr="00E742AA">
        <w:rPr>
          <w:rFonts w:ascii="微软雅黑" w:eastAsia="微软雅黑" w:hAnsi="微软雅黑" w:cs="微软雅黑"/>
          <w:noProof/>
          <w:spacing w:val="7"/>
          <w:lang w:eastAsia="zh-CN"/>
        </w:rPr>
        <w:t>1.11%</w:t>
      </w:r>
      <w:r w:rsidRPr="00E742AA">
        <w:rPr>
          <w:rFonts w:ascii="微软雅黑" w:eastAsia="微软雅黑" w:hAnsi="微软雅黑" w:cs="微软雅黑" w:hint="eastAsia"/>
          <w:noProof/>
          <w:spacing w:val="7"/>
          <w:lang w:eastAsia="zh-CN"/>
        </w:rPr>
        <w:t>，结算价报每磅</w:t>
      </w:r>
      <w:r w:rsidRPr="00E742AA">
        <w:rPr>
          <w:rFonts w:ascii="微软雅黑" w:eastAsia="微软雅黑" w:hAnsi="微软雅黑" w:cs="微软雅黑"/>
          <w:noProof/>
          <w:spacing w:val="7"/>
          <w:lang w:eastAsia="zh-CN"/>
        </w:rPr>
        <w:t>87.28</w:t>
      </w:r>
      <w:r w:rsidRPr="00E742AA">
        <w:rPr>
          <w:rFonts w:ascii="微软雅黑" w:eastAsia="微软雅黑" w:hAnsi="微软雅黑" w:cs="微软雅黑" w:hint="eastAsia"/>
          <w:noProof/>
          <w:spacing w:val="7"/>
          <w:lang w:eastAsia="zh-CN"/>
        </w:rPr>
        <w:t>美分。</w:t>
      </w:r>
    </w:p>
    <w:p w14:paraId="0DE264A7" w14:textId="0BA5A8DA" w:rsidR="00ED4A18" w:rsidRDefault="00E742AA" w:rsidP="00E742AA">
      <w:pPr>
        <w:spacing w:before="103" w:line="256" w:lineRule="auto"/>
        <w:ind w:right="210" w:firstLine="448"/>
        <w:jc w:val="both"/>
        <w:rPr>
          <w:rFonts w:ascii="微软雅黑" w:eastAsia="微软雅黑" w:hAnsi="微软雅黑" w:cs="微软雅黑" w:hint="eastAsia"/>
          <w:noProof/>
          <w:spacing w:val="7"/>
          <w:lang w:eastAsia="zh-CN"/>
        </w:rPr>
      </w:pPr>
      <w:r w:rsidRPr="00E742AA">
        <w:rPr>
          <w:rFonts w:ascii="微软雅黑" w:eastAsia="微软雅黑" w:hAnsi="微软雅黑" w:cs="微软雅黑" w:hint="eastAsia"/>
          <w:noProof/>
          <w:spacing w:val="7"/>
          <w:lang w:eastAsia="zh-CN"/>
        </w:rPr>
        <w:t>国际方面，据美国农业部</w:t>
      </w:r>
      <w:r w:rsidRPr="00E742AA">
        <w:rPr>
          <w:rFonts w:ascii="微软雅黑" w:eastAsia="微软雅黑" w:hAnsi="微软雅黑" w:cs="微软雅黑"/>
          <w:noProof/>
          <w:spacing w:val="7"/>
          <w:lang w:eastAsia="zh-CN"/>
        </w:rPr>
        <w:t>(USDA)</w:t>
      </w:r>
      <w:r w:rsidRPr="00E742AA">
        <w:rPr>
          <w:rFonts w:ascii="微软雅黑" w:eastAsia="微软雅黑" w:hAnsi="微软雅黑" w:cs="微软雅黑" w:hint="eastAsia"/>
          <w:noProof/>
          <w:spacing w:val="7"/>
          <w:lang w:eastAsia="zh-CN"/>
        </w:rPr>
        <w:t>报告显示，</w:t>
      </w:r>
      <w:r w:rsidRPr="00E742AA">
        <w:rPr>
          <w:rFonts w:ascii="微软雅黑" w:eastAsia="微软雅黑" w:hAnsi="微软雅黑" w:cs="微软雅黑"/>
          <w:noProof/>
          <w:spacing w:val="7"/>
          <w:lang w:eastAsia="zh-CN"/>
        </w:rPr>
        <w:t>8</w:t>
      </w:r>
      <w:r w:rsidRPr="00E742AA">
        <w:rPr>
          <w:rFonts w:ascii="微软雅黑" w:eastAsia="微软雅黑" w:hAnsi="微软雅黑" w:cs="微软雅黑" w:hint="eastAsia"/>
          <w:noProof/>
          <w:spacing w:val="7"/>
          <w:lang w:eastAsia="zh-CN"/>
        </w:rPr>
        <w:t>月</w:t>
      </w:r>
      <w:r w:rsidRPr="00E742AA">
        <w:rPr>
          <w:rFonts w:ascii="微软雅黑" w:eastAsia="微软雅黑" w:hAnsi="微软雅黑" w:cs="微软雅黑"/>
          <w:noProof/>
          <w:spacing w:val="7"/>
          <w:lang w:eastAsia="zh-CN"/>
        </w:rPr>
        <w:t>27</w:t>
      </w:r>
      <w:r w:rsidRPr="00E742AA">
        <w:rPr>
          <w:rFonts w:ascii="微软雅黑" w:eastAsia="微软雅黑" w:hAnsi="微软雅黑" w:cs="微软雅黑" w:hint="eastAsia"/>
          <w:noProof/>
          <w:spacing w:val="7"/>
          <w:lang w:eastAsia="zh-CN"/>
        </w:rPr>
        <w:t>日止当周，美国</w:t>
      </w:r>
      <w:r w:rsidRPr="00E742AA">
        <w:rPr>
          <w:rFonts w:ascii="微软雅黑" w:eastAsia="微软雅黑" w:hAnsi="微软雅黑" w:cs="微软雅黑"/>
          <w:noProof/>
          <w:spacing w:val="7"/>
          <w:lang w:eastAsia="zh-CN"/>
        </w:rPr>
        <w:t>2026/27</w:t>
      </w:r>
      <w:r w:rsidRPr="00E742AA">
        <w:rPr>
          <w:rFonts w:ascii="微软雅黑" w:eastAsia="微软雅黑" w:hAnsi="微软雅黑" w:cs="微软雅黑" w:hint="eastAsia"/>
          <w:noProof/>
          <w:spacing w:val="7"/>
          <w:lang w:eastAsia="zh-CN"/>
        </w:rPr>
        <w:t>年度陆地棉出口销售净增</w:t>
      </w:r>
      <w:r w:rsidRPr="00E742AA">
        <w:rPr>
          <w:rFonts w:ascii="微软雅黑" w:eastAsia="微软雅黑" w:hAnsi="微软雅黑" w:cs="微软雅黑"/>
          <w:noProof/>
          <w:spacing w:val="7"/>
          <w:lang w:eastAsia="zh-CN"/>
        </w:rPr>
        <w:t>2.725</w:t>
      </w:r>
      <w:r w:rsidRPr="00E742AA">
        <w:rPr>
          <w:rFonts w:ascii="微软雅黑" w:eastAsia="微软雅黑" w:hAnsi="微软雅黑" w:cs="微软雅黑" w:hint="eastAsia"/>
          <w:noProof/>
          <w:spacing w:val="7"/>
          <w:lang w:eastAsia="zh-CN"/>
        </w:rPr>
        <w:t>万包，较前周减少</w:t>
      </w:r>
      <w:r w:rsidRPr="00E742AA">
        <w:rPr>
          <w:rFonts w:ascii="微软雅黑" w:eastAsia="微软雅黑" w:hAnsi="微软雅黑" w:cs="微软雅黑"/>
          <w:noProof/>
          <w:spacing w:val="7"/>
          <w:lang w:eastAsia="zh-CN"/>
        </w:rPr>
        <w:t>71%</w:t>
      </w:r>
      <w:r w:rsidRPr="00E742AA">
        <w:rPr>
          <w:rFonts w:ascii="微软雅黑" w:eastAsia="微软雅黑" w:hAnsi="微软雅黑" w:cs="微软雅黑" w:hint="eastAsia"/>
          <w:noProof/>
          <w:spacing w:val="7"/>
          <w:lang w:eastAsia="zh-CN"/>
        </w:rPr>
        <w:t>。当周美国陆地棉出口装运量</w:t>
      </w:r>
      <w:r w:rsidRPr="00E742AA">
        <w:rPr>
          <w:rFonts w:ascii="微软雅黑" w:eastAsia="微软雅黑" w:hAnsi="微软雅黑" w:cs="微软雅黑"/>
          <w:noProof/>
          <w:spacing w:val="7"/>
          <w:lang w:eastAsia="zh-CN"/>
        </w:rPr>
        <w:t>18.95</w:t>
      </w:r>
      <w:r w:rsidRPr="00E742AA">
        <w:rPr>
          <w:rFonts w:ascii="微软雅黑" w:eastAsia="微软雅黑" w:hAnsi="微软雅黑" w:cs="微软雅黑" w:hint="eastAsia"/>
          <w:noProof/>
          <w:spacing w:val="7"/>
          <w:lang w:eastAsia="zh-CN"/>
        </w:rPr>
        <w:t>万包，较前周增加</w:t>
      </w:r>
      <w:r w:rsidRPr="00E742AA">
        <w:rPr>
          <w:rFonts w:ascii="微软雅黑" w:eastAsia="微软雅黑" w:hAnsi="微软雅黑" w:cs="微软雅黑"/>
          <w:noProof/>
          <w:spacing w:val="7"/>
          <w:lang w:eastAsia="zh-CN"/>
        </w:rPr>
        <w:t>5%</w:t>
      </w:r>
      <w:r w:rsidRPr="00E742AA">
        <w:rPr>
          <w:rFonts w:ascii="微软雅黑" w:eastAsia="微软雅黑" w:hAnsi="微软雅黑" w:cs="微软雅黑" w:hint="eastAsia"/>
          <w:noProof/>
          <w:spacing w:val="7"/>
          <w:lang w:eastAsia="zh-CN"/>
        </w:rPr>
        <w:t>。当周美国棉花出口签约量环比大幅减少，出口需求表现疲软</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7323F0C2" w:rsidR="00C24CC6" w:rsidRDefault="00E742AA"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07A41B31" wp14:editId="076BC785">
            <wp:extent cx="5274945" cy="2142490"/>
            <wp:effectExtent l="0" t="0" r="1905" b="0"/>
            <wp:docPr id="1820502094" name="图片 6" descr="QQ截图2026091008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QQ截图202609100800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945" cy="214249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FF9F" w14:textId="77777777" w:rsidR="00562857" w:rsidRDefault="00562857">
      <w:pPr>
        <w:ind w:right="210" w:firstLine="420"/>
      </w:pPr>
      <w:r>
        <w:separator/>
      </w:r>
    </w:p>
  </w:endnote>
  <w:endnote w:type="continuationSeparator" w:id="0">
    <w:p w14:paraId="5446EB7A" w14:textId="77777777" w:rsidR="00562857" w:rsidRDefault="00562857">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2DA5C" w14:textId="77777777" w:rsidR="00562857" w:rsidRDefault="00562857">
      <w:pPr>
        <w:ind w:right="210" w:firstLine="420"/>
      </w:pPr>
      <w:r>
        <w:separator/>
      </w:r>
    </w:p>
  </w:footnote>
  <w:footnote w:type="continuationSeparator" w:id="0">
    <w:p w14:paraId="7D1BA8E4" w14:textId="77777777" w:rsidR="00562857" w:rsidRDefault="00562857">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12C"/>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18F3"/>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2592"/>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345"/>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5C42"/>
    <w:rsid w:val="004268AF"/>
    <w:rsid w:val="00426F5F"/>
    <w:rsid w:val="004275FD"/>
    <w:rsid w:val="004302E0"/>
    <w:rsid w:val="00430790"/>
    <w:rsid w:val="00431D98"/>
    <w:rsid w:val="00432248"/>
    <w:rsid w:val="00432964"/>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4BB"/>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6CA9"/>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2857"/>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3CB7"/>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1884"/>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681"/>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0B4E"/>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817"/>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28C"/>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432E"/>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3A31"/>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27A5"/>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2AA"/>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5336"/>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2026-09-10T01:18:00Z</dcterms:created>
  <dcterms:modified xsi:type="dcterms:W3CDTF">2026-09-10T01:18:00Z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