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2DF86" w14:textId="77777777" w:rsidR="0087172E" w:rsidRDefault="008A616A">
      <w:pPr>
        <w:spacing w:line="720" w:lineRule="auto"/>
        <w:jc w:val="center"/>
        <w:outlineLvl w:val="0"/>
        <w:rPr>
          <w:rFonts w:ascii="宋体" w:hAnsi="宋体"/>
          <w:b/>
          <w:bCs/>
          <w:sz w:val="40"/>
          <w:szCs w:val="44"/>
        </w:rPr>
      </w:pPr>
      <w:r>
        <w:rPr>
          <w:rFonts w:ascii="宋体" w:hAnsi="宋体"/>
          <w:b/>
          <w:bCs/>
          <w:sz w:val="40"/>
          <w:szCs w:val="44"/>
        </w:rPr>
        <w:pict w14:anchorId="5AB749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75pt;height:180pt">
            <v:imagedata r:id="rId8" o:title="微信图片_20240814094509"/>
          </v:shape>
        </w:pict>
      </w:r>
    </w:p>
    <w:p w14:paraId="16430FB9" w14:textId="77777777" w:rsidR="00CA7296" w:rsidRDefault="00CA7296" w:rsidP="00CA7296">
      <w:pPr>
        <w:numPr>
          <w:ilvl w:val="0"/>
          <w:numId w:val="1"/>
        </w:numPr>
        <w:spacing w:beforeLines="50" w:before="156" w:line="312" w:lineRule="auto"/>
        <w:rPr>
          <w:rFonts w:ascii="微软雅黑" w:eastAsia="微软雅黑" w:hAnsi="微软雅黑"/>
          <w:b/>
          <w:bCs/>
          <w:sz w:val="28"/>
          <w:szCs w:val="28"/>
        </w:rPr>
      </w:pPr>
      <w:r>
        <w:rPr>
          <w:rFonts w:ascii="微软雅黑" w:eastAsia="微软雅黑" w:hAnsi="微软雅黑" w:hint="eastAsia"/>
          <w:b/>
          <w:bCs/>
          <w:sz w:val="28"/>
          <w:szCs w:val="28"/>
        </w:rPr>
        <w:t>上周行情回顾</w:t>
      </w:r>
    </w:p>
    <w:p w14:paraId="25BEF9E9" w14:textId="5797016D" w:rsidR="00CA7296" w:rsidRPr="00AA5ABE" w:rsidRDefault="00CA7296" w:rsidP="00CA7296">
      <w:pPr>
        <w:spacing w:line="312" w:lineRule="auto"/>
        <w:ind w:firstLine="420"/>
        <w:rPr>
          <w:rFonts w:ascii="宋体" w:hAnsi="宋体"/>
        </w:rPr>
      </w:pPr>
      <w:r>
        <w:t>周</w:t>
      </w:r>
      <w:r w:rsidR="00BD1196">
        <w:rPr>
          <w:rFonts w:hint="eastAsia"/>
        </w:rPr>
        <w:t>五</w:t>
      </w:r>
      <w:r>
        <w:rPr>
          <w:rFonts w:hint="eastAsia"/>
        </w:rPr>
        <w:t>（</w:t>
      </w:r>
      <w:r w:rsidR="00A67D15">
        <w:rPr>
          <w:rFonts w:hint="eastAsia"/>
        </w:rPr>
        <w:t>9</w:t>
      </w:r>
      <w:r>
        <w:rPr>
          <w:rFonts w:hint="eastAsia"/>
        </w:rPr>
        <w:t>月</w:t>
      </w:r>
      <w:r w:rsidR="00B25FA6">
        <w:t>1</w:t>
      </w:r>
      <w:r w:rsidR="008E0866">
        <w:t>8</w:t>
      </w:r>
      <w:r>
        <w:rPr>
          <w:rFonts w:hint="eastAsia"/>
        </w:rPr>
        <w:t>日）</w:t>
      </w:r>
      <w:r>
        <w:t>美元兑人民币中间价</w:t>
      </w:r>
      <w:r>
        <w:rPr>
          <w:rFonts w:ascii="宋体" w:hAnsi="宋体" w:cs="宋体"/>
        </w:rPr>
        <w:t>报</w:t>
      </w:r>
      <w:r w:rsidR="002D37D1">
        <w:rPr>
          <w:rFonts w:ascii="宋体" w:hAnsi="宋体" w:cs="宋体"/>
        </w:rPr>
        <w:t>6.</w:t>
      </w:r>
      <w:r w:rsidR="00CE7B9B">
        <w:rPr>
          <w:rFonts w:ascii="宋体" w:hAnsi="宋体" w:cs="宋体"/>
        </w:rPr>
        <w:t>7</w:t>
      </w:r>
      <w:r w:rsidR="008A616A">
        <w:rPr>
          <w:rFonts w:ascii="宋体" w:hAnsi="宋体" w:cs="宋体"/>
        </w:rPr>
        <w:t>521</w:t>
      </w:r>
      <w:r>
        <w:rPr>
          <w:rFonts w:ascii="宋体" w:hAnsi="宋体" w:cs="宋体"/>
        </w:rPr>
        <w:t>，</w:t>
      </w:r>
      <w:r w:rsidR="00E648F1">
        <w:rPr>
          <w:rFonts w:ascii="宋体" w:hAnsi="宋体" w:cs="宋体" w:hint="eastAsia"/>
        </w:rPr>
        <w:t>调</w:t>
      </w:r>
      <w:r w:rsidR="00CA5D9E">
        <w:rPr>
          <w:rFonts w:ascii="宋体" w:hAnsi="宋体" w:cs="宋体" w:hint="eastAsia"/>
        </w:rPr>
        <w:t>降</w:t>
      </w:r>
      <w:r w:rsidR="008A616A">
        <w:rPr>
          <w:rFonts w:ascii="宋体" w:hAnsi="宋体" w:cs="宋体" w:hint="eastAsia"/>
        </w:rPr>
        <w:t>5</w:t>
      </w:r>
      <w:r w:rsidR="008A616A">
        <w:rPr>
          <w:rFonts w:ascii="宋体" w:hAnsi="宋体" w:cs="宋体"/>
        </w:rPr>
        <w:t>9</w:t>
      </w:r>
      <w:r w:rsidR="00E648F1">
        <w:rPr>
          <w:rFonts w:ascii="宋体" w:hAnsi="宋体" w:cs="宋体" w:hint="eastAsia"/>
        </w:rPr>
        <w:t>个基点</w:t>
      </w:r>
      <w:r>
        <w:rPr>
          <w:rFonts w:ascii="宋体" w:hAnsi="宋体" w:cs="宋体" w:hint="eastAsia"/>
        </w:rPr>
        <w:t>，累计调</w:t>
      </w:r>
      <w:r w:rsidR="005727D9">
        <w:rPr>
          <w:rFonts w:ascii="宋体" w:hAnsi="宋体" w:cs="宋体" w:hint="eastAsia"/>
        </w:rPr>
        <w:t>降</w:t>
      </w:r>
      <w:r w:rsidR="008A616A">
        <w:rPr>
          <w:rFonts w:ascii="宋体" w:hAnsi="宋体" w:cs="宋体" w:hint="eastAsia"/>
        </w:rPr>
        <w:t>2</w:t>
      </w:r>
      <w:r w:rsidR="008A616A">
        <w:rPr>
          <w:rFonts w:ascii="宋体" w:hAnsi="宋体" w:cs="宋体"/>
        </w:rPr>
        <w:t>22</w:t>
      </w:r>
      <w:r>
        <w:rPr>
          <w:rFonts w:ascii="宋体" w:hAnsi="宋体" w:cs="宋体" w:hint="eastAsia"/>
        </w:rPr>
        <w:t>个基点。港交所美元兑人</w:t>
      </w:r>
      <w:r w:rsidRPr="00AA5ABE">
        <w:rPr>
          <w:rFonts w:hint="eastAsia"/>
        </w:rPr>
        <w:t>民币期货主力合约</w:t>
      </w:r>
      <w:r w:rsidRPr="00AA5ABE">
        <w:rPr>
          <w:rFonts w:ascii="宋体" w:hAnsi="宋体" w:hint="eastAsia"/>
        </w:rPr>
        <w:t>C</w:t>
      </w:r>
      <w:r w:rsidRPr="00AA5ABE">
        <w:rPr>
          <w:rFonts w:ascii="宋体" w:hAnsi="宋体"/>
        </w:rPr>
        <w:t>USF2</w:t>
      </w:r>
      <w:r w:rsidR="00AA5ABE" w:rsidRPr="00AA5ABE">
        <w:rPr>
          <w:rFonts w:ascii="宋体" w:hAnsi="宋体"/>
        </w:rPr>
        <w:t>6</w:t>
      </w:r>
      <w:r w:rsidR="00A0689B">
        <w:rPr>
          <w:rFonts w:ascii="宋体" w:hAnsi="宋体"/>
        </w:rPr>
        <w:t>10</w:t>
      </w:r>
      <w:r w:rsidRPr="00AA5ABE">
        <w:rPr>
          <w:rFonts w:ascii="宋体" w:hAnsi="宋体" w:hint="eastAsia"/>
        </w:rPr>
        <w:t>收</w:t>
      </w:r>
      <w:r w:rsidR="0042595F">
        <w:rPr>
          <w:rFonts w:ascii="宋体" w:hAnsi="宋体" w:hint="eastAsia"/>
        </w:rPr>
        <w:t>跌</w:t>
      </w:r>
      <w:r w:rsidR="0051119D">
        <w:rPr>
          <w:rFonts w:ascii="宋体" w:hAnsi="宋体" w:hint="eastAsia"/>
        </w:rPr>
        <w:t>0</w:t>
      </w:r>
      <w:r w:rsidR="0051119D">
        <w:rPr>
          <w:rFonts w:ascii="宋体" w:hAnsi="宋体"/>
        </w:rPr>
        <w:t>.</w:t>
      </w:r>
      <w:r w:rsidR="0042595F">
        <w:rPr>
          <w:rFonts w:ascii="宋体" w:hAnsi="宋体"/>
        </w:rPr>
        <w:t>40</w:t>
      </w:r>
      <w:r w:rsidR="00FB6956">
        <w:rPr>
          <w:rFonts w:ascii="宋体" w:hAnsi="宋体"/>
        </w:rPr>
        <w:t>%</w:t>
      </w:r>
      <w:r w:rsidR="00EF1A60">
        <w:rPr>
          <w:rFonts w:ascii="宋体" w:hAnsi="宋体" w:hint="eastAsia"/>
        </w:rPr>
        <w:t>，</w:t>
      </w:r>
      <w:r w:rsidRPr="00AA5ABE">
        <w:rPr>
          <w:rFonts w:ascii="宋体" w:hAnsi="宋体" w:hint="eastAsia"/>
        </w:rPr>
        <w:t>新交所美元兑离岸人民币期货主力合约</w:t>
      </w:r>
      <w:r w:rsidRPr="00AA5ABE">
        <w:rPr>
          <w:rFonts w:ascii="宋体" w:hAnsi="宋体"/>
        </w:rPr>
        <w:t>UC</w:t>
      </w:r>
      <w:r w:rsidR="00A0689B">
        <w:rPr>
          <w:rFonts w:ascii="宋体" w:hAnsi="宋体"/>
        </w:rPr>
        <w:t>V</w:t>
      </w:r>
      <w:r w:rsidR="00AA5ABE" w:rsidRPr="00AA5ABE">
        <w:rPr>
          <w:rFonts w:ascii="宋体" w:hAnsi="宋体"/>
        </w:rPr>
        <w:t>26</w:t>
      </w:r>
      <w:r w:rsidRPr="00AA5ABE">
        <w:rPr>
          <w:rFonts w:ascii="宋体" w:hAnsi="宋体" w:hint="eastAsia"/>
        </w:rPr>
        <w:t>收</w:t>
      </w:r>
      <w:r w:rsidR="0042595F">
        <w:rPr>
          <w:rFonts w:ascii="宋体" w:hAnsi="宋体" w:hint="eastAsia"/>
        </w:rPr>
        <w:t>涨</w:t>
      </w:r>
      <w:r w:rsidR="0051119D">
        <w:rPr>
          <w:rFonts w:ascii="宋体" w:hAnsi="宋体" w:hint="eastAsia"/>
        </w:rPr>
        <w:t>0</w:t>
      </w:r>
      <w:r w:rsidR="0051119D">
        <w:rPr>
          <w:rFonts w:ascii="宋体" w:hAnsi="宋体"/>
        </w:rPr>
        <w:t>.</w:t>
      </w:r>
      <w:r w:rsidR="0042595F">
        <w:rPr>
          <w:rFonts w:ascii="宋体" w:hAnsi="宋体"/>
        </w:rPr>
        <w:t>03</w:t>
      </w:r>
      <w:r w:rsidR="007844B4" w:rsidRPr="00AA5ABE">
        <w:rPr>
          <w:rFonts w:ascii="宋体" w:hAnsi="宋体"/>
        </w:rPr>
        <w:t>%</w:t>
      </w:r>
      <w:r w:rsidRPr="00AA5ABE">
        <w:rPr>
          <w:rFonts w:ascii="宋体" w:hAnsi="宋体" w:hint="eastAsia"/>
        </w:rPr>
        <w:t>。</w:t>
      </w:r>
    </w:p>
    <w:p w14:paraId="2A8620FC" w14:textId="422F4C53" w:rsidR="00CA7296" w:rsidRDefault="00CA7296" w:rsidP="00CA7296">
      <w:pPr>
        <w:spacing w:line="312" w:lineRule="auto"/>
        <w:ind w:firstLine="420"/>
      </w:pPr>
      <w:r>
        <w:rPr>
          <w:rFonts w:ascii="宋体" w:hAnsi="宋体" w:cs="宋体" w:hint="eastAsia"/>
        </w:rPr>
        <w:t>美元兑在岸人民币</w:t>
      </w:r>
      <w:r>
        <w:t>收报</w:t>
      </w:r>
      <w:r w:rsidR="003A699C">
        <w:t>6</w:t>
      </w:r>
      <w:r w:rsidR="006A0016">
        <w:t>.</w:t>
      </w:r>
      <w:r w:rsidR="0042595F">
        <w:t>6973</w:t>
      </w:r>
      <w:r>
        <w:t>，</w:t>
      </w:r>
      <w:r>
        <w:rPr>
          <w:rFonts w:hint="eastAsia"/>
        </w:rPr>
        <w:t>美元</w:t>
      </w:r>
      <w:bookmarkStart w:id="0" w:name="_GoBack"/>
      <w:bookmarkEnd w:id="0"/>
      <w:r>
        <w:rPr>
          <w:rFonts w:hint="eastAsia"/>
        </w:rPr>
        <w:t>兑离岸人民币收报</w:t>
      </w:r>
      <w:r w:rsidR="003A699C">
        <w:t>6</w:t>
      </w:r>
      <w:r w:rsidR="00C870C1">
        <w:t>.</w:t>
      </w:r>
      <w:r w:rsidR="0036569F">
        <w:t>6954</w:t>
      </w:r>
      <w:r>
        <w:rPr>
          <w:rFonts w:hint="eastAsia"/>
        </w:rPr>
        <w:t>，在当周</w:t>
      </w:r>
      <w:r>
        <w:t>分别</w:t>
      </w:r>
      <w:r w:rsidR="002A79DF">
        <w:rPr>
          <w:rFonts w:hint="eastAsia"/>
        </w:rPr>
        <w:t>下跌</w:t>
      </w:r>
      <w:r w:rsidR="002A6475">
        <w:rPr>
          <w:rFonts w:hint="eastAsia"/>
        </w:rPr>
        <w:t>0</w:t>
      </w:r>
      <w:r w:rsidR="002A6475">
        <w:t>.</w:t>
      </w:r>
      <w:r w:rsidR="0042595F">
        <w:t>1</w:t>
      </w:r>
      <w:r w:rsidR="008A2ED9">
        <w:t>4</w:t>
      </w:r>
      <w:r w:rsidR="002A6475">
        <w:t>%</w:t>
      </w:r>
      <w:r>
        <w:t>和</w:t>
      </w:r>
      <w:r w:rsidR="0036569F">
        <w:rPr>
          <w:rFonts w:hint="eastAsia"/>
        </w:rPr>
        <w:t>下跌</w:t>
      </w:r>
      <w:r w:rsidR="00827B82">
        <w:rPr>
          <w:rFonts w:hint="eastAsia"/>
        </w:rPr>
        <w:t>0</w:t>
      </w:r>
      <w:r w:rsidR="00827B82">
        <w:t>.</w:t>
      </w:r>
      <w:r w:rsidR="0036569F">
        <w:t>19</w:t>
      </w:r>
      <w:r w:rsidR="002A6475">
        <w:t>%</w:t>
      </w:r>
      <w:r>
        <w:t>。欧元兑人民币报</w:t>
      </w:r>
      <w:r w:rsidR="0051119D">
        <w:t>7</w:t>
      </w:r>
      <w:r w:rsidR="00374735">
        <w:t>.</w:t>
      </w:r>
      <w:r w:rsidR="0036569F">
        <w:t>6804</w:t>
      </w:r>
      <w:r>
        <w:t>、英镑兑人民币报</w:t>
      </w:r>
      <w:r w:rsidR="003B3DB4">
        <w:t>8.9531</w:t>
      </w:r>
      <w:r w:rsidR="00787BFA">
        <w:rPr>
          <w:rFonts w:hint="eastAsia"/>
        </w:rPr>
        <w:t>、</w:t>
      </w:r>
      <w:r w:rsidR="000959E1">
        <w:rPr>
          <w:rFonts w:hint="eastAsia"/>
        </w:rPr>
        <w:t>日元</w:t>
      </w:r>
      <w:r>
        <w:t>兑</w:t>
      </w:r>
      <w:r w:rsidR="000959E1">
        <w:rPr>
          <w:rFonts w:hint="eastAsia"/>
        </w:rPr>
        <w:t>人民币</w:t>
      </w:r>
      <w:r>
        <w:t>报</w:t>
      </w:r>
      <w:r w:rsidR="001938CF">
        <w:t>4</w:t>
      </w:r>
      <w:r w:rsidR="00103A47">
        <w:t>.</w:t>
      </w:r>
      <w:r w:rsidR="0036569F">
        <w:t>2408</w:t>
      </w:r>
      <w:r w:rsidR="000959E1">
        <w:rPr>
          <w:rFonts w:hint="eastAsia"/>
        </w:rPr>
        <w:t>、</w:t>
      </w:r>
      <w:r>
        <w:t>澳元兑人民币报</w:t>
      </w:r>
      <w:r>
        <w:t>4</w:t>
      </w:r>
      <w:r w:rsidR="006B50D4">
        <w:t>.</w:t>
      </w:r>
      <w:r w:rsidR="0036569F">
        <w:t>7723</w:t>
      </w:r>
      <w:r>
        <w:rPr>
          <w:rFonts w:hint="eastAsia"/>
        </w:rPr>
        <w:t>，在当</w:t>
      </w:r>
      <w:r>
        <w:t>周分别</w:t>
      </w:r>
      <w:r w:rsidR="003F57F4">
        <w:rPr>
          <w:rFonts w:hint="eastAsia"/>
        </w:rPr>
        <w:t>跌</w:t>
      </w:r>
      <w:r w:rsidR="0036569F">
        <w:t>1.24</w:t>
      </w:r>
      <w:r w:rsidR="002A6475">
        <w:t>%</w:t>
      </w:r>
      <w:r>
        <w:t>、</w:t>
      </w:r>
      <w:r w:rsidR="003F57F4">
        <w:rPr>
          <w:rFonts w:hint="eastAsia"/>
        </w:rPr>
        <w:t>跌</w:t>
      </w:r>
      <w:r w:rsidR="0036569F">
        <w:t>1.27</w:t>
      </w:r>
      <w:r w:rsidR="00DD51CB">
        <w:t>%</w:t>
      </w:r>
      <w:r>
        <w:rPr>
          <w:rFonts w:hint="eastAsia"/>
        </w:rPr>
        <w:t>、</w:t>
      </w:r>
      <w:r w:rsidR="0036569F">
        <w:rPr>
          <w:rFonts w:hint="eastAsia"/>
        </w:rPr>
        <w:t>跌</w:t>
      </w:r>
      <w:r w:rsidR="0036569F">
        <w:rPr>
          <w:rFonts w:hint="eastAsia"/>
        </w:rPr>
        <w:t>2</w:t>
      </w:r>
      <w:r w:rsidR="0036569F">
        <w:t>.55</w:t>
      </w:r>
      <w:r w:rsidR="002A6475">
        <w:t>%</w:t>
      </w:r>
      <w:r>
        <w:t>和</w:t>
      </w:r>
      <w:r w:rsidR="002A79DF">
        <w:rPr>
          <w:rFonts w:hint="eastAsia"/>
        </w:rPr>
        <w:t>跌</w:t>
      </w:r>
      <w:r w:rsidR="00827B82">
        <w:rPr>
          <w:rFonts w:hint="eastAsia"/>
        </w:rPr>
        <w:t>0</w:t>
      </w:r>
      <w:r w:rsidR="00827B82">
        <w:t>.</w:t>
      </w:r>
      <w:r w:rsidR="0036569F">
        <w:t>81</w:t>
      </w:r>
      <w:r w:rsidR="00FF18A2">
        <w:t>%</w:t>
      </w:r>
      <w:r>
        <w:t>。</w:t>
      </w:r>
    </w:p>
    <w:p w14:paraId="76AC2601" w14:textId="2006C95A" w:rsidR="00CA7296" w:rsidRDefault="001431CC" w:rsidP="00CA7296">
      <w:pPr>
        <w:spacing w:line="312" w:lineRule="auto"/>
        <w:ind w:firstLine="420"/>
      </w:pPr>
      <w:r>
        <w:rPr>
          <w:rFonts w:hint="eastAsia"/>
        </w:rPr>
        <w:t>上</w:t>
      </w:r>
      <w:r w:rsidR="007E1257">
        <w:rPr>
          <w:rFonts w:hint="eastAsia"/>
        </w:rPr>
        <w:t>周</w:t>
      </w:r>
      <w:r w:rsidR="007E1257" w:rsidRPr="007E1257">
        <w:rPr>
          <w:rFonts w:hint="eastAsia"/>
        </w:rPr>
        <w:t>央行公开市场累计进行了</w:t>
      </w:r>
      <w:r w:rsidR="00EE3D6E" w:rsidRPr="00EE3D6E">
        <w:rPr>
          <w:rFonts w:hint="eastAsia"/>
        </w:rPr>
        <w:t>8353</w:t>
      </w:r>
      <w:r w:rsidR="00EE3D6E" w:rsidRPr="00EE3D6E">
        <w:rPr>
          <w:rFonts w:hint="eastAsia"/>
        </w:rPr>
        <w:t>亿元逆回购操作和</w:t>
      </w:r>
      <w:r w:rsidR="00EE3D6E" w:rsidRPr="00EE3D6E">
        <w:rPr>
          <w:rFonts w:hint="eastAsia"/>
        </w:rPr>
        <w:t>5000</w:t>
      </w:r>
      <w:r w:rsidR="00EE3D6E" w:rsidRPr="00EE3D6E">
        <w:rPr>
          <w:rFonts w:hint="eastAsia"/>
        </w:rPr>
        <w:t>亿元买断式逆回购操作，本周央行公开市场有</w:t>
      </w:r>
      <w:r w:rsidR="00EE3D6E" w:rsidRPr="00EE3D6E">
        <w:rPr>
          <w:rFonts w:hint="eastAsia"/>
        </w:rPr>
        <w:t>85</w:t>
      </w:r>
      <w:r w:rsidR="00EE3D6E" w:rsidRPr="00EE3D6E">
        <w:rPr>
          <w:rFonts w:hint="eastAsia"/>
        </w:rPr>
        <w:t>亿元</w:t>
      </w:r>
      <w:r w:rsidR="00EE3D6E" w:rsidRPr="00EE3D6E">
        <w:rPr>
          <w:rFonts w:hint="eastAsia"/>
        </w:rPr>
        <w:t>7</w:t>
      </w:r>
      <w:r w:rsidR="00EE3D6E" w:rsidRPr="00EE3D6E">
        <w:rPr>
          <w:rFonts w:hint="eastAsia"/>
        </w:rPr>
        <w:t>天期逆回购和</w:t>
      </w:r>
      <w:r w:rsidR="00EE3D6E" w:rsidRPr="00EE3D6E">
        <w:rPr>
          <w:rFonts w:hint="eastAsia"/>
        </w:rPr>
        <w:t>5000</w:t>
      </w:r>
      <w:r w:rsidR="00EE3D6E" w:rsidRPr="00EE3D6E">
        <w:rPr>
          <w:rFonts w:hint="eastAsia"/>
        </w:rPr>
        <w:t>亿元买断式逆回购到期，因此净投放</w:t>
      </w:r>
      <w:r w:rsidR="00EE3D6E" w:rsidRPr="00EE3D6E">
        <w:rPr>
          <w:rFonts w:hint="eastAsia"/>
        </w:rPr>
        <w:t>8268</w:t>
      </w:r>
      <w:r w:rsidR="00EE3D6E" w:rsidRPr="00EE3D6E">
        <w:rPr>
          <w:rFonts w:hint="eastAsia"/>
        </w:rPr>
        <w:t>亿元。</w:t>
      </w:r>
    </w:p>
    <w:p w14:paraId="453AF8FD" w14:textId="77777777" w:rsidR="00CA7296" w:rsidRDefault="00CA7296" w:rsidP="00CA7296">
      <w:pPr>
        <w:numPr>
          <w:ilvl w:val="0"/>
          <w:numId w:val="1"/>
        </w:numPr>
        <w:spacing w:beforeLines="50" w:before="156" w:line="312" w:lineRule="auto"/>
        <w:rPr>
          <w:rFonts w:ascii="微软雅黑" w:eastAsia="微软雅黑" w:hAnsi="微软雅黑"/>
          <w:bCs/>
          <w:sz w:val="28"/>
          <w:szCs w:val="28"/>
        </w:rPr>
      </w:pPr>
      <w:r>
        <w:rPr>
          <w:rFonts w:ascii="微软雅黑" w:eastAsia="微软雅黑" w:hAnsi="微软雅黑" w:hint="eastAsia"/>
          <w:b/>
          <w:bCs/>
          <w:sz w:val="28"/>
          <w:szCs w:val="28"/>
        </w:rPr>
        <w:t>消息回顾</w:t>
      </w:r>
    </w:p>
    <w:p w14:paraId="34676110" w14:textId="5D892FF0" w:rsidR="00ED110E" w:rsidRDefault="00CA7296" w:rsidP="0011314B">
      <w:pPr>
        <w:spacing w:line="312" w:lineRule="auto"/>
        <w:ind w:firstLine="420"/>
        <w:rPr>
          <w:rFonts w:ascii="宋体" w:hAnsi="宋体"/>
        </w:rPr>
      </w:pPr>
      <w:r w:rsidRPr="0086476E">
        <w:rPr>
          <w:rFonts w:ascii="宋体" w:hAnsi="宋体"/>
        </w:rPr>
        <w:t>1</w:t>
      </w:r>
      <w:r w:rsidR="00626AF8">
        <w:rPr>
          <w:rFonts w:ascii="宋体" w:hAnsi="宋体" w:hint="eastAsia"/>
        </w:rPr>
        <w:t>、</w:t>
      </w:r>
      <w:r w:rsidR="009E22B5" w:rsidRPr="009E22B5">
        <w:rPr>
          <w:rFonts w:ascii="宋体" w:hAnsi="宋体" w:hint="eastAsia"/>
        </w:rPr>
        <w:t>美方将《2026年格雷厄姆制裁俄罗斯和伊朗法案》签署成法。该法明确可对进口俄罗斯石油或天然气的第三国加征最高100%所谓“次级关税”。商务部新闻发言人对此表示，中方一贯反对缺乏联合国授权和国际法依据的单边制裁，反对以涉及第三方为由，对他国采取所谓次级制裁措施。我们将继续密切关注美方后续举措，并保留采取一切必要措施的权利，坚定维护中国国家主权和发展利益以及企业的合法正当权益。</w:t>
      </w:r>
    </w:p>
    <w:p w14:paraId="3316BE34" w14:textId="78DD098A" w:rsidR="00785749" w:rsidRPr="0011314B" w:rsidRDefault="00CA7296" w:rsidP="0011314B">
      <w:pPr>
        <w:spacing w:line="312" w:lineRule="auto"/>
        <w:ind w:firstLine="420"/>
        <w:rPr>
          <w:rFonts w:ascii="宋体" w:hAnsi="宋体"/>
        </w:rPr>
      </w:pPr>
      <w:r w:rsidRPr="0086476E">
        <w:rPr>
          <w:rFonts w:ascii="宋体" w:hAnsi="宋体" w:hint="eastAsia"/>
        </w:rPr>
        <w:t>2、</w:t>
      </w:r>
      <w:r w:rsidR="009E22B5" w:rsidRPr="009E22B5">
        <w:rPr>
          <w:rFonts w:ascii="宋体" w:hAnsi="宋体" w:hint="eastAsia"/>
        </w:rPr>
        <w:t>9月16日，《求是》杂志刊发央行行长潘功胜署名文章，题为《深刻认识中国金融结构变迁 提升金融服务实体经济适配性》。文章指出，金融总量增速趋缓，有利于保持宏观杠杆率基本稳定。要持续推进货币政策框架转型，构建科学稳健的货币政策体系。不断优化货币政策中间变量，淡化对数量目标的关注，特别是对贷款单一渠道的关注，把金融总量更多作为观测性、参考性、预期性指标。更加注重发挥价格型调控的作用，健全市场化的利率形成、调控和传导机制。</w:t>
      </w:r>
    </w:p>
    <w:p w14:paraId="0E3CF4D4" w14:textId="421E1008" w:rsidR="006F775F" w:rsidRDefault="00BC01B8" w:rsidP="001F0839">
      <w:pPr>
        <w:spacing w:line="312" w:lineRule="auto"/>
        <w:ind w:firstLine="420"/>
        <w:rPr>
          <w:rFonts w:ascii="宋体" w:hAnsi="宋体"/>
        </w:rPr>
      </w:pPr>
      <w:r w:rsidRPr="00CA1C69">
        <w:rPr>
          <w:rFonts w:ascii="宋体" w:hAnsi="宋体"/>
        </w:rPr>
        <w:t>3</w:t>
      </w:r>
      <w:r w:rsidRPr="00CA1C69">
        <w:rPr>
          <w:rFonts w:ascii="宋体" w:hAnsi="宋体" w:hint="eastAsia"/>
        </w:rPr>
        <w:t>、</w:t>
      </w:r>
      <w:r w:rsidR="009E22B5" w:rsidRPr="009E22B5">
        <w:rPr>
          <w:rFonts w:ascii="宋体" w:hAnsi="宋体" w:hint="eastAsia"/>
        </w:rPr>
        <w:t>美国总统特朗普表示，美国对伊朗问题正处于“决策阶段”，未来不久将发生“非</w:t>
      </w:r>
      <w:r w:rsidR="009E22B5" w:rsidRPr="009E22B5">
        <w:rPr>
          <w:rFonts w:ascii="宋体" w:hAnsi="宋体" w:hint="eastAsia"/>
        </w:rPr>
        <w:lastRenderedPageBreak/>
        <w:t>常重大的事情”。目前摆在桌面上的选项包括：彻底摧毁伊朗，让伊朗经济继续恶化，或者达成协议。伊朗哈塔姆·安比亚中央司令部发表声明称，情报显示，美国已在某些中东地区国家默许下，决定再次对伊朗采取敌对行动。任何美国袭击都将导致伊方报复。</w:t>
      </w:r>
    </w:p>
    <w:p w14:paraId="630B9579" w14:textId="7C6F6DD9" w:rsidR="00BC01B8" w:rsidRPr="00F44D25" w:rsidRDefault="00BC01B8" w:rsidP="001F0839">
      <w:pPr>
        <w:spacing w:line="312" w:lineRule="auto"/>
        <w:ind w:firstLine="420"/>
        <w:rPr>
          <w:rFonts w:ascii="宋体" w:hAnsi="宋体"/>
        </w:rPr>
      </w:pPr>
      <w:r w:rsidRPr="0086476E">
        <w:rPr>
          <w:rFonts w:ascii="宋体" w:hAnsi="宋体" w:hint="eastAsia"/>
        </w:rPr>
        <w:t>4、</w:t>
      </w:r>
      <w:r w:rsidR="009E22B5" w:rsidRPr="009E22B5">
        <w:rPr>
          <w:rFonts w:ascii="宋体" w:hAnsi="宋体" w:hint="eastAsia"/>
        </w:rPr>
        <w:t>加拿大总理卡尼在法国斯特拉斯堡欧洲议会发表演讲，强调加拿大与欧盟之间长期形成的共同价值观及伙伴关系，并呼吁双方进一步加强合作。卡尼表示，加拿大和欧盟“不是只在顺境中才站在一起的盟友，也不寻求零和式交易”。加拿大能够大规模向欧洲提供液化天然气和氢能，为欧洲能源安全提供支持。加拿大正在参与欧盟规模达1500亿欧元的“欧洲安全行动”计划，并称加拿大是参与该计划的首个非欧洲国家。欧盟-加拿大峰会将于10月在蒙特利尔举行。</w:t>
      </w:r>
    </w:p>
    <w:p w14:paraId="0C5E6DC3" w14:textId="77777777" w:rsidR="00CA7296" w:rsidRDefault="00CA7296" w:rsidP="00CA7296">
      <w:pPr>
        <w:numPr>
          <w:ilvl w:val="0"/>
          <w:numId w:val="1"/>
        </w:numPr>
        <w:spacing w:beforeLines="50" w:before="156" w:line="312" w:lineRule="auto"/>
        <w:rPr>
          <w:rFonts w:ascii="微软雅黑" w:eastAsia="微软雅黑" w:hAnsi="微软雅黑"/>
          <w:b/>
          <w:bCs/>
          <w:sz w:val="28"/>
          <w:szCs w:val="28"/>
        </w:rPr>
      </w:pPr>
      <w:r>
        <w:rPr>
          <w:rFonts w:ascii="微软雅黑" w:eastAsia="微软雅黑" w:hAnsi="微软雅黑" w:hint="eastAsia"/>
          <w:b/>
          <w:bCs/>
          <w:sz w:val="28"/>
          <w:szCs w:val="28"/>
        </w:rPr>
        <w:t>相关图表</w:t>
      </w:r>
    </w:p>
    <w:p w14:paraId="1DA585C4" w14:textId="77777777"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1</w:t>
      </w:r>
      <w:r>
        <w:rPr>
          <w:rFonts w:ascii="宋体" w:eastAsia="宋体" w:hAnsi="宋体"/>
          <w:b/>
        </w:rPr>
        <w:fldChar w:fldCharType="end"/>
      </w:r>
      <w:r>
        <w:rPr>
          <w:rFonts w:ascii="宋体" w:eastAsia="宋体" w:hAnsi="宋体"/>
          <w:b/>
        </w:rPr>
        <w:t xml:space="preserve"> </w:t>
      </w:r>
      <w:r>
        <w:rPr>
          <w:rFonts w:ascii="宋体" w:eastAsia="宋体" w:hAnsi="宋体" w:hint="eastAsia"/>
          <w:b/>
        </w:rPr>
        <w:t>美元兑人民币中间价</w:t>
      </w:r>
    </w:p>
    <w:p w14:paraId="72098552" w14:textId="427342A2" w:rsidR="00CA7296" w:rsidRDefault="00051C71" w:rsidP="00CA7296">
      <w:pPr>
        <w:spacing w:beforeLines="50" w:before="156" w:line="312" w:lineRule="auto"/>
        <w:jc w:val="center"/>
        <w:rPr>
          <w:rFonts w:ascii="微软雅黑" w:eastAsia="微软雅黑" w:hAnsi="微软雅黑"/>
          <w:b/>
          <w:bCs/>
          <w:sz w:val="28"/>
          <w:szCs w:val="28"/>
        </w:rPr>
      </w:pPr>
      <w:r>
        <w:rPr>
          <w:noProof/>
        </w:rPr>
        <w:t xml:space="preserve"> </w:t>
      </w:r>
      <w:r w:rsidR="008A616A">
        <w:rPr>
          <w:noProof/>
        </w:rPr>
        <w:drawing>
          <wp:inline distT="0" distB="0" distL="0" distR="0" wp14:anchorId="5AD02794" wp14:editId="1B9D5A77">
            <wp:extent cx="3829050" cy="212380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56796" cy="2139195"/>
                    </a:xfrm>
                    <a:prstGeom prst="rect">
                      <a:avLst/>
                    </a:prstGeom>
                  </pic:spPr>
                </pic:pic>
              </a:graphicData>
            </a:graphic>
          </wp:inline>
        </w:drawing>
      </w:r>
    </w:p>
    <w:p w14:paraId="724C81D0" w14:textId="676325FD"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7C1CFF78" w14:textId="05DD9DB6" w:rsidR="00CA7296" w:rsidRDefault="00CA7296" w:rsidP="00CA7296">
      <w:pPr>
        <w:pStyle w:val="a3"/>
        <w:keepNext/>
        <w:jc w:val="left"/>
        <w:rPr>
          <w:rFonts w:ascii="宋体" w:eastAsia="宋体" w:hAnsi="宋体"/>
          <w:b/>
        </w:rPr>
      </w:pPr>
      <w:r>
        <w:rPr>
          <w:rFonts w:ascii="宋体" w:eastAsia="宋体" w:hAnsi="宋体"/>
          <w:b/>
        </w:rPr>
        <w:lastRenderedPageBreak/>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2</w:t>
      </w:r>
      <w:r>
        <w:rPr>
          <w:rFonts w:ascii="宋体" w:eastAsia="宋体" w:hAnsi="宋体"/>
          <w:b/>
        </w:rPr>
        <w:fldChar w:fldCharType="end"/>
      </w:r>
      <w:r>
        <w:rPr>
          <w:rFonts w:ascii="宋体" w:eastAsia="宋体" w:hAnsi="宋体"/>
          <w:b/>
        </w:rPr>
        <w:t xml:space="preserve"> </w:t>
      </w:r>
      <w:r>
        <w:rPr>
          <w:rFonts w:ascii="宋体" w:eastAsia="宋体" w:hAnsi="宋体" w:hint="eastAsia"/>
          <w:b/>
        </w:rPr>
        <w:t>港交所美元兑人民币期货</w:t>
      </w:r>
      <w:r w:rsidR="00081272">
        <w:rPr>
          <w:rFonts w:ascii="宋体" w:eastAsia="宋体" w:hAnsi="宋体"/>
          <w:b/>
        </w:rPr>
        <w:t>CUS</w:t>
      </w:r>
      <w:r w:rsidR="00433DAC">
        <w:rPr>
          <w:rFonts w:ascii="宋体" w:eastAsia="宋体" w:hAnsi="宋体" w:hint="eastAsia"/>
          <w:b/>
        </w:rPr>
        <w:t>主</w:t>
      </w:r>
      <w:r w:rsidR="00EE0ABC">
        <w:rPr>
          <w:rFonts w:ascii="宋体" w:eastAsia="宋体" w:hAnsi="宋体" w:hint="eastAsia"/>
          <w:b/>
        </w:rPr>
        <w:t>连</w:t>
      </w:r>
      <w:r>
        <w:rPr>
          <w:rFonts w:ascii="宋体" w:eastAsia="宋体" w:hAnsi="宋体" w:hint="eastAsia"/>
          <w:b/>
        </w:rPr>
        <w:t>收盘价</w:t>
      </w:r>
    </w:p>
    <w:p w14:paraId="7F81A8FC" w14:textId="431172B5" w:rsidR="00CA7296" w:rsidRDefault="003B3DB4" w:rsidP="00CA7296">
      <w:pPr>
        <w:spacing w:line="360" w:lineRule="auto"/>
        <w:jc w:val="center"/>
        <w:rPr>
          <w:rFonts w:ascii="宋体" w:hAnsi="宋体"/>
          <w:sz w:val="18"/>
          <w:szCs w:val="18"/>
        </w:rPr>
      </w:pPr>
      <w:r>
        <w:rPr>
          <w:noProof/>
        </w:rPr>
        <w:drawing>
          <wp:inline distT="0" distB="0" distL="0" distR="0" wp14:anchorId="0F6A5BCE" wp14:editId="6F9B8C96">
            <wp:extent cx="5121587" cy="3343275"/>
            <wp:effectExtent l="0" t="0" r="317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22748" cy="3344033"/>
                    </a:xfrm>
                    <a:prstGeom prst="rect">
                      <a:avLst/>
                    </a:prstGeom>
                  </pic:spPr>
                </pic:pic>
              </a:graphicData>
            </a:graphic>
          </wp:inline>
        </w:drawing>
      </w:r>
    </w:p>
    <w:p w14:paraId="2C3CB845" w14:textId="55F2DBAF"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3075F81F" w14:textId="40DC0629"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3</w:t>
      </w:r>
      <w:r>
        <w:rPr>
          <w:rFonts w:ascii="宋体" w:eastAsia="宋体" w:hAnsi="宋体"/>
          <w:b/>
        </w:rPr>
        <w:fldChar w:fldCharType="end"/>
      </w:r>
      <w:r>
        <w:rPr>
          <w:rFonts w:ascii="宋体" w:eastAsia="宋体" w:hAnsi="宋体"/>
          <w:b/>
        </w:rPr>
        <w:t xml:space="preserve"> </w:t>
      </w:r>
      <w:r>
        <w:rPr>
          <w:rFonts w:ascii="宋体" w:eastAsia="宋体" w:hAnsi="宋体" w:hint="eastAsia"/>
          <w:b/>
        </w:rPr>
        <w:t>港交所美元兑人民币期货</w:t>
      </w:r>
      <w:r w:rsidR="00081272">
        <w:rPr>
          <w:rFonts w:ascii="宋体" w:eastAsia="宋体" w:hAnsi="宋体"/>
          <w:b/>
        </w:rPr>
        <w:t>CUS</w:t>
      </w:r>
      <w:r>
        <w:rPr>
          <w:rFonts w:ascii="宋体" w:eastAsia="宋体" w:hAnsi="宋体" w:hint="eastAsia"/>
          <w:b/>
        </w:rPr>
        <w:t>涨跌幅（%）</w:t>
      </w:r>
    </w:p>
    <w:p w14:paraId="38BC9AEC" w14:textId="1A68C6E2" w:rsidR="00CA7296" w:rsidRPr="00AB4AA6" w:rsidRDefault="008A616A" w:rsidP="00AB4AA6">
      <w:pPr>
        <w:jc w:val="center"/>
      </w:pPr>
      <w:r>
        <w:rPr>
          <w:noProof/>
        </w:rPr>
        <w:drawing>
          <wp:inline distT="0" distB="0" distL="0" distR="0" wp14:anchorId="40A28C51" wp14:editId="5E03FDCC">
            <wp:extent cx="3924300" cy="2318152"/>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40028" cy="2327443"/>
                    </a:xfrm>
                    <a:prstGeom prst="rect">
                      <a:avLst/>
                    </a:prstGeom>
                  </pic:spPr>
                </pic:pic>
              </a:graphicData>
            </a:graphic>
          </wp:inline>
        </w:drawing>
      </w:r>
    </w:p>
    <w:p w14:paraId="36902B86" w14:textId="710363B6"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53E27AB6" w14:textId="68D8CEDE" w:rsidR="00CA7296" w:rsidRDefault="00CA7296" w:rsidP="00CA7296">
      <w:pPr>
        <w:pStyle w:val="a3"/>
        <w:keepNext/>
        <w:jc w:val="left"/>
        <w:rPr>
          <w:rFonts w:ascii="宋体" w:eastAsia="宋体" w:hAnsi="宋体"/>
          <w:b/>
        </w:rPr>
      </w:pPr>
      <w:r>
        <w:rPr>
          <w:rFonts w:ascii="宋体" w:eastAsia="宋体" w:hAnsi="宋体"/>
          <w:b/>
        </w:rPr>
        <w:lastRenderedPageBreak/>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4</w:t>
      </w:r>
      <w:r>
        <w:rPr>
          <w:rFonts w:ascii="宋体" w:eastAsia="宋体" w:hAnsi="宋体"/>
          <w:b/>
        </w:rPr>
        <w:fldChar w:fldCharType="end"/>
      </w:r>
      <w:r>
        <w:rPr>
          <w:rFonts w:ascii="宋体" w:eastAsia="宋体" w:hAnsi="宋体"/>
          <w:b/>
        </w:rPr>
        <w:t xml:space="preserve"> </w:t>
      </w:r>
      <w:r>
        <w:rPr>
          <w:rFonts w:ascii="宋体" w:eastAsia="宋体" w:hAnsi="宋体" w:hint="eastAsia"/>
          <w:b/>
        </w:rPr>
        <w:t>新交所美元兑人民币期货</w:t>
      </w:r>
      <w:r>
        <w:rPr>
          <w:rFonts w:ascii="宋体" w:eastAsia="宋体" w:hAnsi="宋体"/>
          <w:b/>
        </w:rPr>
        <w:t>UC</w:t>
      </w:r>
      <w:r w:rsidR="00EE0ABC">
        <w:rPr>
          <w:rFonts w:ascii="宋体" w:eastAsia="宋体" w:hAnsi="宋体" w:hint="eastAsia"/>
          <w:b/>
        </w:rPr>
        <w:t>主连</w:t>
      </w:r>
      <w:r>
        <w:rPr>
          <w:rFonts w:ascii="宋体" w:eastAsia="宋体" w:hAnsi="宋体" w:hint="eastAsia"/>
          <w:b/>
        </w:rPr>
        <w:t>收盘价</w:t>
      </w:r>
    </w:p>
    <w:p w14:paraId="328A7973" w14:textId="5A048A0B" w:rsidR="00CA7296" w:rsidRDefault="003B3DB4" w:rsidP="00CA7296">
      <w:pPr>
        <w:jc w:val="center"/>
      </w:pPr>
      <w:r>
        <w:rPr>
          <w:noProof/>
        </w:rPr>
        <w:drawing>
          <wp:inline distT="0" distB="0" distL="0" distR="0" wp14:anchorId="7B30A4E7" wp14:editId="55C6DDCE">
            <wp:extent cx="5067300" cy="2506807"/>
            <wp:effectExtent l="0" t="0" r="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69609" cy="2507949"/>
                    </a:xfrm>
                    <a:prstGeom prst="rect">
                      <a:avLst/>
                    </a:prstGeom>
                  </pic:spPr>
                </pic:pic>
              </a:graphicData>
            </a:graphic>
          </wp:inline>
        </w:drawing>
      </w:r>
    </w:p>
    <w:p w14:paraId="056208BF" w14:textId="09D31C14"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1CF6444E" w14:textId="77777777"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5</w:t>
      </w:r>
      <w:r>
        <w:rPr>
          <w:rFonts w:ascii="宋体" w:eastAsia="宋体" w:hAnsi="宋体"/>
          <w:b/>
        </w:rPr>
        <w:fldChar w:fldCharType="end"/>
      </w:r>
      <w:r>
        <w:rPr>
          <w:rFonts w:ascii="宋体" w:eastAsia="宋体" w:hAnsi="宋体"/>
          <w:b/>
        </w:rPr>
        <w:t xml:space="preserve"> </w:t>
      </w:r>
      <w:r>
        <w:rPr>
          <w:rFonts w:ascii="宋体" w:eastAsia="宋体" w:hAnsi="宋体" w:hint="eastAsia"/>
          <w:b/>
        </w:rPr>
        <w:t>新交所美元兑人民币期货</w:t>
      </w:r>
      <w:r>
        <w:rPr>
          <w:rFonts w:ascii="宋体" w:eastAsia="宋体" w:hAnsi="宋体"/>
          <w:b/>
        </w:rPr>
        <w:t>UC</w:t>
      </w:r>
      <w:r>
        <w:rPr>
          <w:rFonts w:ascii="宋体" w:eastAsia="宋体" w:hAnsi="宋体" w:hint="eastAsia"/>
          <w:b/>
        </w:rPr>
        <w:t>涨跌幅（%）</w:t>
      </w:r>
    </w:p>
    <w:p w14:paraId="2EA731AA" w14:textId="60B3EF37" w:rsidR="00CA7296" w:rsidRDefault="008A616A" w:rsidP="00CA7296">
      <w:pPr>
        <w:jc w:val="center"/>
      </w:pPr>
      <w:r>
        <w:rPr>
          <w:noProof/>
        </w:rPr>
        <w:drawing>
          <wp:inline distT="0" distB="0" distL="0" distR="0" wp14:anchorId="71ECF5E8" wp14:editId="05E10900">
            <wp:extent cx="3530054" cy="20955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33513" cy="2097553"/>
                    </a:xfrm>
                    <a:prstGeom prst="rect">
                      <a:avLst/>
                    </a:prstGeom>
                  </pic:spPr>
                </pic:pic>
              </a:graphicData>
            </a:graphic>
          </wp:inline>
        </w:drawing>
      </w:r>
    </w:p>
    <w:p w14:paraId="5F290B9E" w14:textId="391AE331"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44AF8377" w14:textId="77777777"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6</w:t>
      </w:r>
      <w:r>
        <w:rPr>
          <w:rFonts w:ascii="宋体" w:eastAsia="宋体" w:hAnsi="宋体"/>
          <w:b/>
        </w:rPr>
        <w:fldChar w:fldCharType="end"/>
      </w:r>
      <w:r>
        <w:rPr>
          <w:rFonts w:ascii="宋体" w:eastAsia="宋体" w:hAnsi="宋体"/>
          <w:b/>
        </w:rPr>
        <w:t xml:space="preserve"> </w:t>
      </w:r>
      <w:r>
        <w:rPr>
          <w:rFonts w:ascii="宋体" w:eastAsia="宋体" w:hAnsi="宋体" w:hint="eastAsia"/>
          <w:b/>
        </w:rPr>
        <w:t>在岸、离岸人民币及价差</w:t>
      </w:r>
    </w:p>
    <w:p w14:paraId="1C53489F" w14:textId="4C39F4B9" w:rsidR="00CA7296" w:rsidRDefault="00C442CC" w:rsidP="00CA7296">
      <w:pPr>
        <w:spacing w:beforeLines="50" w:before="156" w:line="312" w:lineRule="auto"/>
        <w:jc w:val="center"/>
        <w:rPr>
          <w:rFonts w:ascii="微软雅黑" w:eastAsia="微软雅黑" w:hAnsi="微软雅黑"/>
          <w:b/>
          <w:bCs/>
          <w:sz w:val="28"/>
          <w:szCs w:val="28"/>
        </w:rPr>
      </w:pPr>
      <w:r>
        <w:rPr>
          <w:noProof/>
        </w:rPr>
        <w:drawing>
          <wp:inline distT="0" distB="0" distL="0" distR="0" wp14:anchorId="666E2E21" wp14:editId="2522F362">
            <wp:extent cx="3895725" cy="2171700"/>
            <wp:effectExtent l="0" t="0" r="0"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215ADD0" w14:textId="79B74F51"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54B9EB4A" w14:textId="77777777" w:rsidR="00CA7296" w:rsidRDefault="00CA7296" w:rsidP="00CA7296">
      <w:pPr>
        <w:numPr>
          <w:ilvl w:val="0"/>
          <w:numId w:val="1"/>
        </w:numPr>
        <w:spacing w:beforeLines="50" w:before="156" w:line="312" w:lineRule="auto"/>
        <w:rPr>
          <w:rFonts w:ascii="微软雅黑" w:eastAsia="微软雅黑" w:hAnsi="微软雅黑"/>
          <w:b/>
          <w:bCs/>
          <w:sz w:val="28"/>
          <w:szCs w:val="28"/>
        </w:rPr>
      </w:pPr>
      <w:r>
        <w:rPr>
          <w:rFonts w:ascii="微软雅黑" w:eastAsia="微软雅黑" w:hAnsi="微软雅黑" w:hint="eastAsia"/>
          <w:b/>
          <w:bCs/>
          <w:sz w:val="28"/>
          <w:szCs w:val="28"/>
        </w:rPr>
        <w:lastRenderedPageBreak/>
        <w:t>后市展望</w:t>
      </w:r>
    </w:p>
    <w:p w14:paraId="05FD54FF" w14:textId="13D5AC5F" w:rsidR="003F57F4" w:rsidRPr="00A0689B" w:rsidRDefault="008A616A" w:rsidP="00A0689B">
      <w:pPr>
        <w:spacing w:line="312" w:lineRule="auto"/>
        <w:ind w:firstLine="420"/>
        <w:rPr>
          <w:rFonts w:ascii="宋体" w:hAnsi="宋体"/>
        </w:rPr>
      </w:pPr>
      <w:r w:rsidRPr="008A616A">
        <w:rPr>
          <w:rFonts w:ascii="宋体" w:hAnsi="宋体" w:hint="eastAsia"/>
        </w:rPr>
        <w:t>美联储如期加息25个基点，将联邦基金利率目标区间上调至3.75%-4.00%，为2023年7月以来首次加息。最新点阵图显示，2026年底联邦基金利率预测中值从6月的3.8%升至4.1%，16名官员预计年内至少再加息一次。美国8月CPI环比上涨0.4%，较7月的0.1%明显加快，同比维持3.4%；核心CPI环比上涨0.3%，高于0.2%的市场预期，同比则由2.5%降至2.4%。其中汽油价格单月上涨3.9%，对总体CPI月度增幅的贡献超过三分之一。美联储穆萨莱姆称，如果没有进一步的政策限制，通胀在18个月后仍有可能大幅高于2%的目标。9月加息落地叠加偏鹰点阵图，美债收益率抬升，短期美元具备上行动力，美元指数有望维持偏强震荡格局，若通胀反复，进一步加息预期将支撑美元。</w:t>
      </w:r>
    </w:p>
    <w:p w14:paraId="3A7DC26E" w14:textId="35D055D6" w:rsidR="00BD18FF" w:rsidRPr="00BD18FF" w:rsidRDefault="00AE216C" w:rsidP="00BD18FF">
      <w:pPr>
        <w:spacing w:line="312" w:lineRule="auto"/>
        <w:ind w:firstLine="420"/>
        <w:rPr>
          <w:rFonts w:ascii="宋体" w:hAnsi="宋体" w:cs="宋体"/>
        </w:rPr>
      </w:pPr>
      <w:r w:rsidRPr="00AE216C">
        <w:rPr>
          <w:rFonts w:ascii="宋体" w:hAnsi="宋体" w:cs="宋体" w:hint="eastAsia"/>
        </w:rPr>
        <w:t>国内端，8月我国官方制造业PMI录得49.8，景气水平回升但略低于预期，反映制造业虽有好转但尚有空间，供需两端双双升至荣枯线上，但新动能与传统行业、不同规模企业走势延续背离。新订单指数为50.6，新出口订单为50.1，两者分别回升2.1、0.5个百分点至荣枯线上方，需求端显著改善。但出厂价格上涨幅度远不及购进价格，中下游行业利润依旧受到较大幅的挤压。7月我国出口同比23.9%，进口同比27.5%，进出口同比高位运行，环比小幅回落，美对我国加征12.5%关税或导致我国出口后续承压。由于美伊关系反复，霍尔木兹海峡开放时间未定，地缘风险溢价抬升贸易成本，叠加美国加征关税，进出口料承压，人民币兑美元汇率波动大概率加剧。</w:t>
      </w:r>
    </w:p>
    <w:p w14:paraId="0598CD1B" w14:textId="77777777" w:rsidR="00BD18FF" w:rsidRPr="00BD18FF" w:rsidRDefault="00BD18FF" w:rsidP="00BD18FF">
      <w:pPr>
        <w:spacing w:line="312" w:lineRule="auto"/>
        <w:ind w:firstLine="420"/>
        <w:rPr>
          <w:rFonts w:ascii="宋体" w:hAnsi="宋体" w:cs="宋体"/>
        </w:rPr>
      </w:pPr>
    </w:p>
    <w:p w14:paraId="0E0C61B7" w14:textId="75E249A0" w:rsidR="00AB1C8D" w:rsidRDefault="00AB1C8D" w:rsidP="00AB1C8D">
      <w:pPr>
        <w:widowControl/>
        <w:jc w:val="left"/>
        <w:rPr>
          <w:rFonts w:ascii="宋体" w:hAnsi="宋体" w:cs="宋体"/>
        </w:rPr>
      </w:pPr>
      <w:r>
        <w:rPr>
          <w:rFonts w:ascii="宋体" w:hAnsi="宋体" w:cs="宋体"/>
        </w:rPr>
        <w:br w:type="page"/>
      </w:r>
    </w:p>
    <w:p w14:paraId="0DF1DEA0" w14:textId="3E14F735" w:rsidR="0087172E" w:rsidRDefault="00BB7F54">
      <w:pPr>
        <w:spacing w:before="172" w:line="417" w:lineRule="exact"/>
        <w:rPr>
          <w:rFonts w:ascii="微软雅黑" w:eastAsia="微软雅黑" w:hAnsi="微软雅黑" w:cs="微软雅黑"/>
          <w:sz w:val="20"/>
        </w:rPr>
      </w:pPr>
      <w:r>
        <w:rPr>
          <w:rFonts w:ascii="微软雅黑" w:eastAsia="微软雅黑" w:hAnsi="微软雅黑" w:cs="微软雅黑"/>
          <w:b/>
          <w:bCs/>
          <w:color w:val="036EB8"/>
          <w:spacing w:val="19"/>
          <w:sz w:val="28"/>
          <w:szCs w:val="28"/>
        </w:rPr>
        <w:lastRenderedPageBreak/>
        <w:t xml:space="preserve"> </w:t>
      </w:r>
      <w:r>
        <w:rPr>
          <w:rFonts w:ascii="微软雅黑" w:eastAsia="微软雅黑" w:hAnsi="微软雅黑" w:cs="微软雅黑"/>
          <w:color w:val="CE393F"/>
          <w:spacing w:val="8"/>
          <w:position w:val="2"/>
          <w:sz w:val="40"/>
          <w:szCs w:val="40"/>
        </w:rPr>
        <w:t>△</w:t>
      </w:r>
      <w:r>
        <w:rPr>
          <w:rFonts w:ascii="微软雅黑" w:eastAsia="微软雅黑" w:hAnsi="微软雅黑" w:cs="微软雅黑"/>
          <w:color w:val="CE393F"/>
          <w:spacing w:val="-38"/>
          <w:position w:val="2"/>
          <w:sz w:val="40"/>
          <w:szCs w:val="40"/>
        </w:rPr>
        <w:t xml:space="preserve"> </w:t>
      </w:r>
      <w:r>
        <w:rPr>
          <w:rFonts w:ascii="微软雅黑" w:eastAsia="微软雅黑" w:hAnsi="微软雅黑" w:cs="微软雅黑"/>
          <w:spacing w:val="8"/>
          <w:position w:val="2"/>
          <w:sz w:val="20"/>
        </w:rPr>
        <w:t>免责声明</w:t>
      </w:r>
    </w:p>
    <w:p w14:paraId="12F65015" w14:textId="77777777" w:rsidR="0087172E" w:rsidRDefault="00BB7F54">
      <w:pPr>
        <w:spacing w:before="63" w:line="193" w:lineRule="auto"/>
        <w:ind w:left="340" w:right="706" w:firstLine="379"/>
        <w:rPr>
          <w:rFonts w:ascii="微软雅黑" w:eastAsia="微软雅黑" w:hAnsi="微软雅黑" w:cs="微软雅黑"/>
          <w:color w:val="898989"/>
          <w:spacing w:val="-8"/>
          <w:sz w:val="18"/>
          <w:szCs w:val="18"/>
        </w:rPr>
      </w:pPr>
      <w:r>
        <w:rPr>
          <w:rFonts w:ascii="微软雅黑" w:eastAsia="微软雅黑" w:hAnsi="微软雅黑" w:cs="微软雅黑"/>
          <w:color w:val="898989"/>
          <w:spacing w:val="3"/>
          <w:sz w:val="18"/>
          <w:szCs w:val="18"/>
        </w:rPr>
        <w:t>此报告由瑞达国际所编制。本报告采用之资料及意见均相信可靠及准确</w:t>
      </w:r>
      <w:r>
        <w:rPr>
          <w:rFonts w:ascii="微软雅黑" w:eastAsia="微软雅黑" w:hAnsi="微软雅黑" w:cs="微软雅黑"/>
          <w:color w:val="898989"/>
          <w:spacing w:val="2"/>
          <w:sz w:val="18"/>
          <w:szCs w:val="18"/>
        </w:rPr>
        <w:t>，但本公司并不对各分析或有关资料之可</w:t>
      </w:r>
      <w:r>
        <w:rPr>
          <w:rFonts w:ascii="微软雅黑" w:eastAsia="微软雅黑" w:hAnsi="微软雅黑" w:cs="微软雅黑"/>
          <w:color w:val="898989"/>
          <w:spacing w:val="3"/>
          <w:sz w:val="18"/>
          <w:szCs w:val="18"/>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rPr>
        <w:t>资准</w:t>
      </w:r>
      <w:r>
        <w:rPr>
          <w:rFonts w:ascii="微软雅黑" w:eastAsia="微软雅黑" w:hAnsi="微软雅黑" w:cs="微软雅黑"/>
          <w:color w:val="898989"/>
          <w:spacing w:val="-8"/>
          <w:sz w:val="18"/>
          <w:szCs w:val="18"/>
        </w:rPr>
        <w:t>则。</w:t>
      </w:r>
    </w:p>
    <w:p w14:paraId="0E6AF2B3" w14:textId="77777777" w:rsidR="0087172E" w:rsidRDefault="00BB7F54">
      <w:pPr>
        <w:spacing w:before="63" w:line="193" w:lineRule="auto"/>
        <w:ind w:left="340" w:right="706" w:firstLine="379"/>
      </w:pPr>
      <w:r>
        <w:rPr>
          <w:rFonts w:ascii="微软雅黑" w:eastAsia="微软雅黑" w:hAnsi="微软雅黑" w:cs="微软雅黑"/>
          <w:color w:val="898989"/>
          <w:spacing w:val="3"/>
          <w:sz w:val="18"/>
          <w:szCs w:val="18"/>
        </w:rPr>
        <w:t>本报告之资料及意见如有任何更改，恕不另行通知。本报告并非及并无意图</w:t>
      </w:r>
      <w:r>
        <w:rPr>
          <w:rFonts w:ascii="微软雅黑" w:eastAsia="微软雅黑" w:hAnsi="微软雅黑" w:cs="微软雅黑"/>
          <w:color w:val="898989"/>
          <w:spacing w:val="2"/>
          <w:sz w:val="18"/>
          <w:szCs w:val="18"/>
        </w:rPr>
        <w:t>构成任何作价或招揽进行买卖本报告</w:t>
      </w:r>
      <w:r>
        <w:rPr>
          <w:rFonts w:ascii="微软雅黑" w:eastAsia="微软雅黑" w:hAnsi="微软雅黑" w:cs="微软雅黑"/>
          <w:color w:val="898989"/>
          <w:sz w:val="18"/>
          <w:szCs w:val="18"/>
        </w:rPr>
        <w:t xml:space="preserve"> </w:t>
      </w:r>
      <w:r>
        <w:rPr>
          <w:rFonts w:ascii="微软雅黑" w:eastAsia="微软雅黑" w:hAnsi="微软雅黑" w:cs="微软雅黑"/>
          <w:color w:val="898989"/>
          <w:spacing w:val="2"/>
          <w:sz w:val="18"/>
          <w:szCs w:val="18"/>
        </w:rPr>
        <w:t>提及的商品。本公司不会对任何因依靠本报告作出任何买卖而引致之任何损失承担任</w:t>
      </w:r>
      <w:r>
        <w:rPr>
          <w:rFonts w:ascii="微软雅黑" w:eastAsia="微软雅黑" w:hAnsi="微软雅黑" w:cs="微软雅黑"/>
          <w:color w:val="898989"/>
          <w:spacing w:val="1"/>
          <w:sz w:val="18"/>
          <w:szCs w:val="18"/>
        </w:rPr>
        <w:t>何责任。</w:t>
      </w:r>
    </w:p>
    <w:p w14:paraId="37ED71ED" w14:textId="77777777" w:rsidR="0087172E" w:rsidRDefault="0087172E">
      <w:pPr>
        <w:spacing w:before="34" w:line="569" w:lineRule="exact"/>
        <w:ind w:firstLine="6421"/>
      </w:pPr>
    </w:p>
    <w:p w14:paraId="2B387414" w14:textId="77777777" w:rsidR="0087172E" w:rsidRDefault="0087172E">
      <w:pPr>
        <w:spacing w:before="34" w:line="569" w:lineRule="exact"/>
      </w:pPr>
    </w:p>
    <w:p w14:paraId="2FC9FB15" w14:textId="77777777" w:rsidR="0087172E" w:rsidRDefault="00BB7F54">
      <w:pPr>
        <w:spacing w:line="3052" w:lineRule="exact"/>
        <w:jc w:val="center"/>
      </w:pPr>
      <w:r>
        <w:rPr>
          <w:noProof/>
          <w:position w:val="-61"/>
        </w:rPr>
        <w:drawing>
          <wp:inline distT="0" distB="0" distL="0" distR="0" wp14:anchorId="2C0B5275" wp14:editId="4967252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5"/>
                    <a:stretch>
                      <a:fillRect/>
                    </a:stretch>
                  </pic:blipFill>
                  <pic:spPr>
                    <a:xfrm>
                      <a:off x="0" y="0"/>
                      <a:ext cx="1936488" cy="1938179"/>
                    </a:xfrm>
                    <a:prstGeom prst="rect">
                      <a:avLst/>
                    </a:prstGeom>
                  </pic:spPr>
                </pic:pic>
              </a:graphicData>
            </a:graphic>
          </wp:inline>
        </w:drawing>
      </w:r>
    </w:p>
    <w:p w14:paraId="72B229F8" w14:textId="77777777" w:rsidR="0087172E" w:rsidRDefault="0087172E">
      <w:pPr>
        <w:pStyle w:val="a4"/>
        <w:spacing w:line="371" w:lineRule="auto"/>
        <w:jc w:val="center"/>
      </w:pPr>
    </w:p>
    <w:p w14:paraId="38010B07" w14:textId="77777777" w:rsidR="0087172E" w:rsidRDefault="00BB7F54">
      <w:pPr>
        <w:spacing w:before="103" w:line="191" w:lineRule="auto"/>
        <w:jc w:val="center"/>
        <w:rPr>
          <w:rFonts w:ascii="微软雅黑" w:eastAsia="微软雅黑" w:hAnsi="微软雅黑" w:cs="微软雅黑"/>
          <w:sz w:val="24"/>
          <w:szCs w:val="24"/>
        </w:rPr>
      </w:pPr>
      <w:r>
        <w:rPr>
          <w:rFonts w:ascii="微软雅黑" w:eastAsia="微软雅黑" w:hAnsi="微软雅黑" w:cs="微软雅黑"/>
          <w:spacing w:val="7"/>
          <w:sz w:val="24"/>
          <w:szCs w:val="24"/>
        </w:rPr>
        <w:t>24小时客服电话： 00852</w:t>
      </w:r>
      <w:r>
        <w:rPr>
          <w:rFonts w:ascii="微软雅黑" w:eastAsia="微软雅黑" w:hAnsi="微软雅黑" w:cs="微软雅黑"/>
          <w:spacing w:val="-33"/>
          <w:sz w:val="24"/>
          <w:szCs w:val="24"/>
        </w:rPr>
        <w:t xml:space="preserve"> </w:t>
      </w:r>
      <w:r>
        <w:rPr>
          <w:rFonts w:ascii="微软雅黑" w:eastAsia="微软雅黑" w:hAnsi="微软雅黑" w:cs="微软雅黑"/>
          <w:spacing w:val="7"/>
          <w:sz w:val="24"/>
          <w:szCs w:val="24"/>
        </w:rPr>
        <w:t>-</w:t>
      </w:r>
      <w:r>
        <w:rPr>
          <w:rFonts w:ascii="微软雅黑" w:eastAsia="微软雅黑" w:hAnsi="微软雅黑" w:cs="微软雅黑"/>
          <w:spacing w:val="-37"/>
          <w:sz w:val="24"/>
          <w:szCs w:val="24"/>
        </w:rPr>
        <w:t xml:space="preserve"> </w:t>
      </w:r>
      <w:r>
        <w:rPr>
          <w:rFonts w:ascii="微软雅黑" w:eastAsia="微软雅黑" w:hAnsi="微软雅黑" w:cs="微软雅黑"/>
          <w:spacing w:val="7"/>
          <w:sz w:val="24"/>
          <w:szCs w:val="24"/>
        </w:rPr>
        <w:t>25342000/86</w:t>
      </w:r>
      <w:r>
        <w:rPr>
          <w:rFonts w:ascii="微软雅黑" w:eastAsia="微软雅黑" w:hAnsi="微软雅黑" w:cs="微软雅黑"/>
          <w:spacing w:val="-36"/>
          <w:sz w:val="24"/>
          <w:szCs w:val="24"/>
        </w:rPr>
        <w:t xml:space="preserve"> </w:t>
      </w:r>
      <w:r>
        <w:rPr>
          <w:rFonts w:ascii="微软雅黑" w:eastAsia="微软雅黑" w:hAnsi="微软雅黑" w:cs="微软雅黑"/>
          <w:spacing w:val="7"/>
          <w:sz w:val="24"/>
          <w:szCs w:val="24"/>
        </w:rPr>
        <w:t>-</w:t>
      </w:r>
      <w:r>
        <w:rPr>
          <w:rFonts w:ascii="微软雅黑" w:eastAsia="微软雅黑" w:hAnsi="微软雅黑" w:cs="微软雅黑"/>
          <w:spacing w:val="-26"/>
          <w:sz w:val="24"/>
          <w:szCs w:val="24"/>
        </w:rPr>
        <w:t xml:space="preserve"> </w:t>
      </w:r>
      <w:r>
        <w:rPr>
          <w:rFonts w:ascii="微软雅黑" w:eastAsia="微软雅黑" w:hAnsi="微软雅黑" w:cs="微软雅黑"/>
          <w:spacing w:val="7"/>
          <w:sz w:val="24"/>
          <w:szCs w:val="24"/>
        </w:rPr>
        <w:t>13603059885</w:t>
      </w:r>
    </w:p>
    <w:p w14:paraId="1B10CFCE" w14:textId="77777777" w:rsidR="0087172E" w:rsidRDefault="00BB7F54">
      <w:pPr>
        <w:spacing w:before="233" w:line="175" w:lineRule="auto"/>
        <w:jc w:val="center"/>
        <w:rPr>
          <w:rFonts w:ascii="微软雅黑" w:eastAsia="微软雅黑" w:hAnsi="微软雅黑" w:cs="微软雅黑"/>
          <w:sz w:val="24"/>
          <w:szCs w:val="24"/>
        </w:rPr>
      </w:pPr>
      <w:r>
        <w:rPr>
          <w:rFonts w:ascii="微软雅黑" w:eastAsia="微软雅黑" w:hAnsi="微软雅黑" w:cs="微软雅黑"/>
          <w:spacing w:val="5"/>
          <w:sz w:val="24"/>
          <w:szCs w:val="24"/>
        </w:rPr>
        <w:t>24小时传真电话： 00852</w:t>
      </w:r>
      <w:r>
        <w:rPr>
          <w:rFonts w:ascii="微软雅黑" w:eastAsia="微软雅黑" w:hAnsi="微软雅黑" w:cs="微软雅黑"/>
          <w:spacing w:val="-32"/>
          <w:sz w:val="24"/>
          <w:szCs w:val="24"/>
        </w:rPr>
        <w:t xml:space="preserve"> </w:t>
      </w:r>
      <w:r>
        <w:rPr>
          <w:rFonts w:ascii="微软雅黑" w:eastAsia="微软雅黑" w:hAnsi="微软雅黑" w:cs="微软雅黑"/>
          <w:spacing w:val="5"/>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pacing w:val="5"/>
          <w:sz w:val="24"/>
          <w:szCs w:val="24"/>
        </w:rPr>
        <w:t>25632368</w:t>
      </w:r>
    </w:p>
    <w:p w14:paraId="6F00D784" w14:textId="77777777" w:rsidR="0087172E" w:rsidRDefault="00BB7F54">
      <w:pPr>
        <w:spacing w:before="258" w:line="190" w:lineRule="auto"/>
        <w:jc w:val="center"/>
        <w:rPr>
          <w:rFonts w:ascii="微软雅黑" w:eastAsia="微软雅黑" w:hAnsi="微软雅黑" w:cs="微软雅黑"/>
          <w:sz w:val="24"/>
          <w:szCs w:val="24"/>
        </w:rPr>
      </w:pPr>
      <w:r>
        <w:rPr>
          <w:rFonts w:ascii="微软雅黑" w:eastAsia="微软雅黑" w:hAnsi="微软雅黑" w:cs="微软雅黑"/>
          <w:spacing w:val="13"/>
          <w:sz w:val="24"/>
          <w:szCs w:val="24"/>
        </w:rPr>
        <w:t xml:space="preserve">客服邮箱： </w:t>
      </w:r>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0E58E050" w14:textId="77777777" w:rsidR="0087172E" w:rsidRDefault="00BB7F54">
      <w:pPr>
        <w:spacing w:before="234" w:line="192" w:lineRule="auto"/>
        <w:jc w:val="center"/>
        <w:rPr>
          <w:rFonts w:ascii="微软雅黑" w:eastAsia="微软雅黑" w:hAnsi="微软雅黑" w:cs="微软雅黑"/>
          <w:sz w:val="24"/>
          <w:szCs w:val="24"/>
        </w:rPr>
      </w:pPr>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02A20C32" w14:textId="77777777" w:rsidR="0087172E" w:rsidRDefault="00BB7F54">
      <w:pPr>
        <w:spacing w:before="234" w:line="176" w:lineRule="auto"/>
        <w:jc w:val="center"/>
        <w:rPr>
          <w:rFonts w:ascii="微软雅黑" w:eastAsia="微软雅黑" w:hAnsi="微软雅黑" w:cs="微软雅黑"/>
          <w:sz w:val="24"/>
          <w:szCs w:val="24"/>
        </w:rPr>
      </w:pPr>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r>
        <w:rPr>
          <w:rFonts w:ascii="微软雅黑" w:eastAsia="微软雅黑" w:hAnsi="微软雅黑" w:cs="微软雅黑"/>
          <w:sz w:val="24"/>
          <w:szCs w:val="24"/>
        </w:rPr>
        <w:t>ruida</w:t>
      </w:r>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DBA974F" w14:textId="77777777" w:rsidR="0087172E" w:rsidRDefault="00BB7F54">
      <w:pPr>
        <w:spacing w:before="253" w:line="177" w:lineRule="auto"/>
        <w:jc w:val="center"/>
        <w:rPr>
          <w:rFonts w:ascii="微软雅黑" w:eastAsia="微软雅黑" w:hAnsi="微软雅黑" w:cs="微软雅黑"/>
          <w:sz w:val="24"/>
          <w:szCs w:val="24"/>
        </w:rPr>
      </w:pPr>
      <w:r>
        <w:rPr>
          <w:rFonts w:ascii="微软雅黑" w:eastAsia="微软雅黑" w:hAnsi="微软雅黑" w:cs="微软雅黑"/>
          <w:spacing w:val="16"/>
          <w:sz w:val="24"/>
          <w:szCs w:val="24"/>
        </w:rPr>
        <w:t>地址:</w:t>
      </w:r>
      <w:r>
        <w:rPr>
          <w:rFonts w:ascii="微软雅黑" w:eastAsia="微软雅黑" w:hAnsi="微软雅黑" w:cs="微软雅黑"/>
          <w:spacing w:val="45"/>
          <w:w w:val="101"/>
          <w:sz w:val="24"/>
          <w:szCs w:val="24"/>
        </w:rPr>
        <w:t xml:space="preserve"> </w:t>
      </w:r>
      <w:r>
        <w:rPr>
          <w:rFonts w:ascii="微软雅黑" w:eastAsia="微软雅黑" w:hAnsi="微软雅黑" w:cs="微软雅黑"/>
          <w:spacing w:val="16"/>
          <w:sz w:val="24"/>
          <w:szCs w:val="24"/>
        </w:rPr>
        <w:t>香港湾仔菲林明道8号大同大厦17楼05</w:t>
      </w:r>
      <w:r>
        <w:rPr>
          <w:rFonts w:ascii="微软雅黑" w:eastAsia="微软雅黑" w:hAnsi="微软雅黑" w:cs="微软雅黑"/>
          <w:spacing w:val="-36"/>
          <w:sz w:val="24"/>
          <w:szCs w:val="24"/>
        </w:rPr>
        <w:t xml:space="preserve"> </w:t>
      </w:r>
      <w:r>
        <w:rPr>
          <w:rFonts w:ascii="微软雅黑" w:eastAsia="微软雅黑" w:hAnsi="微软雅黑" w:cs="微软雅黑"/>
          <w:spacing w:val="16"/>
          <w:sz w:val="24"/>
          <w:szCs w:val="24"/>
        </w:rPr>
        <w:t>-</w:t>
      </w:r>
      <w:r>
        <w:rPr>
          <w:rFonts w:ascii="微软雅黑" w:eastAsia="微软雅黑" w:hAnsi="微软雅黑" w:cs="微软雅黑"/>
          <w:spacing w:val="-36"/>
          <w:sz w:val="24"/>
          <w:szCs w:val="24"/>
        </w:rPr>
        <w:t xml:space="preserve"> </w:t>
      </w:r>
      <w:r>
        <w:rPr>
          <w:rFonts w:ascii="微软雅黑" w:eastAsia="微软雅黑" w:hAnsi="微软雅黑" w:cs="微软雅黑"/>
          <w:spacing w:val="16"/>
          <w:sz w:val="24"/>
          <w:szCs w:val="24"/>
        </w:rPr>
        <w:t>06室</w:t>
      </w:r>
    </w:p>
    <w:p w14:paraId="1A4B6D92" w14:textId="77777777" w:rsidR="0087172E" w:rsidRDefault="0087172E">
      <w:pPr>
        <w:spacing w:line="312" w:lineRule="auto"/>
        <w:ind w:firstLine="420"/>
      </w:pPr>
    </w:p>
    <w:sectPr w:rsidR="0087172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88D1FB" w14:textId="77777777" w:rsidR="00D06317" w:rsidRDefault="00D06317" w:rsidP="00127060">
      <w:r>
        <w:separator/>
      </w:r>
    </w:p>
  </w:endnote>
  <w:endnote w:type="continuationSeparator" w:id="0">
    <w:p w14:paraId="4D836C4C" w14:textId="77777777" w:rsidR="00D06317" w:rsidRDefault="00D06317" w:rsidP="00127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C8304F" w14:textId="77777777" w:rsidR="00D06317" w:rsidRDefault="00D06317" w:rsidP="00127060">
      <w:r>
        <w:separator/>
      </w:r>
    </w:p>
  </w:footnote>
  <w:footnote w:type="continuationSeparator" w:id="0">
    <w:p w14:paraId="17D1090C" w14:textId="77777777" w:rsidR="00D06317" w:rsidRDefault="00D06317" w:rsidP="001270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C4574F"/>
    <w:multiLevelType w:val="multilevel"/>
    <w:tmpl w:val="5EC4574F"/>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B08"/>
    <w:rsid w:val="000038D2"/>
    <w:rsid w:val="00003F49"/>
    <w:rsid w:val="000057C8"/>
    <w:rsid w:val="0000618D"/>
    <w:rsid w:val="00007BCC"/>
    <w:rsid w:val="0001127E"/>
    <w:rsid w:val="00011E90"/>
    <w:rsid w:val="00015ABA"/>
    <w:rsid w:val="00015CEB"/>
    <w:rsid w:val="00016329"/>
    <w:rsid w:val="00017E90"/>
    <w:rsid w:val="00021789"/>
    <w:rsid w:val="000218EC"/>
    <w:rsid w:val="00023083"/>
    <w:rsid w:val="0002357D"/>
    <w:rsid w:val="00027E72"/>
    <w:rsid w:val="000301E2"/>
    <w:rsid w:val="00031A96"/>
    <w:rsid w:val="000328C5"/>
    <w:rsid w:val="00032F98"/>
    <w:rsid w:val="00033A0F"/>
    <w:rsid w:val="00037826"/>
    <w:rsid w:val="00043127"/>
    <w:rsid w:val="000447DD"/>
    <w:rsid w:val="0004620E"/>
    <w:rsid w:val="00046EC5"/>
    <w:rsid w:val="0005052B"/>
    <w:rsid w:val="00051C71"/>
    <w:rsid w:val="00051F31"/>
    <w:rsid w:val="00052952"/>
    <w:rsid w:val="000540B3"/>
    <w:rsid w:val="00054D2E"/>
    <w:rsid w:val="00055C18"/>
    <w:rsid w:val="0005615C"/>
    <w:rsid w:val="00056C00"/>
    <w:rsid w:val="00057586"/>
    <w:rsid w:val="00061E07"/>
    <w:rsid w:val="00063F06"/>
    <w:rsid w:val="000649D8"/>
    <w:rsid w:val="000658CB"/>
    <w:rsid w:val="00066060"/>
    <w:rsid w:val="00067183"/>
    <w:rsid w:val="00072788"/>
    <w:rsid w:val="00072AF7"/>
    <w:rsid w:val="000739E1"/>
    <w:rsid w:val="0007552B"/>
    <w:rsid w:val="00075D35"/>
    <w:rsid w:val="00081272"/>
    <w:rsid w:val="00083FCF"/>
    <w:rsid w:val="000902C1"/>
    <w:rsid w:val="00094A69"/>
    <w:rsid w:val="0009578B"/>
    <w:rsid w:val="000959E1"/>
    <w:rsid w:val="00096C6B"/>
    <w:rsid w:val="000A05D9"/>
    <w:rsid w:val="000A0A52"/>
    <w:rsid w:val="000A1B52"/>
    <w:rsid w:val="000A1C34"/>
    <w:rsid w:val="000A1E80"/>
    <w:rsid w:val="000A5DB1"/>
    <w:rsid w:val="000A6E63"/>
    <w:rsid w:val="000A70FC"/>
    <w:rsid w:val="000B3BF6"/>
    <w:rsid w:val="000B4160"/>
    <w:rsid w:val="000B45D7"/>
    <w:rsid w:val="000B4D30"/>
    <w:rsid w:val="000B6102"/>
    <w:rsid w:val="000B7B1E"/>
    <w:rsid w:val="000C2454"/>
    <w:rsid w:val="000C405D"/>
    <w:rsid w:val="000C5204"/>
    <w:rsid w:val="000D138F"/>
    <w:rsid w:val="000D2042"/>
    <w:rsid w:val="000D41B5"/>
    <w:rsid w:val="000D41E0"/>
    <w:rsid w:val="000D4E7F"/>
    <w:rsid w:val="000D5473"/>
    <w:rsid w:val="000D59E5"/>
    <w:rsid w:val="000D68D8"/>
    <w:rsid w:val="000E6617"/>
    <w:rsid w:val="000F156E"/>
    <w:rsid w:val="000F6721"/>
    <w:rsid w:val="000F6A0B"/>
    <w:rsid w:val="000F726E"/>
    <w:rsid w:val="000F72AD"/>
    <w:rsid w:val="00100296"/>
    <w:rsid w:val="001017E8"/>
    <w:rsid w:val="00103A47"/>
    <w:rsid w:val="00112C39"/>
    <w:rsid w:val="0011314B"/>
    <w:rsid w:val="00113D9E"/>
    <w:rsid w:val="00115730"/>
    <w:rsid w:val="0012070F"/>
    <w:rsid w:val="00121E4F"/>
    <w:rsid w:val="00125BEA"/>
    <w:rsid w:val="00127060"/>
    <w:rsid w:val="00133B4F"/>
    <w:rsid w:val="001359F0"/>
    <w:rsid w:val="001362BF"/>
    <w:rsid w:val="001407AC"/>
    <w:rsid w:val="00140BEA"/>
    <w:rsid w:val="001431CC"/>
    <w:rsid w:val="001454F3"/>
    <w:rsid w:val="001470E8"/>
    <w:rsid w:val="00150521"/>
    <w:rsid w:val="00153427"/>
    <w:rsid w:val="00154921"/>
    <w:rsid w:val="001564E1"/>
    <w:rsid w:val="0015671A"/>
    <w:rsid w:val="001573DE"/>
    <w:rsid w:val="0016345C"/>
    <w:rsid w:val="0017113F"/>
    <w:rsid w:val="001728A8"/>
    <w:rsid w:val="00175CD6"/>
    <w:rsid w:val="00182FB2"/>
    <w:rsid w:val="001847B0"/>
    <w:rsid w:val="001848CA"/>
    <w:rsid w:val="001869F4"/>
    <w:rsid w:val="00186F23"/>
    <w:rsid w:val="001938CF"/>
    <w:rsid w:val="00194A13"/>
    <w:rsid w:val="00195C4D"/>
    <w:rsid w:val="00197E1F"/>
    <w:rsid w:val="00197E3E"/>
    <w:rsid w:val="001A3C3A"/>
    <w:rsid w:val="001A54E0"/>
    <w:rsid w:val="001A59DE"/>
    <w:rsid w:val="001A6CE8"/>
    <w:rsid w:val="001B34ED"/>
    <w:rsid w:val="001B6505"/>
    <w:rsid w:val="001B7DCD"/>
    <w:rsid w:val="001C598E"/>
    <w:rsid w:val="001C7A4C"/>
    <w:rsid w:val="001C7CB7"/>
    <w:rsid w:val="001D1EE7"/>
    <w:rsid w:val="001D5BF6"/>
    <w:rsid w:val="001F0839"/>
    <w:rsid w:val="001F0B8B"/>
    <w:rsid w:val="001F0D0C"/>
    <w:rsid w:val="001F3157"/>
    <w:rsid w:val="001F32AA"/>
    <w:rsid w:val="001F4E90"/>
    <w:rsid w:val="001F6D4B"/>
    <w:rsid w:val="001F6F76"/>
    <w:rsid w:val="00201728"/>
    <w:rsid w:val="0020319F"/>
    <w:rsid w:val="002041D1"/>
    <w:rsid w:val="0020501F"/>
    <w:rsid w:val="0020541A"/>
    <w:rsid w:val="00212B3D"/>
    <w:rsid w:val="002148D1"/>
    <w:rsid w:val="00215D99"/>
    <w:rsid w:val="0021694A"/>
    <w:rsid w:val="00216CC4"/>
    <w:rsid w:val="00220075"/>
    <w:rsid w:val="00220B10"/>
    <w:rsid w:val="00220C9B"/>
    <w:rsid w:val="00221714"/>
    <w:rsid w:val="002221A8"/>
    <w:rsid w:val="00223E72"/>
    <w:rsid w:val="00227DE4"/>
    <w:rsid w:val="002300E8"/>
    <w:rsid w:val="00232739"/>
    <w:rsid w:val="002333A5"/>
    <w:rsid w:val="002348D9"/>
    <w:rsid w:val="002348FA"/>
    <w:rsid w:val="00236D53"/>
    <w:rsid w:val="00242AD4"/>
    <w:rsid w:val="00244509"/>
    <w:rsid w:val="002458C3"/>
    <w:rsid w:val="00247EFC"/>
    <w:rsid w:val="00253827"/>
    <w:rsid w:val="00254A2B"/>
    <w:rsid w:val="00257436"/>
    <w:rsid w:val="0026035D"/>
    <w:rsid w:val="0026175A"/>
    <w:rsid w:val="002617AF"/>
    <w:rsid w:val="00263BE6"/>
    <w:rsid w:val="00266134"/>
    <w:rsid w:val="0027103D"/>
    <w:rsid w:val="00271F8A"/>
    <w:rsid w:val="002730CB"/>
    <w:rsid w:val="00273827"/>
    <w:rsid w:val="00276D63"/>
    <w:rsid w:val="00276F3C"/>
    <w:rsid w:val="002779DB"/>
    <w:rsid w:val="00282E4E"/>
    <w:rsid w:val="0028510B"/>
    <w:rsid w:val="0028572C"/>
    <w:rsid w:val="00290F42"/>
    <w:rsid w:val="002951ED"/>
    <w:rsid w:val="00296492"/>
    <w:rsid w:val="0029743E"/>
    <w:rsid w:val="002A359F"/>
    <w:rsid w:val="002A4A4E"/>
    <w:rsid w:val="002A6475"/>
    <w:rsid w:val="002A6E4D"/>
    <w:rsid w:val="002A79DF"/>
    <w:rsid w:val="002A79EF"/>
    <w:rsid w:val="002B2218"/>
    <w:rsid w:val="002C2324"/>
    <w:rsid w:val="002C346F"/>
    <w:rsid w:val="002C4410"/>
    <w:rsid w:val="002C6293"/>
    <w:rsid w:val="002C7B4F"/>
    <w:rsid w:val="002D0542"/>
    <w:rsid w:val="002D1AA3"/>
    <w:rsid w:val="002D2D54"/>
    <w:rsid w:val="002D37D1"/>
    <w:rsid w:val="002D49D0"/>
    <w:rsid w:val="002D4E21"/>
    <w:rsid w:val="002D62A9"/>
    <w:rsid w:val="002E0B93"/>
    <w:rsid w:val="002E39E8"/>
    <w:rsid w:val="002E48D7"/>
    <w:rsid w:val="002E48FF"/>
    <w:rsid w:val="002F5F01"/>
    <w:rsid w:val="002F6580"/>
    <w:rsid w:val="002F719A"/>
    <w:rsid w:val="00300223"/>
    <w:rsid w:val="00301549"/>
    <w:rsid w:val="00302FEF"/>
    <w:rsid w:val="003041AA"/>
    <w:rsid w:val="00304D86"/>
    <w:rsid w:val="00304DF8"/>
    <w:rsid w:val="00305878"/>
    <w:rsid w:val="003058AF"/>
    <w:rsid w:val="003066A3"/>
    <w:rsid w:val="003070DC"/>
    <w:rsid w:val="00310347"/>
    <w:rsid w:val="00311DD7"/>
    <w:rsid w:val="00311E0D"/>
    <w:rsid w:val="00312B57"/>
    <w:rsid w:val="003165C7"/>
    <w:rsid w:val="00322B76"/>
    <w:rsid w:val="00324293"/>
    <w:rsid w:val="00325FB5"/>
    <w:rsid w:val="003265E6"/>
    <w:rsid w:val="00326BE8"/>
    <w:rsid w:val="00330541"/>
    <w:rsid w:val="003316A8"/>
    <w:rsid w:val="00336209"/>
    <w:rsid w:val="00341353"/>
    <w:rsid w:val="00343540"/>
    <w:rsid w:val="00343C8A"/>
    <w:rsid w:val="00346126"/>
    <w:rsid w:val="00350819"/>
    <w:rsid w:val="00351614"/>
    <w:rsid w:val="0035301A"/>
    <w:rsid w:val="003576ED"/>
    <w:rsid w:val="00357828"/>
    <w:rsid w:val="00357A29"/>
    <w:rsid w:val="00363129"/>
    <w:rsid w:val="0036506F"/>
    <w:rsid w:val="0036569F"/>
    <w:rsid w:val="003665FF"/>
    <w:rsid w:val="0036685A"/>
    <w:rsid w:val="00371BC0"/>
    <w:rsid w:val="00374735"/>
    <w:rsid w:val="0037538E"/>
    <w:rsid w:val="00377B85"/>
    <w:rsid w:val="00377FA0"/>
    <w:rsid w:val="0038253A"/>
    <w:rsid w:val="003867A4"/>
    <w:rsid w:val="003903E1"/>
    <w:rsid w:val="00392306"/>
    <w:rsid w:val="00394B23"/>
    <w:rsid w:val="00397D8C"/>
    <w:rsid w:val="003A062A"/>
    <w:rsid w:val="003A2616"/>
    <w:rsid w:val="003A2745"/>
    <w:rsid w:val="003A4CF3"/>
    <w:rsid w:val="003A699C"/>
    <w:rsid w:val="003A7246"/>
    <w:rsid w:val="003A7F2C"/>
    <w:rsid w:val="003B2BD3"/>
    <w:rsid w:val="003B3A79"/>
    <w:rsid w:val="003B3DB4"/>
    <w:rsid w:val="003B49D5"/>
    <w:rsid w:val="003C55CB"/>
    <w:rsid w:val="003D2210"/>
    <w:rsid w:val="003D3AF3"/>
    <w:rsid w:val="003D3DB8"/>
    <w:rsid w:val="003D49D3"/>
    <w:rsid w:val="003D7161"/>
    <w:rsid w:val="003D7A03"/>
    <w:rsid w:val="003E0E92"/>
    <w:rsid w:val="003E1845"/>
    <w:rsid w:val="003E1D2F"/>
    <w:rsid w:val="003E2D6E"/>
    <w:rsid w:val="003E3FBB"/>
    <w:rsid w:val="003E5930"/>
    <w:rsid w:val="003E6947"/>
    <w:rsid w:val="003F0F9E"/>
    <w:rsid w:val="003F2BF1"/>
    <w:rsid w:val="003F3205"/>
    <w:rsid w:val="003F57F4"/>
    <w:rsid w:val="003F591E"/>
    <w:rsid w:val="004012E4"/>
    <w:rsid w:val="004023AC"/>
    <w:rsid w:val="00405DD6"/>
    <w:rsid w:val="0040609C"/>
    <w:rsid w:val="0040735B"/>
    <w:rsid w:val="00407F4C"/>
    <w:rsid w:val="00413A6A"/>
    <w:rsid w:val="00414D5B"/>
    <w:rsid w:val="00416F99"/>
    <w:rsid w:val="0041786D"/>
    <w:rsid w:val="00420D11"/>
    <w:rsid w:val="00420FA9"/>
    <w:rsid w:val="0042595F"/>
    <w:rsid w:val="00431962"/>
    <w:rsid w:val="00431FCF"/>
    <w:rsid w:val="00433DAC"/>
    <w:rsid w:val="00434A8A"/>
    <w:rsid w:val="004428AC"/>
    <w:rsid w:val="00443DF5"/>
    <w:rsid w:val="00444051"/>
    <w:rsid w:val="004445D6"/>
    <w:rsid w:val="00444695"/>
    <w:rsid w:val="00447802"/>
    <w:rsid w:val="0045019A"/>
    <w:rsid w:val="004521D8"/>
    <w:rsid w:val="00456C36"/>
    <w:rsid w:val="00456F4B"/>
    <w:rsid w:val="00456F6E"/>
    <w:rsid w:val="00457B41"/>
    <w:rsid w:val="00462568"/>
    <w:rsid w:val="00464902"/>
    <w:rsid w:val="0047032F"/>
    <w:rsid w:val="0047158A"/>
    <w:rsid w:val="00472C1A"/>
    <w:rsid w:val="004801BB"/>
    <w:rsid w:val="00480DFA"/>
    <w:rsid w:val="0048255E"/>
    <w:rsid w:val="00482C6C"/>
    <w:rsid w:val="004855D9"/>
    <w:rsid w:val="00490A4C"/>
    <w:rsid w:val="00495814"/>
    <w:rsid w:val="004A483B"/>
    <w:rsid w:val="004A5719"/>
    <w:rsid w:val="004A5DEA"/>
    <w:rsid w:val="004A618A"/>
    <w:rsid w:val="004A70F3"/>
    <w:rsid w:val="004A7283"/>
    <w:rsid w:val="004B1822"/>
    <w:rsid w:val="004B3117"/>
    <w:rsid w:val="004B4636"/>
    <w:rsid w:val="004B569D"/>
    <w:rsid w:val="004B688C"/>
    <w:rsid w:val="004B6B0F"/>
    <w:rsid w:val="004B7564"/>
    <w:rsid w:val="004C0BD3"/>
    <w:rsid w:val="004C131F"/>
    <w:rsid w:val="004C1D9A"/>
    <w:rsid w:val="004C243D"/>
    <w:rsid w:val="004D1771"/>
    <w:rsid w:val="004D27B0"/>
    <w:rsid w:val="004D283C"/>
    <w:rsid w:val="004D70BD"/>
    <w:rsid w:val="004D75A9"/>
    <w:rsid w:val="004E10AA"/>
    <w:rsid w:val="004E159A"/>
    <w:rsid w:val="004E22E6"/>
    <w:rsid w:val="004E2769"/>
    <w:rsid w:val="004E332D"/>
    <w:rsid w:val="004F0C55"/>
    <w:rsid w:val="004F16E7"/>
    <w:rsid w:val="004F5DA5"/>
    <w:rsid w:val="0050173E"/>
    <w:rsid w:val="00503735"/>
    <w:rsid w:val="00505961"/>
    <w:rsid w:val="00505DD6"/>
    <w:rsid w:val="00506D2A"/>
    <w:rsid w:val="00507C47"/>
    <w:rsid w:val="00511152"/>
    <w:rsid w:val="0051119D"/>
    <w:rsid w:val="00512646"/>
    <w:rsid w:val="00514647"/>
    <w:rsid w:val="0051618C"/>
    <w:rsid w:val="00534A80"/>
    <w:rsid w:val="00535FC1"/>
    <w:rsid w:val="00537A85"/>
    <w:rsid w:val="00537CF9"/>
    <w:rsid w:val="0054080B"/>
    <w:rsid w:val="00551601"/>
    <w:rsid w:val="0055205C"/>
    <w:rsid w:val="00567A01"/>
    <w:rsid w:val="005717C4"/>
    <w:rsid w:val="00571EBF"/>
    <w:rsid w:val="005727D9"/>
    <w:rsid w:val="005747CC"/>
    <w:rsid w:val="00574E1F"/>
    <w:rsid w:val="00577A61"/>
    <w:rsid w:val="00581D9D"/>
    <w:rsid w:val="00583AD9"/>
    <w:rsid w:val="00585144"/>
    <w:rsid w:val="0058569A"/>
    <w:rsid w:val="00592071"/>
    <w:rsid w:val="005963F1"/>
    <w:rsid w:val="00597363"/>
    <w:rsid w:val="005A3626"/>
    <w:rsid w:val="005A6A6F"/>
    <w:rsid w:val="005B0999"/>
    <w:rsid w:val="005B0EC1"/>
    <w:rsid w:val="005B127B"/>
    <w:rsid w:val="005B4337"/>
    <w:rsid w:val="005B6631"/>
    <w:rsid w:val="005B6BB0"/>
    <w:rsid w:val="005C4837"/>
    <w:rsid w:val="005D13DB"/>
    <w:rsid w:val="005D4042"/>
    <w:rsid w:val="005D591B"/>
    <w:rsid w:val="005D6040"/>
    <w:rsid w:val="005D6206"/>
    <w:rsid w:val="005E4D72"/>
    <w:rsid w:val="005E791A"/>
    <w:rsid w:val="005F3A6D"/>
    <w:rsid w:val="005F55A3"/>
    <w:rsid w:val="005F5A82"/>
    <w:rsid w:val="005F7439"/>
    <w:rsid w:val="00600382"/>
    <w:rsid w:val="006104BA"/>
    <w:rsid w:val="00610A5D"/>
    <w:rsid w:val="00611959"/>
    <w:rsid w:val="006206E8"/>
    <w:rsid w:val="00621D14"/>
    <w:rsid w:val="00621FB3"/>
    <w:rsid w:val="00624E74"/>
    <w:rsid w:val="00626AF8"/>
    <w:rsid w:val="00626F9A"/>
    <w:rsid w:val="00635BA5"/>
    <w:rsid w:val="00637EE4"/>
    <w:rsid w:val="006453A6"/>
    <w:rsid w:val="006466A9"/>
    <w:rsid w:val="00646D9C"/>
    <w:rsid w:val="0064750B"/>
    <w:rsid w:val="00647B32"/>
    <w:rsid w:val="00651A45"/>
    <w:rsid w:val="0065442E"/>
    <w:rsid w:val="006553DD"/>
    <w:rsid w:val="00655606"/>
    <w:rsid w:val="00655FE4"/>
    <w:rsid w:val="006603DF"/>
    <w:rsid w:val="0066318A"/>
    <w:rsid w:val="0066406F"/>
    <w:rsid w:val="00670ED4"/>
    <w:rsid w:val="00671429"/>
    <w:rsid w:val="00671C9F"/>
    <w:rsid w:val="00672F7C"/>
    <w:rsid w:val="00673887"/>
    <w:rsid w:val="00673FAC"/>
    <w:rsid w:val="006746CA"/>
    <w:rsid w:val="00676B9B"/>
    <w:rsid w:val="00687269"/>
    <w:rsid w:val="00693203"/>
    <w:rsid w:val="006938C5"/>
    <w:rsid w:val="00695DD5"/>
    <w:rsid w:val="006A0016"/>
    <w:rsid w:val="006A24BE"/>
    <w:rsid w:val="006A2C2A"/>
    <w:rsid w:val="006A35D1"/>
    <w:rsid w:val="006A3F5D"/>
    <w:rsid w:val="006A584F"/>
    <w:rsid w:val="006B4178"/>
    <w:rsid w:val="006B50D4"/>
    <w:rsid w:val="006B685C"/>
    <w:rsid w:val="006C158F"/>
    <w:rsid w:val="006C1898"/>
    <w:rsid w:val="006D339B"/>
    <w:rsid w:val="006D4F54"/>
    <w:rsid w:val="006D62AF"/>
    <w:rsid w:val="006D6961"/>
    <w:rsid w:val="006E2C2D"/>
    <w:rsid w:val="006E5C84"/>
    <w:rsid w:val="006E7ABA"/>
    <w:rsid w:val="006F53BF"/>
    <w:rsid w:val="006F54F0"/>
    <w:rsid w:val="006F775F"/>
    <w:rsid w:val="0070075F"/>
    <w:rsid w:val="00710BCD"/>
    <w:rsid w:val="00710E4C"/>
    <w:rsid w:val="0071470E"/>
    <w:rsid w:val="00715E21"/>
    <w:rsid w:val="00716E5A"/>
    <w:rsid w:val="0072196A"/>
    <w:rsid w:val="007236CA"/>
    <w:rsid w:val="0072465D"/>
    <w:rsid w:val="00724724"/>
    <w:rsid w:val="007256FB"/>
    <w:rsid w:val="0072673E"/>
    <w:rsid w:val="00730110"/>
    <w:rsid w:val="007348A2"/>
    <w:rsid w:val="00737678"/>
    <w:rsid w:val="00746E5A"/>
    <w:rsid w:val="00747B51"/>
    <w:rsid w:val="00762458"/>
    <w:rsid w:val="00762BC0"/>
    <w:rsid w:val="00763B4A"/>
    <w:rsid w:val="00771878"/>
    <w:rsid w:val="00772ADA"/>
    <w:rsid w:val="007758C8"/>
    <w:rsid w:val="0077635E"/>
    <w:rsid w:val="00776BB4"/>
    <w:rsid w:val="00777880"/>
    <w:rsid w:val="00781600"/>
    <w:rsid w:val="00783EA9"/>
    <w:rsid w:val="007844B4"/>
    <w:rsid w:val="00785749"/>
    <w:rsid w:val="0078583C"/>
    <w:rsid w:val="00785A17"/>
    <w:rsid w:val="00786FC0"/>
    <w:rsid w:val="00787BFA"/>
    <w:rsid w:val="00792957"/>
    <w:rsid w:val="00792E03"/>
    <w:rsid w:val="0079373C"/>
    <w:rsid w:val="00795C32"/>
    <w:rsid w:val="007A5815"/>
    <w:rsid w:val="007B10D1"/>
    <w:rsid w:val="007B3FE4"/>
    <w:rsid w:val="007B45BB"/>
    <w:rsid w:val="007B677E"/>
    <w:rsid w:val="007B746D"/>
    <w:rsid w:val="007C0CD5"/>
    <w:rsid w:val="007C4700"/>
    <w:rsid w:val="007C5819"/>
    <w:rsid w:val="007C648F"/>
    <w:rsid w:val="007C7C58"/>
    <w:rsid w:val="007D3E5A"/>
    <w:rsid w:val="007D46A7"/>
    <w:rsid w:val="007D4B15"/>
    <w:rsid w:val="007D4C2E"/>
    <w:rsid w:val="007D5617"/>
    <w:rsid w:val="007D60FF"/>
    <w:rsid w:val="007D68B7"/>
    <w:rsid w:val="007E1257"/>
    <w:rsid w:val="007E4414"/>
    <w:rsid w:val="007F0835"/>
    <w:rsid w:val="007F2785"/>
    <w:rsid w:val="007F2A98"/>
    <w:rsid w:val="007F6420"/>
    <w:rsid w:val="00800E28"/>
    <w:rsid w:val="008043B5"/>
    <w:rsid w:val="00804540"/>
    <w:rsid w:val="008058C3"/>
    <w:rsid w:val="00813A5E"/>
    <w:rsid w:val="00814C88"/>
    <w:rsid w:val="00821138"/>
    <w:rsid w:val="0082289B"/>
    <w:rsid w:val="008264F8"/>
    <w:rsid w:val="00827B82"/>
    <w:rsid w:val="008306EA"/>
    <w:rsid w:val="0083623C"/>
    <w:rsid w:val="00844DA7"/>
    <w:rsid w:val="008461BD"/>
    <w:rsid w:val="00847CAE"/>
    <w:rsid w:val="0085074E"/>
    <w:rsid w:val="008515E9"/>
    <w:rsid w:val="00852D32"/>
    <w:rsid w:val="00852D53"/>
    <w:rsid w:val="00852FAF"/>
    <w:rsid w:val="00853402"/>
    <w:rsid w:val="00854449"/>
    <w:rsid w:val="0085651F"/>
    <w:rsid w:val="008575F1"/>
    <w:rsid w:val="00862AAE"/>
    <w:rsid w:val="0086476E"/>
    <w:rsid w:val="00865826"/>
    <w:rsid w:val="008663E7"/>
    <w:rsid w:val="0087172E"/>
    <w:rsid w:val="00871BD0"/>
    <w:rsid w:val="00881976"/>
    <w:rsid w:val="00882F85"/>
    <w:rsid w:val="00883F0C"/>
    <w:rsid w:val="00886C14"/>
    <w:rsid w:val="008872BE"/>
    <w:rsid w:val="00887911"/>
    <w:rsid w:val="00891116"/>
    <w:rsid w:val="008A1FB2"/>
    <w:rsid w:val="008A2527"/>
    <w:rsid w:val="008A2B9D"/>
    <w:rsid w:val="008A2ED9"/>
    <w:rsid w:val="008A4C3C"/>
    <w:rsid w:val="008A616A"/>
    <w:rsid w:val="008B0DD1"/>
    <w:rsid w:val="008B325C"/>
    <w:rsid w:val="008B334F"/>
    <w:rsid w:val="008B4D2B"/>
    <w:rsid w:val="008B5B8F"/>
    <w:rsid w:val="008B5D1D"/>
    <w:rsid w:val="008B5D3A"/>
    <w:rsid w:val="008B7950"/>
    <w:rsid w:val="008C0A62"/>
    <w:rsid w:val="008C13E8"/>
    <w:rsid w:val="008C1403"/>
    <w:rsid w:val="008C14BE"/>
    <w:rsid w:val="008C1856"/>
    <w:rsid w:val="008C2303"/>
    <w:rsid w:val="008C3786"/>
    <w:rsid w:val="008C495E"/>
    <w:rsid w:val="008C55B1"/>
    <w:rsid w:val="008C58A9"/>
    <w:rsid w:val="008C6C75"/>
    <w:rsid w:val="008C70C0"/>
    <w:rsid w:val="008D7CDF"/>
    <w:rsid w:val="008E0866"/>
    <w:rsid w:val="008E4EAC"/>
    <w:rsid w:val="008E52D9"/>
    <w:rsid w:val="008E5841"/>
    <w:rsid w:val="0090054A"/>
    <w:rsid w:val="00905A62"/>
    <w:rsid w:val="009078F0"/>
    <w:rsid w:val="00907F42"/>
    <w:rsid w:val="0091074F"/>
    <w:rsid w:val="00911557"/>
    <w:rsid w:val="0091202D"/>
    <w:rsid w:val="00912158"/>
    <w:rsid w:val="00912A7E"/>
    <w:rsid w:val="00915D99"/>
    <w:rsid w:val="00916155"/>
    <w:rsid w:val="00916F88"/>
    <w:rsid w:val="00917DB0"/>
    <w:rsid w:val="00921AD3"/>
    <w:rsid w:val="00922740"/>
    <w:rsid w:val="00930998"/>
    <w:rsid w:val="0093171E"/>
    <w:rsid w:val="00934D76"/>
    <w:rsid w:val="00941B7A"/>
    <w:rsid w:val="009425B7"/>
    <w:rsid w:val="00942A0A"/>
    <w:rsid w:val="00947831"/>
    <w:rsid w:val="00950AA4"/>
    <w:rsid w:val="0095193C"/>
    <w:rsid w:val="009528D9"/>
    <w:rsid w:val="00952A8C"/>
    <w:rsid w:val="009615A9"/>
    <w:rsid w:val="0096242F"/>
    <w:rsid w:val="009624AE"/>
    <w:rsid w:val="00963180"/>
    <w:rsid w:val="00964904"/>
    <w:rsid w:val="00965238"/>
    <w:rsid w:val="009715A1"/>
    <w:rsid w:val="0097610B"/>
    <w:rsid w:val="0097639B"/>
    <w:rsid w:val="009807E3"/>
    <w:rsid w:val="00981C0F"/>
    <w:rsid w:val="009821C1"/>
    <w:rsid w:val="00982EB3"/>
    <w:rsid w:val="00984FF0"/>
    <w:rsid w:val="009866FF"/>
    <w:rsid w:val="009927F3"/>
    <w:rsid w:val="0099372E"/>
    <w:rsid w:val="00994228"/>
    <w:rsid w:val="009950CA"/>
    <w:rsid w:val="009A26E3"/>
    <w:rsid w:val="009A27BC"/>
    <w:rsid w:val="009A75FC"/>
    <w:rsid w:val="009B25EF"/>
    <w:rsid w:val="009B595E"/>
    <w:rsid w:val="009B6944"/>
    <w:rsid w:val="009C0381"/>
    <w:rsid w:val="009C0504"/>
    <w:rsid w:val="009C0CD7"/>
    <w:rsid w:val="009C1C66"/>
    <w:rsid w:val="009C2FEB"/>
    <w:rsid w:val="009C3D02"/>
    <w:rsid w:val="009C5AAC"/>
    <w:rsid w:val="009C7D4B"/>
    <w:rsid w:val="009C7EF3"/>
    <w:rsid w:val="009D128B"/>
    <w:rsid w:val="009D18C0"/>
    <w:rsid w:val="009D1C60"/>
    <w:rsid w:val="009D2952"/>
    <w:rsid w:val="009D30D7"/>
    <w:rsid w:val="009D3BE6"/>
    <w:rsid w:val="009D4FD7"/>
    <w:rsid w:val="009D594C"/>
    <w:rsid w:val="009E0B4C"/>
    <w:rsid w:val="009E17D0"/>
    <w:rsid w:val="009E2048"/>
    <w:rsid w:val="009E22B5"/>
    <w:rsid w:val="009E2DD1"/>
    <w:rsid w:val="009E53EE"/>
    <w:rsid w:val="009E58E4"/>
    <w:rsid w:val="009F1BE0"/>
    <w:rsid w:val="009F2447"/>
    <w:rsid w:val="009F3358"/>
    <w:rsid w:val="009F3A72"/>
    <w:rsid w:val="009F417E"/>
    <w:rsid w:val="009F6AC7"/>
    <w:rsid w:val="00A00F94"/>
    <w:rsid w:val="00A0651C"/>
    <w:rsid w:val="00A0689B"/>
    <w:rsid w:val="00A10A17"/>
    <w:rsid w:val="00A11272"/>
    <w:rsid w:val="00A12E97"/>
    <w:rsid w:val="00A1325D"/>
    <w:rsid w:val="00A134EB"/>
    <w:rsid w:val="00A234E0"/>
    <w:rsid w:val="00A26326"/>
    <w:rsid w:val="00A26CE6"/>
    <w:rsid w:val="00A27F3A"/>
    <w:rsid w:val="00A3024E"/>
    <w:rsid w:val="00A31FA7"/>
    <w:rsid w:val="00A32364"/>
    <w:rsid w:val="00A33EC9"/>
    <w:rsid w:val="00A3529E"/>
    <w:rsid w:val="00A3670A"/>
    <w:rsid w:val="00A3724E"/>
    <w:rsid w:val="00A37796"/>
    <w:rsid w:val="00A37AF9"/>
    <w:rsid w:val="00A4147F"/>
    <w:rsid w:val="00A46DE2"/>
    <w:rsid w:val="00A47881"/>
    <w:rsid w:val="00A53530"/>
    <w:rsid w:val="00A568F0"/>
    <w:rsid w:val="00A60551"/>
    <w:rsid w:val="00A618F2"/>
    <w:rsid w:val="00A62C33"/>
    <w:rsid w:val="00A67D15"/>
    <w:rsid w:val="00A70404"/>
    <w:rsid w:val="00A70BD1"/>
    <w:rsid w:val="00A71812"/>
    <w:rsid w:val="00A7217E"/>
    <w:rsid w:val="00A74769"/>
    <w:rsid w:val="00A77350"/>
    <w:rsid w:val="00A81118"/>
    <w:rsid w:val="00A84ED5"/>
    <w:rsid w:val="00A861CF"/>
    <w:rsid w:val="00A862E9"/>
    <w:rsid w:val="00A867D6"/>
    <w:rsid w:val="00A87B55"/>
    <w:rsid w:val="00A959A4"/>
    <w:rsid w:val="00A95FCB"/>
    <w:rsid w:val="00AA5486"/>
    <w:rsid w:val="00AA5ABE"/>
    <w:rsid w:val="00AA73C1"/>
    <w:rsid w:val="00AA7E59"/>
    <w:rsid w:val="00AB1C8D"/>
    <w:rsid w:val="00AB2476"/>
    <w:rsid w:val="00AB2BF2"/>
    <w:rsid w:val="00AB35EA"/>
    <w:rsid w:val="00AB4AA6"/>
    <w:rsid w:val="00AB4EAD"/>
    <w:rsid w:val="00AB77E4"/>
    <w:rsid w:val="00AB7FCB"/>
    <w:rsid w:val="00AC09FC"/>
    <w:rsid w:val="00AC11D1"/>
    <w:rsid w:val="00AC23F7"/>
    <w:rsid w:val="00AC5F41"/>
    <w:rsid w:val="00AD25D1"/>
    <w:rsid w:val="00AD468C"/>
    <w:rsid w:val="00AE216C"/>
    <w:rsid w:val="00AE352D"/>
    <w:rsid w:val="00AE3D5D"/>
    <w:rsid w:val="00AE4085"/>
    <w:rsid w:val="00AE4401"/>
    <w:rsid w:val="00AE5D02"/>
    <w:rsid w:val="00AE61BD"/>
    <w:rsid w:val="00AF0B0B"/>
    <w:rsid w:val="00AF4AA5"/>
    <w:rsid w:val="00AF77DE"/>
    <w:rsid w:val="00B01A49"/>
    <w:rsid w:val="00B109A3"/>
    <w:rsid w:val="00B11E90"/>
    <w:rsid w:val="00B15514"/>
    <w:rsid w:val="00B158F9"/>
    <w:rsid w:val="00B17CED"/>
    <w:rsid w:val="00B20497"/>
    <w:rsid w:val="00B21983"/>
    <w:rsid w:val="00B21F18"/>
    <w:rsid w:val="00B221EB"/>
    <w:rsid w:val="00B2338B"/>
    <w:rsid w:val="00B25A83"/>
    <w:rsid w:val="00B25FA6"/>
    <w:rsid w:val="00B26225"/>
    <w:rsid w:val="00B26934"/>
    <w:rsid w:val="00B32E5A"/>
    <w:rsid w:val="00B43AEB"/>
    <w:rsid w:val="00B45667"/>
    <w:rsid w:val="00B45C18"/>
    <w:rsid w:val="00B53C41"/>
    <w:rsid w:val="00B6015F"/>
    <w:rsid w:val="00B61147"/>
    <w:rsid w:val="00B62125"/>
    <w:rsid w:val="00B62126"/>
    <w:rsid w:val="00B62713"/>
    <w:rsid w:val="00B64891"/>
    <w:rsid w:val="00B67586"/>
    <w:rsid w:val="00B715B9"/>
    <w:rsid w:val="00B71877"/>
    <w:rsid w:val="00B73B17"/>
    <w:rsid w:val="00B73C28"/>
    <w:rsid w:val="00B74234"/>
    <w:rsid w:val="00B7440D"/>
    <w:rsid w:val="00B74602"/>
    <w:rsid w:val="00B770FE"/>
    <w:rsid w:val="00B85DFF"/>
    <w:rsid w:val="00B874B7"/>
    <w:rsid w:val="00B87C9E"/>
    <w:rsid w:val="00B91798"/>
    <w:rsid w:val="00B91814"/>
    <w:rsid w:val="00B93577"/>
    <w:rsid w:val="00BA0269"/>
    <w:rsid w:val="00BA0B26"/>
    <w:rsid w:val="00BA0EE9"/>
    <w:rsid w:val="00BA6172"/>
    <w:rsid w:val="00BA6CC1"/>
    <w:rsid w:val="00BA7AB3"/>
    <w:rsid w:val="00BA7B2C"/>
    <w:rsid w:val="00BA7C59"/>
    <w:rsid w:val="00BB3A71"/>
    <w:rsid w:val="00BB52D1"/>
    <w:rsid w:val="00BB573D"/>
    <w:rsid w:val="00BB7F54"/>
    <w:rsid w:val="00BC01B8"/>
    <w:rsid w:val="00BC029D"/>
    <w:rsid w:val="00BC1938"/>
    <w:rsid w:val="00BC2F10"/>
    <w:rsid w:val="00BC610A"/>
    <w:rsid w:val="00BD0804"/>
    <w:rsid w:val="00BD1196"/>
    <w:rsid w:val="00BD18FF"/>
    <w:rsid w:val="00BD27C2"/>
    <w:rsid w:val="00BD65EE"/>
    <w:rsid w:val="00BD7EBC"/>
    <w:rsid w:val="00BE058D"/>
    <w:rsid w:val="00BE253B"/>
    <w:rsid w:val="00BE2780"/>
    <w:rsid w:val="00BE728D"/>
    <w:rsid w:val="00BE7495"/>
    <w:rsid w:val="00BE7F8F"/>
    <w:rsid w:val="00BF0672"/>
    <w:rsid w:val="00BF1550"/>
    <w:rsid w:val="00BF21E2"/>
    <w:rsid w:val="00BF3E43"/>
    <w:rsid w:val="00BF4F9A"/>
    <w:rsid w:val="00BF7D0E"/>
    <w:rsid w:val="00BF7D6C"/>
    <w:rsid w:val="00C10509"/>
    <w:rsid w:val="00C11B0E"/>
    <w:rsid w:val="00C12E3E"/>
    <w:rsid w:val="00C15A00"/>
    <w:rsid w:val="00C173FD"/>
    <w:rsid w:val="00C21A4B"/>
    <w:rsid w:val="00C21BDD"/>
    <w:rsid w:val="00C25AC5"/>
    <w:rsid w:val="00C3478E"/>
    <w:rsid w:val="00C34E83"/>
    <w:rsid w:val="00C37583"/>
    <w:rsid w:val="00C41016"/>
    <w:rsid w:val="00C42001"/>
    <w:rsid w:val="00C428EA"/>
    <w:rsid w:val="00C42CD6"/>
    <w:rsid w:val="00C442CC"/>
    <w:rsid w:val="00C45349"/>
    <w:rsid w:val="00C454EA"/>
    <w:rsid w:val="00C46066"/>
    <w:rsid w:val="00C46144"/>
    <w:rsid w:val="00C47469"/>
    <w:rsid w:val="00C505AE"/>
    <w:rsid w:val="00C52B50"/>
    <w:rsid w:val="00C624E3"/>
    <w:rsid w:val="00C62AC4"/>
    <w:rsid w:val="00C66974"/>
    <w:rsid w:val="00C66DB1"/>
    <w:rsid w:val="00C670BC"/>
    <w:rsid w:val="00C70EDE"/>
    <w:rsid w:val="00C7140E"/>
    <w:rsid w:val="00C71E51"/>
    <w:rsid w:val="00C7203A"/>
    <w:rsid w:val="00C72060"/>
    <w:rsid w:val="00C74CBC"/>
    <w:rsid w:val="00C762DA"/>
    <w:rsid w:val="00C77777"/>
    <w:rsid w:val="00C77E4C"/>
    <w:rsid w:val="00C85ECA"/>
    <w:rsid w:val="00C861A9"/>
    <w:rsid w:val="00C870C1"/>
    <w:rsid w:val="00CA1C69"/>
    <w:rsid w:val="00CA2893"/>
    <w:rsid w:val="00CA393B"/>
    <w:rsid w:val="00CA3BCB"/>
    <w:rsid w:val="00CA5D9E"/>
    <w:rsid w:val="00CA7296"/>
    <w:rsid w:val="00CB2110"/>
    <w:rsid w:val="00CB6E2B"/>
    <w:rsid w:val="00CC28AB"/>
    <w:rsid w:val="00CC2C53"/>
    <w:rsid w:val="00CC3C9A"/>
    <w:rsid w:val="00CC5611"/>
    <w:rsid w:val="00CD2629"/>
    <w:rsid w:val="00CD3D78"/>
    <w:rsid w:val="00CD65B1"/>
    <w:rsid w:val="00CD7032"/>
    <w:rsid w:val="00CD7080"/>
    <w:rsid w:val="00CD70E8"/>
    <w:rsid w:val="00CD788A"/>
    <w:rsid w:val="00CE4FC7"/>
    <w:rsid w:val="00CE5ABB"/>
    <w:rsid w:val="00CE6F7F"/>
    <w:rsid w:val="00CE7B9B"/>
    <w:rsid w:val="00CF35A8"/>
    <w:rsid w:val="00CF5574"/>
    <w:rsid w:val="00CF65DD"/>
    <w:rsid w:val="00CF77DF"/>
    <w:rsid w:val="00D0319E"/>
    <w:rsid w:val="00D03363"/>
    <w:rsid w:val="00D04066"/>
    <w:rsid w:val="00D06317"/>
    <w:rsid w:val="00D06CB0"/>
    <w:rsid w:val="00D07670"/>
    <w:rsid w:val="00D104E8"/>
    <w:rsid w:val="00D11AF7"/>
    <w:rsid w:val="00D12EAC"/>
    <w:rsid w:val="00D13805"/>
    <w:rsid w:val="00D141C9"/>
    <w:rsid w:val="00D143D7"/>
    <w:rsid w:val="00D22BF7"/>
    <w:rsid w:val="00D25EB8"/>
    <w:rsid w:val="00D26229"/>
    <w:rsid w:val="00D276C0"/>
    <w:rsid w:val="00D276C9"/>
    <w:rsid w:val="00D27DFE"/>
    <w:rsid w:val="00D3039F"/>
    <w:rsid w:val="00D30E88"/>
    <w:rsid w:val="00D32B08"/>
    <w:rsid w:val="00D37130"/>
    <w:rsid w:val="00D42C23"/>
    <w:rsid w:val="00D42EDB"/>
    <w:rsid w:val="00D435DB"/>
    <w:rsid w:val="00D43B13"/>
    <w:rsid w:val="00D447B2"/>
    <w:rsid w:val="00D46F69"/>
    <w:rsid w:val="00D47035"/>
    <w:rsid w:val="00D5198D"/>
    <w:rsid w:val="00D521AE"/>
    <w:rsid w:val="00D63942"/>
    <w:rsid w:val="00D63AF2"/>
    <w:rsid w:val="00D6473B"/>
    <w:rsid w:val="00D65132"/>
    <w:rsid w:val="00D66980"/>
    <w:rsid w:val="00D66A7C"/>
    <w:rsid w:val="00D66AEE"/>
    <w:rsid w:val="00D710D7"/>
    <w:rsid w:val="00D720A5"/>
    <w:rsid w:val="00D72D1D"/>
    <w:rsid w:val="00D7687B"/>
    <w:rsid w:val="00D80111"/>
    <w:rsid w:val="00D8434A"/>
    <w:rsid w:val="00D87535"/>
    <w:rsid w:val="00D906DE"/>
    <w:rsid w:val="00D96A08"/>
    <w:rsid w:val="00DA3C42"/>
    <w:rsid w:val="00DA54C3"/>
    <w:rsid w:val="00DA57EA"/>
    <w:rsid w:val="00DA6F42"/>
    <w:rsid w:val="00DB0512"/>
    <w:rsid w:val="00DB06A2"/>
    <w:rsid w:val="00DB11FD"/>
    <w:rsid w:val="00DB2849"/>
    <w:rsid w:val="00DB58B5"/>
    <w:rsid w:val="00DB70AE"/>
    <w:rsid w:val="00DB7476"/>
    <w:rsid w:val="00DC2BE9"/>
    <w:rsid w:val="00DC342B"/>
    <w:rsid w:val="00DC373F"/>
    <w:rsid w:val="00DC6E76"/>
    <w:rsid w:val="00DD0E47"/>
    <w:rsid w:val="00DD3375"/>
    <w:rsid w:val="00DD51CB"/>
    <w:rsid w:val="00DE050A"/>
    <w:rsid w:val="00DE437F"/>
    <w:rsid w:val="00DE4728"/>
    <w:rsid w:val="00DE5BCE"/>
    <w:rsid w:val="00DF4503"/>
    <w:rsid w:val="00DF74BC"/>
    <w:rsid w:val="00E03CD9"/>
    <w:rsid w:val="00E0471F"/>
    <w:rsid w:val="00E04EBC"/>
    <w:rsid w:val="00E07DDD"/>
    <w:rsid w:val="00E10D0A"/>
    <w:rsid w:val="00E1301A"/>
    <w:rsid w:val="00E136F7"/>
    <w:rsid w:val="00E14007"/>
    <w:rsid w:val="00E151DA"/>
    <w:rsid w:val="00E23901"/>
    <w:rsid w:val="00E2570F"/>
    <w:rsid w:val="00E31C1C"/>
    <w:rsid w:val="00E32A50"/>
    <w:rsid w:val="00E342E5"/>
    <w:rsid w:val="00E37F6F"/>
    <w:rsid w:val="00E41E86"/>
    <w:rsid w:val="00E4628F"/>
    <w:rsid w:val="00E46755"/>
    <w:rsid w:val="00E50AF1"/>
    <w:rsid w:val="00E53E08"/>
    <w:rsid w:val="00E55191"/>
    <w:rsid w:val="00E57438"/>
    <w:rsid w:val="00E600C5"/>
    <w:rsid w:val="00E6097F"/>
    <w:rsid w:val="00E615E8"/>
    <w:rsid w:val="00E62C39"/>
    <w:rsid w:val="00E648F1"/>
    <w:rsid w:val="00E65EC8"/>
    <w:rsid w:val="00E66AD1"/>
    <w:rsid w:val="00E70ABA"/>
    <w:rsid w:val="00E7114D"/>
    <w:rsid w:val="00E72351"/>
    <w:rsid w:val="00E72BE2"/>
    <w:rsid w:val="00E7365D"/>
    <w:rsid w:val="00E75382"/>
    <w:rsid w:val="00E75842"/>
    <w:rsid w:val="00E777EC"/>
    <w:rsid w:val="00E80170"/>
    <w:rsid w:val="00E8384B"/>
    <w:rsid w:val="00E83E98"/>
    <w:rsid w:val="00E8480F"/>
    <w:rsid w:val="00E9284D"/>
    <w:rsid w:val="00EA1A14"/>
    <w:rsid w:val="00EA66CC"/>
    <w:rsid w:val="00EB0DF5"/>
    <w:rsid w:val="00EC0362"/>
    <w:rsid w:val="00EC0693"/>
    <w:rsid w:val="00EC0D08"/>
    <w:rsid w:val="00EC3FF1"/>
    <w:rsid w:val="00EC4A0A"/>
    <w:rsid w:val="00EC4A9B"/>
    <w:rsid w:val="00EC5267"/>
    <w:rsid w:val="00EC5EE6"/>
    <w:rsid w:val="00EC7330"/>
    <w:rsid w:val="00ED03AD"/>
    <w:rsid w:val="00ED0C59"/>
    <w:rsid w:val="00ED110E"/>
    <w:rsid w:val="00ED2B5E"/>
    <w:rsid w:val="00ED4D3A"/>
    <w:rsid w:val="00ED78EE"/>
    <w:rsid w:val="00EE0ABC"/>
    <w:rsid w:val="00EE0BF0"/>
    <w:rsid w:val="00EE3CE0"/>
    <w:rsid w:val="00EE3D6E"/>
    <w:rsid w:val="00EE449D"/>
    <w:rsid w:val="00EE4951"/>
    <w:rsid w:val="00EE517B"/>
    <w:rsid w:val="00EE7345"/>
    <w:rsid w:val="00EF044D"/>
    <w:rsid w:val="00EF1A60"/>
    <w:rsid w:val="00EF470E"/>
    <w:rsid w:val="00EF4EA3"/>
    <w:rsid w:val="00EF5AD5"/>
    <w:rsid w:val="00EF6715"/>
    <w:rsid w:val="00F02B30"/>
    <w:rsid w:val="00F02E92"/>
    <w:rsid w:val="00F051F3"/>
    <w:rsid w:val="00F0560A"/>
    <w:rsid w:val="00F130CE"/>
    <w:rsid w:val="00F13C7E"/>
    <w:rsid w:val="00F141D0"/>
    <w:rsid w:val="00F153B5"/>
    <w:rsid w:val="00F15B0B"/>
    <w:rsid w:val="00F15BF4"/>
    <w:rsid w:val="00F16626"/>
    <w:rsid w:val="00F20434"/>
    <w:rsid w:val="00F2284B"/>
    <w:rsid w:val="00F33261"/>
    <w:rsid w:val="00F33658"/>
    <w:rsid w:val="00F35CCE"/>
    <w:rsid w:val="00F36CBD"/>
    <w:rsid w:val="00F40887"/>
    <w:rsid w:val="00F4119E"/>
    <w:rsid w:val="00F414F7"/>
    <w:rsid w:val="00F42487"/>
    <w:rsid w:val="00F443E3"/>
    <w:rsid w:val="00F44D25"/>
    <w:rsid w:val="00F478B4"/>
    <w:rsid w:val="00F5017A"/>
    <w:rsid w:val="00F56F48"/>
    <w:rsid w:val="00F64EF4"/>
    <w:rsid w:val="00F65DDC"/>
    <w:rsid w:val="00F7091A"/>
    <w:rsid w:val="00F73349"/>
    <w:rsid w:val="00F74D1D"/>
    <w:rsid w:val="00F75322"/>
    <w:rsid w:val="00F759FA"/>
    <w:rsid w:val="00F75A3D"/>
    <w:rsid w:val="00F76960"/>
    <w:rsid w:val="00F76F9B"/>
    <w:rsid w:val="00F772C1"/>
    <w:rsid w:val="00F810DB"/>
    <w:rsid w:val="00F82BA5"/>
    <w:rsid w:val="00F858FD"/>
    <w:rsid w:val="00F868F7"/>
    <w:rsid w:val="00F87E98"/>
    <w:rsid w:val="00F94497"/>
    <w:rsid w:val="00F954EA"/>
    <w:rsid w:val="00F95B17"/>
    <w:rsid w:val="00FA0FCE"/>
    <w:rsid w:val="00FA206D"/>
    <w:rsid w:val="00FA2531"/>
    <w:rsid w:val="00FA33ED"/>
    <w:rsid w:val="00FA6D95"/>
    <w:rsid w:val="00FA7DD2"/>
    <w:rsid w:val="00FB693A"/>
    <w:rsid w:val="00FB6956"/>
    <w:rsid w:val="00FB7024"/>
    <w:rsid w:val="00FB72A5"/>
    <w:rsid w:val="00FC30F3"/>
    <w:rsid w:val="00FC7E4E"/>
    <w:rsid w:val="00FD29C8"/>
    <w:rsid w:val="00FD467E"/>
    <w:rsid w:val="00FD78AF"/>
    <w:rsid w:val="00FE13DF"/>
    <w:rsid w:val="00FE51DD"/>
    <w:rsid w:val="00FF18A2"/>
    <w:rsid w:val="00FF4A95"/>
    <w:rsid w:val="00FF658E"/>
    <w:rsid w:val="00FF7118"/>
    <w:rsid w:val="1C782A98"/>
    <w:rsid w:val="29B670DF"/>
    <w:rsid w:val="2AC5334C"/>
    <w:rsid w:val="42BF647C"/>
    <w:rsid w:val="4C575977"/>
    <w:rsid w:val="642A77A1"/>
    <w:rsid w:val="729D3834"/>
    <w:rsid w:val="72D66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BFC5DA"/>
  <w15:docId w15:val="{8884AC53-4006-4A7C-A7B9-649060A54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rPr>
  </w:style>
  <w:style w:type="paragraph" w:styleId="a4">
    <w:name w:val="Body Text"/>
    <w:basedOn w:val="a"/>
    <w:link w:val="a5"/>
    <w:autoRedefine/>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paragraph" w:styleId="a6">
    <w:name w:val="footer"/>
    <w:basedOn w:val="a"/>
    <w:link w:val="a7"/>
    <w:uiPriority w:val="99"/>
    <w:unhideWhenUsed/>
    <w:pPr>
      <w:tabs>
        <w:tab w:val="center" w:pos="4153"/>
        <w:tab w:val="right" w:pos="8306"/>
      </w:tabs>
      <w:snapToGrid w:val="0"/>
      <w:jc w:val="left"/>
    </w:pPr>
    <w:rPr>
      <w:sz w:val="18"/>
      <w:szCs w:val="18"/>
    </w:rPr>
  </w:style>
  <w:style w:type="paragraph" w:styleId="a8">
    <w:name w:val="header"/>
    <w:basedOn w:val="a"/>
    <w:link w:val="a9"/>
    <w:uiPriority w:val="99"/>
    <w:unhideWhenUsed/>
    <w:pPr>
      <w:pBdr>
        <w:bottom w:val="single" w:sz="6" w:space="1" w:color="auto"/>
      </w:pBdr>
      <w:tabs>
        <w:tab w:val="center" w:pos="4153"/>
        <w:tab w:val="right" w:pos="8306"/>
      </w:tabs>
      <w:snapToGrid w:val="0"/>
      <w:jc w:val="center"/>
    </w:pPr>
    <w:rPr>
      <w:sz w:val="18"/>
      <w:szCs w:val="18"/>
    </w:rPr>
  </w:style>
  <w:style w:type="table" w:styleId="aa">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paragraph" w:styleId="ac">
    <w:name w:val="List Paragraph"/>
    <w:basedOn w:val="a"/>
    <w:uiPriority w:val="34"/>
    <w:qFormat/>
    <w:pPr>
      <w:ind w:firstLineChars="200" w:firstLine="420"/>
    </w:pPr>
  </w:style>
  <w:style w:type="character" w:customStyle="1" w:styleId="a9">
    <w:name w:val="页眉 字符"/>
    <w:basedOn w:val="a0"/>
    <w:link w:val="a8"/>
    <w:uiPriority w:val="99"/>
    <w:rPr>
      <w:rFonts w:ascii="Times New Roman" w:eastAsia="宋体" w:hAnsi="Times New Roman" w:cs="Times New Roman"/>
      <w:sz w:val="18"/>
      <w:szCs w:val="18"/>
    </w:rPr>
  </w:style>
  <w:style w:type="character" w:customStyle="1" w:styleId="a7">
    <w:name w:val="页脚 字符"/>
    <w:basedOn w:val="a0"/>
    <w:link w:val="a6"/>
    <w:uiPriority w:val="99"/>
    <w:rPr>
      <w:rFonts w:ascii="Times New Roman" w:eastAsia="宋体" w:hAnsi="Times New Roman" w:cs="Times New Roman"/>
      <w:sz w:val="18"/>
      <w:szCs w:val="18"/>
    </w:rPr>
  </w:style>
  <w:style w:type="character" w:customStyle="1" w:styleId="a5">
    <w:name w:val="正文文本 字符"/>
    <w:basedOn w:val="a0"/>
    <w:link w:val="a4"/>
    <w:semiHidden/>
    <w:qFormat/>
    <w:rPr>
      <w:rFonts w:ascii="Arial" w:eastAsia="Arial" w:hAnsi="Arial" w:cs="Arial"/>
      <w:snapToGrid w:val="0"/>
      <w:color w:val="000000"/>
      <w:kern w:val="0"/>
      <w:szCs w:val="21"/>
      <w:lang w:eastAsia="en-US"/>
    </w:rPr>
  </w:style>
  <w:style w:type="character" w:customStyle="1" w:styleId="w-text-emphasis">
    <w:name w:val="w-text-emphasis"/>
    <w:basedOn w:val="a0"/>
  </w:style>
  <w:style w:type="paragraph" w:styleId="ad">
    <w:name w:val="Normal (Web)"/>
    <w:basedOn w:val="a"/>
    <w:uiPriority w:val="99"/>
    <w:semiHidden/>
    <w:unhideWhenUsed/>
    <w:rsid w:val="00FA206D"/>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8302">
      <w:bodyDiv w:val="1"/>
      <w:marLeft w:val="0"/>
      <w:marRight w:val="0"/>
      <w:marTop w:val="0"/>
      <w:marBottom w:val="0"/>
      <w:divBdr>
        <w:top w:val="none" w:sz="0" w:space="0" w:color="auto"/>
        <w:left w:val="none" w:sz="0" w:space="0" w:color="auto"/>
        <w:bottom w:val="none" w:sz="0" w:space="0" w:color="auto"/>
        <w:right w:val="none" w:sz="0" w:space="0" w:color="auto"/>
      </w:divBdr>
    </w:div>
    <w:div w:id="98718973">
      <w:bodyDiv w:val="1"/>
      <w:marLeft w:val="0"/>
      <w:marRight w:val="0"/>
      <w:marTop w:val="0"/>
      <w:marBottom w:val="0"/>
      <w:divBdr>
        <w:top w:val="none" w:sz="0" w:space="0" w:color="auto"/>
        <w:left w:val="none" w:sz="0" w:space="0" w:color="auto"/>
        <w:bottom w:val="none" w:sz="0" w:space="0" w:color="auto"/>
        <w:right w:val="none" w:sz="0" w:space="0" w:color="auto"/>
      </w:divBdr>
      <w:divsChild>
        <w:div w:id="787314510">
          <w:marLeft w:val="446"/>
          <w:marRight w:val="0"/>
          <w:marTop w:val="0"/>
          <w:marBottom w:val="0"/>
          <w:divBdr>
            <w:top w:val="none" w:sz="0" w:space="0" w:color="auto"/>
            <w:left w:val="none" w:sz="0" w:space="0" w:color="auto"/>
            <w:bottom w:val="none" w:sz="0" w:space="0" w:color="auto"/>
            <w:right w:val="none" w:sz="0" w:space="0" w:color="auto"/>
          </w:divBdr>
        </w:div>
      </w:divsChild>
    </w:div>
    <w:div w:id="374626452">
      <w:bodyDiv w:val="1"/>
      <w:marLeft w:val="0"/>
      <w:marRight w:val="0"/>
      <w:marTop w:val="0"/>
      <w:marBottom w:val="0"/>
      <w:divBdr>
        <w:top w:val="none" w:sz="0" w:space="0" w:color="auto"/>
        <w:left w:val="none" w:sz="0" w:space="0" w:color="auto"/>
        <w:bottom w:val="none" w:sz="0" w:space="0" w:color="auto"/>
        <w:right w:val="none" w:sz="0" w:space="0" w:color="auto"/>
      </w:divBdr>
      <w:divsChild>
        <w:div w:id="425460797">
          <w:marLeft w:val="446"/>
          <w:marRight w:val="0"/>
          <w:marTop w:val="0"/>
          <w:marBottom w:val="0"/>
          <w:divBdr>
            <w:top w:val="none" w:sz="0" w:space="0" w:color="auto"/>
            <w:left w:val="none" w:sz="0" w:space="0" w:color="auto"/>
            <w:bottom w:val="none" w:sz="0" w:space="0" w:color="auto"/>
            <w:right w:val="none" w:sz="0" w:space="0" w:color="auto"/>
          </w:divBdr>
        </w:div>
      </w:divsChild>
    </w:div>
    <w:div w:id="614559250">
      <w:bodyDiv w:val="1"/>
      <w:marLeft w:val="0"/>
      <w:marRight w:val="0"/>
      <w:marTop w:val="0"/>
      <w:marBottom w:val="0"/>
      <w:divBdr>
        <w:top w:val="none" w:sz="0" w:space="0" w:color="auto"/>
        <w:left w:val="none" w:sz="0" w:space="0" w:color="auto"/>
        <w:bottom w:val="none" w:sz="0" w:space="0" w:color="auto"/>
        <w:right w:val="none" w:sz="0" w:space="0" w:color="auto"/>
      </w:divBdr>
    </w:div>
    <w:div w:id="628900377">
      <w:bodyDiv w:val="1"/>
      <w:marLeft w:val="0"/>
      <w:marRight w:val="0"/>
      <w:marTop w:val="0"/>
      <w:marBottom w:val="0"/>
      <w:divBdr>
        <w:top w:val="none" w:sz="0" w:space="0" w:color="auto"/>
        <w:left w:val="none" w:sz="0" w:space="0" w:color="auto"/>
        <w:bottom w:val="none" w:sz="0" w:space="0" w:color="auto"/>
        <w:right w:val="none" w:sz="0" w:space="0" w:color="auto"/>
      </w:divBdr>
      <w:divsChild>
        <w:div w:id="497304205">
          <w:marLeft w:val="0"/>
          <w:marRight w:val="0"/>
          <w:marTop w:val="0"/>
          <w:marBottom w:val="0"/>
          <w:divBdr>
            <w:top w:val="none" w:sz="0" w:space="0" w:color="auto"/>
            <w:left w:val="none" w:sz="0" w:space="0" w:color="auto"/>
            <w:bottom w:val="none" w:sz="0" w:space="0" w:color="auto"/>
            <w:right w:val="none" w:sz="0" w:space="0" w:color="auto"/>
          </w:divBdr>
          <w:divsChild>
            <w:div w:id="90684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98486">
      <w:bodyDiv w:val="1"/>
      <w:marLeft w:val="0"/>
      <w:marRight w:val="0"/>
      <w:marTop w:val="0"/>
      <w:marBottom w:val="0"/>
      <w:divBdr>
        <w:top w:val="none" w:sz="0" w:space="0" w:color="auto"/>
        <w:left w:val="none" w:sz="0" w:space="0" w:color="auto"/>
        <w:bottom w:val="none" w:sz="0" w:space="0" w:color="auto"/>
        <w:right w:val="none" w:sz="0" w:space="0" w:color="auto"/>
      </w:divBdr>
    </w:div>
    <w:div w:id="932125612">
      <w:bodyDiv w:val="1"/>
      <w:marLeft w:val="0"/>
      <w:marRight w:val="0"/>
      <w:marTop w:val="0"/>
      <w:marBottom w:val="0"/>
      <w:divBdr>
        <w:top w:val="none" w:sz="0" w:space="0" w:color="auto"/>
        <w:left w:val="none" w:sz="0" w:space="0" w:color="auto"/>
        <w:bottom w:val="none" w:sz="0" w:space="0" w:color="auto"/>
        <w:right w:val="none" w:sz="0" w:space="0" w:color="auto"/>
      </w:divBdr>
      <w:divsChild>
        <w:div w:id="1882860832">
          <w:marLeft w:val="446"/>
          <w:marRight w:val="0"/>
          <w:marTop w:val="0"/>
          <w:marBottom w:val="0"/>
          <w:divBdr>
            <w:top w:val="none" w:sz="0" w:space="0" w:color="auto"/>
            <w:left w:val="none" w:sz="0" w:space="0" w:color="auto"/>
            <w:bottom w:val="none" w:sz="0" w:space="0" w:color="auto"/>
            <w:right w:val="none" w:sz="0" w:space="0" w:color="auto"/>
          </w:divBdr>
        </w:div>
      </w:divsChild>
    </w:div>
    <w:div w:id="1030255468">
      <w:bodyDiv w:val="1"/>
      <w:marLeft w:val="0"/>
      <w:marRight w:val="0"/>
      <w:marTop w:val="0"/>
      <w:marBottom w:val="0"/>
      <w:divBdr>
        <w:top w:val="none" w:sz="0" w:space="0" w:color="auto"/>
        <w:left w:val="none" w:sz="0" w:space="0" w:color="auto"/>
        <w:bottom w:val="none" w:sz="0" w:space="0" w:color="auto"/>
        <w:right w:val="none" w:sz="0" w:space="0" w:color="auto"/>
      </w:divBdr>
    </w:div>
    <w:div w:id="1034111803">
      <w:bodyDiv w:val="1"/>
      <w:marLeft w:val="0"/>
      <w:marRight w:val="0"/>
      <w:marTop w:val="0"/>
      <w:marBottom w:val="0"/>
      <w:divBdr>
        <w:top w:val="none" w:sz="0" w:space="0" w:color="auto"/>
        <w:left w:val="none" w:sz="0" w:space="0" w:color="auto"/>
        <w:bottom w:val="none" w:sz="0" w:space="0" w:color="auto"/>
        <w:right w:val="none" w:sz="0" w:space="0" w:color="auto"/>
      </w:divBdr>
    </w:div>
    <w:div w:id="1365785262">
      <w:bodyDiv w:val="1"/>
      <w:marLeft w:val="0"/>
      <w:marRight w:val="0"/>
      <w:marTop w:val="0"/>
      <w:marBottom w:val="0"/>
      <w:divBdr>
        <w:top w:val="none" w:sz="0" w:space="0" w:color="auto"/>
        <w:left w:val="none" w:sz="0" w:space="0" w:color="auto"/>
        <w:bottom w:val="none" w:sz="0" w:space="0" w:color="auto"/>
        <w:right w:val="none" w:sz="0" w:space="0" w:color="auto"/>
      </w:divBdr>
      <w:divsChild>
        <w:div w:id="777481242">
          <w:marLeft w:val="446"/>
          <w:marRight w:val="0"/>
          <w:marTop w:val="0"/>
          <w:marBottom w:val="0"/>
          <w:divBdr>
            <w:top w:val="none" w:sz="0" w:space="0" w:color="auto"/>
            <w:left w:val="none" w:sz="0" w:space="0" w:color="auto"/>
            <w:bottom w:val="none" w:sz="0" w:space="0" w:color="auto"/>
            <w:right w:val="none" w:sz="0" w:space="0" w:color="auto"/>
          </w:divBdr>
        </w:div>
      </w:divsChild>
    </w:div>
    <w:div w:id="1398934465">
      <w:bodyDiv w:val="1"/>
      <w:marLeft w:val="0"/>
      <w:marRight w:val="0"/>
      <w:marTop w:val="0"/>
      <w:marBottom w:val="0"/>
      <w:divBdr>
        <w:top w:val="none" w:sz="0" w:space="0" w:color="auto"/>
        <w:left w:val="none" w:sz="0" w:space="0" w:color="auto"/>
        <w:bottom w:val="none" w:sz="0" w:space="0" w:color="auto"/>
        <w:right w:val="none" w:sz="0" w:space="0" w:color="auto"/>
      </w:divBdr>
    </w:div>
    <w:div w:id="1405100793">
      <w:bodyDiv w:val="1"/>
      <w:marLeft w:val="0"/>
      <w:marRight w:val="0"/>
      <w:marTop w:val="0"/>
      <w:marBottom w:val="0"/>
      <w:divBdr>
        <w:top w:val="none" w:sz="0" w:space="0" w:color="auto"/>
        <w:left w:val="none" w:sz="0" w:space="0" w:color="auto"/>
        <w:bottom w:val="none" w:sz="0" w:space="0" w:color="auto"/>
        <w:right w:val="none" w:sz="0" w:space="0" w:color="auto"/>
      </w:divBdr>
    </w:div>
    <w:div w:id="1537694005">
      <w:bodyDiv w:val="1"/>
      <w:marLeft w:val="0"/>
      <w:marRight w:val="0"/>
      <w:marTop w:val="0"/>
      <w:marBottom w:val="0"/>
      <w:divBdr>
        <w:top w:val="none" w:sz="0" w:space="0" w:color="auto"/>
        <w:left w:val="none" w:sz="0" w:space="0" w:color="auto"/>
        <w:bottom w:val="none" w:sz="0" w:space="0" w:color="auto"/>
        <w:right w:val="none" w:sz="0" w:space="0" w:color="auto"/>
      </w:divBdr>
    </w:div>
    <w:div w:id="1646081121">
      <w:bodyDiv w:val="1"/>
      <w:marLeft w:val="0"/>
      <w:marRight w:val="0"/>
      <w:marTop w:val="0"/>
      <w:marBottom w:val="0"/>
      <w:divBdr>
        <w:top w:val="none" w:sz="0" w:space="0" w:color="auto"/>
        <w:left w:val="none" w:sz="0" w:space="0" w:color="auto"/>
        <w:bottom w:val="none" w:sz="0" w:space="0" w:color="auto"/>
        <w:right w:val="none" w:sz="0" w:space="0" w:color="auto"/>
      </w:divBdr>
      <w:divsChild>
        <w:div w:id="895581519">
          <w:marLeft w:val="446"/>
          <w:marRight w:val="0"/>
          <w:marTop w:val="0"/>
          <w:marBottom w:val="0"/>
          <w:divBdr>
            <w:top w:val="none" w:sz="0" w:space="0" w:color="auto"/>
            <w:left w:val="none" w:sz="0" w:space="0" w:color="auto"/>
            <w:bottom w:val="none" w:sz="0" w:space="0" w:color="auto"/>
            <w:right w:val="none" w:sz="0" w:space="0" w:color="auto"/>
          </w:divBdr>
        </w:div>
      </w:divsChild>
    </w:div>
    <w:div w:id="1838154266">
      <w:bodyDiv w:val="1"/>
      <w:marLeft w:val="0"/>
      <w:marRight w:val="0"/>
      <w:marTop w:val="0"/>
      <w:marBottom w:val="0"/>
      <w:divBdr>
        <w:top w:val="none" w:sz="0" w:space="0" w:color="auto"/>
        <w:left w:val="none" w:sz="0" w:space="0" w:color="auto"/>
        <w:bottom w:val="none" w:sz="0" w:space="0" w:color="auto"/>
        <w:right w:val="none" w:sz="0" w:space="0" w:color="auto"/>
      </w:divBdr>
      <w:divsChild>
        <w:div w:id="1594633465">
          <w:marLeft w:val="446"/>
          <w:marRight w:val="0"/>
          <w:marTop w:val="0"/>
          <w:marBottom w:val="0"/>
          <w:divBdr>
            <w:top w:val="none" w:sz="0" w:space="0" w:color="auto"/>
            <w:left w:val="none" w:sz="0" w:space="0" w:color="auto"/>
            <w:bottom w:val="none" w:sz="0" w:space="0" w:color="auto"/>
            <w:right w:val="none" w:sz="0" w:space="0" w:color="auto"/>
          </w:divBdr>
        </w:div>
      </w:divsChild>
    </w:div>
    <w:div w:id="1992520210">
      <w:bodyDiv w:val="1"/>
      <w:marLeft w:val="0"/>
      <w:marRight w:val="0"/>
      <w:marTop w:val="0"/>
      <w:marBottom w:val="0"/>
      <w:divBdr>
        <w:top w:val="none" w:sz="0" w:space="0" w:color="auto"/>
        <w:left w:val="none" w:sz="0" w:space="0" w:color="auto"/>
        <w:bottom w:val="none" w:sz="0" w:space="0" w:color="auto"/>
        <w:right w:val="none" w:sz="0" w:space="0" w:color="auto"/>
      </w:divBdr>
      <w:divsChild>
        <w:div w:id="113792109">
          <w:marLeft w:val="446"/>
          <w:marRight w:val="0"/>
          <w:marTop w:val="0"/>
          <w:marBottom w:val="0"/>
          <w:divBdr>
            <w:top w:val="none" w:sz="0" w:space="0" w:color="auto"/>
            <w:left w:val="none" w:sz="0" w:space="0" w:color="auto"/>
            <w:bottom w:val="none" w:sz="0" w:space="0" w:color="auto"/>
            <w:right w:val="none" w:sz="0" w:space="0" w:color="auto"/>
          </w:divBdr>
        </w:div>
      </w:divsChild>
    </w:div>
    <w:div w:id="2037458471">
      <w:bodyDiv w:val="1"/>
      <w:marLeft w:val="0"/>
      <w:marRight w:val="0"/>
      <w:marTop w:val="0"/>
      <w:marBottom w:val="0"/>
      <w:divBdr>
        <w:top w:val="none" w:sz="0" w:space="0" w:color="auto"/>
        <w:left w:val="none" w:sz="0" w:space="0" w:color="auto"/>
        <w:bottom w:val="none" w:sz="0" w:space="0" w:color="auto"/>
        <w:right w:val="none" w:sz="0" w:space="0" w:color="auto"/>
      </w:divBdr>
    </w:div>
    <w:div w:id="2117360078">
      <w:bodyDiv w:val="1"/>
      <w:marLeft w:val="0"/>
      <w:marRight w:val="0"/>
      <w:marTop w:val="0"/>
      <w:marBottom w:val="0"/>
      <w:divBdr>
        <w:top w:val="none" w:sz="0" w:space="0" w:color="auto"/>
        <w:left w:val="none" w:sz="0" w:space="0" w:color="auto"/>
        <w:bottom w:val="none" w:sz="0" w:space="0" w:color="auto"/>
        <w:right w:val="none" w:sz="0" w:space="0" w:color="auto"/>
      </w:divBdr>
    </w:div>
    <w:div w:id="2137674955">
      <w:bodyDiv w:val="1"/>
      <w:marLeft w:val="0"/>
      <w:marRight w:val="0"/>
      <w:marTop w:val="0"/>
      <w:marBottom w:val="0"/>
      <w:divBdr>
        <w:top w:val="none" w:sz="0" w:space="0" w:color="auto"/>
        <w:left w:val="none" w:sz="0" w:space="0" w:color="auto"/>
        <w:bottom w:val="none" w:sz="0" w:space="0" w:color="auto"/>
        <w:right w:val="none" w:sz="0" w:space="0" w:color="auto"/>
      </w:divBdr>
      <w:divsChild>
        <w:div w:id="48339784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D:\&#36825;&#25165;&#26159;&#30495;&#26700;&#38754;\&#20154;&#27665;&#24065;&#21608;&#25253;\&#30456;&#20851;&#22270;&#3492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2"/>
          <c:tx>
            <c:strRef>
              <c:f>'价差 IFIND'!$D$3</c:f>
              <c:strCache>
                <c:ptCount val="1"/>
                <c:pt idx="0">
                  <c:v>价差(右轴）</c:v>
                </c:pt>
              </c:strCache>
            </c:strRef>
          </c:tx>
          <c:spPr>
            <a:solidFill>
              <a:schemeClr val="accent3"/>
            </a:solidFill>
            <a:ln>
              <a:noFill/>
            </a:ln>
            <a:effectLst/>
          </c:spPr>
          <c:invertIfNegative val="0"/>
          <c:cat>
            <c:numRef>
              <c:f>'价差 IFIND'!$A$4:$A$10</c:f>
              <c:numCache>
                <c:formatCode>yyyy\-mm\-dd;@</c:formatCode>
                <c:ptCount val="7"/>
                <c:pt idx="0">
                  <c:v>46286</c:v>
                </c:pt>
                <c:pt idx="1">
                  <c:v>46285</c:v>
                </c:pt>
                <c:pt idx="2">
                  <c:v>46284</c:v>
                </c:pt>
                <c:pt idx="3">
                  <c:v>46283</c:v>
                </c:pt>
                <c:pt idx="4">
                  <c:v>46282</c:v>
                </c:pt>
                <c:pt idx="5">
                  <c:v>46281</c:v>
                </c:pt>
                <c:pt idx="6">
                  <c:v>46280</c:v>
                </c:pt>
              </c:numCache>
            </c:numRef>
          </c:cat>
          <c:val>
            <c:numRef>
              <c:f>'价差 IFIND'!$D$4:$D$10</c:f>
              <c:numCache>
                <c:formatCode>#,##0.0000_ </c:formatCode>
                <c:ptCount val="7"/>
                <c:pt idx="0">
                  <c:v>3.6310492814655149E-3</c:v>
                </c:pt>
                <c:pt idx="1">
                  <c:v>-2.3599191752197157E-3</c:v>
                </c:pt>
                <c:pt idx="2">
                  <c:v>1.6021492166498064E-3</c:v>
                </c:pt>
                <c:pt idx="3">
                  <c:v>6.6115384804170674E-3</c:v>
                </c:pt>
                <c:pt idx="4">
                  <c:v>3.5640926100350967E-3</c:v>
                </c:pt>
                <c:pt idx="5">
                  <c:v>2.7117055094727505E-3</c:v>
                </c:pt>
                <c:pt idx="6">
                  <c:v>-3.1694195274400982E-4</c:v>
                </c:pt>
              </c:numCache>
            </c:numRef>
          </c:val>
          <c:extLst>
            <c:ext xmlns:c16="http://schemas.microsoft.com/office/drawing/2014/chart" uri="{C3380CC4-5D6E-409C-BE32-E72D297353CC}">
              <c16:uniqueId val="{00000000-1F69-4355-B510-8855019621AA}"/>
            </c:ext>
          </c:extLst>
        </c:ser>
        <c:dLbls>
          <c:showLegendKey val="0"/>
          <c:showVal val="0"/>
          <c:showCatName val="0"/>
          <c:showSerName val="0"/>
          <c:showPercent val="0"/>
          <c:showBubbleSize val="0"/>
        </c:dLbls>
        <c:gapWidth val="219"/>
        <c:axId val="1082741807"/>
        <c:axId val="1082752623"/>
      </c:barChart>
      <c:lineChart>
        <c:grouping val="standard"/>
        <c:varyColors val="0"/>
        <c:ser>
          <c:idx val="0"/>
          <c:order val="0"/>
          <c:tx>
            <c:strRef>
              <c:f>'价差 IFIND'!$B$2</c:f>
              <c:strCache>
                <c:ptCount val="1"/>
                <c:pt idx="0">
                  <c:v>美元兑人民币</c:v>
                </c:pt>
              </c:strCache>
            </c:strRef>
          </c:tx>
          <c:spPr>
            <a:ln w="28575" cap="rnd">
              <a:solidFill>
                <a:schemeClr val="accent1"/>
              </a:solidFill>
              <a:round/>
            </a:ln>
            <a:effectLst/>
          </c:spPr>
          <c:marker>
            <c:symbol val="none"/>
          </c:marker>
          <c:cat>
            <c:numRef>
              <c:f>'价差 IFIND'!$A$4:$A$10</c:f>
              <c:numCache>
                <c:formatCode>yyyy\-mm\-dd;@</c:formatCode>
                <c:ptCount val="7"/>
                <c:pt idx="0">
                  <c:v>46286</c:v>
                </c:pt>
                <c:pt idx="1">
                  <c:v>46285</c:v>
                </c:pt>
                <c:pt idx="2">
                  <c:v>46284</c:v>
                </c:pt>
                <c:pt idx="3">
                  <c:v>46283</c:v>
                </c:pt>
                <c:pt idx="4">
                  <c:v>46282</c:v>
                </c:pt>
                <c:pt idx="5">
                  <c:v>46281</c:v>
                </c:pt>
                <c:pt idx="6">
                  <c:v>46280</c:v>
                </c:pt>
              </c:numCache>
            </c:numRef>
          </c:cat>
          <c:val>
            <c:numRef>
              <c:f>'价差 IFIND'!$B$4:$B$10</c:f>
              <c:numCache>
                <c:formatCode>#,##0.0000_ </c:formatCode>
                <c:ptCount val="7"/>
                <c:pt idx="0">
                  <c:v>6.6971852650115133</c:v>
                </c:pt>
                <c:pt idx="1">
                  <c:v>6.6976401973612436</c:v>
                </c:pt>
                <c:pt idx="2">
                  <c:v>6.7015999999999991</c:v>
                </c:pt>
                <c:pt idx="3">
                  <c:v>6.7052428866821678</c:v>
                </c:pt>
                <c:pt idx="4">
                  <c:v>6.7071850016545742</c:v>
                </c:pt>
                <c:pt idx="5">
                  <c:v>6.7084921053556599</c:v>
                </c:pt>
                <c:pt idx="6">
                  <c:v>6.7139335066452404</c:v>
                </c:pt>
              </c:numCache>
            </c:numRef>
          </c:val>
          <c:smooth val="0"/>
          <c:extLst>
            <c:ext xmlns:c16="http://schemas.microsoft.com/office/drawing/2014/chart" uri="{C3380CC4-5D6E-409C-BE32-E72D297353CC}">
              <c16:uniqueId val="{00000001-1F69-4355-B510-8855019621AA}"/>
            </c:ext>
          </c:extLst>
        </c:ser>
        <c:ser>
          <c:idx val="1"/>
          <c:order val="1"/>
          <c:tx>
            <c:strRef>
              <c:f>'价差 IFIND'!$C$2</c:f>
              <c:strCache>
                <c:ptCount val="1"/>
                <c:pt idx="0">
                  <c:v>美元兑离岸人民币</c:v>
                </c:pt>
              </c:strCache>
            </c:strRef>
          </c:tx>
          <c:spPr>
            <a:ln w="28575" cap="rnd">
              <a:solidFill>
                <a:srgbClr val="C00000"/>
              </a:solidFill>
              <a:round/>
            </a:ln>
            <a:effectLst/>
          </c:spPr>
          <c:marker>
            <c:symbol val="none"/>
          </c:marker>
          <c:cat>
            <c:numRef>
              <c:f>'价差 IFIND'!$A$4:$A$10</c:f>
              <c:numCache>
                <c:formatCode>yyyy\-mm\-dd;@</c:formatCode>
                <c:ptCount val="7"/>
                <c:pt idx="0">
                  <c:v>46286</c:v>
                </c:pt>
                <c:pt idx="1">
                  <c:v>46285</c:v>
                </c:pt>
                <c:pt idx="2">
                  <c:v>46284</c:v>
                </c:pt>
                <c:pt idx="3">
                  <c:v>46283</c:v>
                </c:pt>
                <c:pt idx="4">
                  <c:v>46282</c:v>
                </c:pt>
                <c:pt idx="5">
                  <c:v>46281</c:v>
                </c:pt>
                <c:pt idx="6">
                  <c:v>46280</c:v>
                </c:pt>
              </c:numCache>
            </c:numRef>
          </c:cat>
          <c:val>
            <c:numRef>
              <c:f>'价差 IFIND'!$C$4:$C$10</c:f>
              <c:numCache>
                <c:formatCode>#,##0.0000_ </c:formatCode>
                <c:ptCount val="7"/>
                <c:pt idx="0">
                  <c:v>6.6935542157300478</c:v>
                </c:pt>
                <c:pt idx="1">
                  <c:v>6.7000001165364633</c:v>
                </c:pt>
                <c:pt idx="2">
                  <c:v>6.6999978507833493</c:v>
                </c:pt>
                <c:pt idx="3">
                  <c:v>6.6986313482017508</c:v>
                </c:pt>
                <c:pt idx="4">
                  <c:v>6.7036209090445391</c:v>
                </c:pt>
                <c:pt idx="5">
                  <c:v>6.7057803998461871</c:v>
                </c:pt>
                <c:pt idx="6">
                  <c:v>6.7142504485979844</c:v>
                </c:pt>
              </c:numCache>
            </c:numRef>
          </c:val>
          <c:smooth val="0"/>
          <c:extLst>
            <c:ext xmlns:c16="http://schemas.microsoft.com/office/drawing/2014/chart" uri="{C3380CC4-5D6E-409C-BE32-E72D297353CC}">
              <c16:uniqueId val="{00000002-1F69-4355-B510-8855019621AA}"/>
            </c:ext>
          </c:extLst>
        </c:ser>
        <c:dLbls>
          <c:showLegendKey val="0"/>
          <c:showVal val="0"/>
          <c:showCatName val="0"/>
          <c:showSerName val="0"/>
          <c:showPercent val="0"/>
          <c:showBubbleSize val="0"/>
        </c:dLbls>
        <c:marker val="1"/>
        <c:smooth val="0"/>
        <c:axId val="1082696879"/>
        <c:axId val="1082683151"/>
      </c:lineChart>
      <c:dateAx>
        <c:axId val="1082696879"/>
        <c:scaling>
          <c:orientation val="minMax"/>
        </c:scaling>
        <c:delete val="0"/>
        <c:axPos val="b"/>
        <c:numFmt formatCode="yyyy\-mm\-dd;@"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82683151"/>
        <c:crosses val="autoZero"/>
        <c:auto val="1"/>
        <c:lblOffset val="100"/>
        <c:baseTimeUnit val="days"/>
      </c:dateAx>
      <c:valAx>
        <c:axId val="1082683151"/>
        <c:scaling>
          <c:orientation val="minMax"/>
        </c:scaling>
        <c:delete val="0"/>
        <c:axPos val="l"/>
        <c:numFmt formatCode="#,##0.0000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82696879"/>
        <c:crosses val="autoZero"/>
        <c:crossBetween val="between"/>
      </c:valAx>
      <c:valAx>
        <c:axId val="1082752623"/>
        <c:scaling>
          <c:orientation val="minMax"/>
        </c:scaling>
        <c:delete val="0"/>
        <c:axPos val="r"/>
        <c:numFmt formatCode="#,##0.0000_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82741807"/>
        <c:crosses val="max"/>
        <c:crossBetween val="between"/>
      </c:valAx>
      <c:dateAx>
        <c:axId val="1082741807"/>
        <c:scaling>
          <c:orientation val="minMax"/>
        </c:scaling>
        <c:delete val="1"/>
        <c:axPos val="b"/>
        <c:numFmt formatCode="yyyy\-mm\-dd;@" sourceLinked="1"/>
        <c:majorTickMark val="out"/>
        <c:minorTickMark val="none"/>
        <c:tickLblPos val="nextTo"/>
        <c:crossAx val="1082752623"/>
        <c:crosses val="autoZero"/>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7E319-E530-4C5F-8E82-D4F2C3867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378</Words>
  <Characters>2158</Characters>
  <Application>Microsoft Office Word</Application>
  <DocSecurity>0</DocSecurity>
  <Lines>17</Lines>
  <Paragraphs>5</Paragraphs>
  <ScaleCrop>false</ScaleCrop>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8</cp:revision>
  <cp:lastPrinted>2024-12-24T02:37:00Z</cp:lastPrinted>
  <dcterms:created xsi:type="dcterms:W3CDTF">2026-09-15T01:01:00Z</dcterms:created>
  <dcterms:modified xsi:type="dcterms:W3CDTF">2026-09-22T01:01:00Z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0916914D11034FEA980AFD71C0947664_12</vt:lpwstr>
  </property>
</Properties>
</file>