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2DF86" w14:textId="77777777" w:rsidR="0087172E" w:rsidRDefault="00BD00D1">
      <w:pPr>
        <w:spacing w:line="720" w:lineRule="auto"/>
        <w:jc w:val="center"/>
        <w:outlineLvl w:val="0"/>
        <w:rPr>
          <w:rFonts w:ascii="宋体" w:hAnsi="宋体"/>
          <w:b/>
          <w:bCs/>
          <w:sz w:val="40"/>
          <w:szCs w:val="44"/>
        </w:rPr>
      </w:pPr>
      <w:r>
        <w:rPr>
          <w:rFonts w:ascii="宋体" w:hAnsi="宋体"/>
          <w:b/>
          <w:bCs/>
          <w:sz w:val="40"/>
          <w:szCs w:val="44"/>
        </w:rPr>
        <w:pict w14:anchorId="5AB74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180pt">
            <v:imagedata r:id="rId8" o:title="微信图片_20240814094509"/>
          </v:shape>
        </w:pict>
      </w:r>
    </w:p>
    <w:p w14:paraId="16430FB9"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上周行情回顾</w:t>
      </w:r>
    </w:p>
    <w:p w14:paraId="25BEF9E9" w14:textId="6D495A60" w:rsidR="00CA7296" w:rsidRPr="00AA5ABE" w:rsidRDefault="00CA7296" w:rsidP="00CA7296">
      <w:pPr>
        <w:spacing w:line="312" w:lineRule="auto"/>
        <w:ind w:firstLine="420"/>
        <w:rPr>
          <w:rFonts w:ascii="宋体" w:hAnsi="宋体"/>
        </w:rPr>
      </w:pPr>
      <w:r>
        <w:t>周</w:t>
      </w:r>
      <w:r w:rsidR="007E7318">
        <w:rPr>
          <w:rFonts w:hint="eastAsia"/>
        </w:rPr>
        <w:t>五</w:t>
      </w:r>
      <w:r>
        <w:rPr>
          <w:rFonts w:hint="eastAsia"/>
        </w:rPr>
        <w:t>（</w:t>
      </w:r>
      <w:r w:rsidR="007E7318">
        <w:rPr>
          <w:rFonts w:hint="eastAsia"/>
        </w:rPr>
        <w:t>1</w:t>
      </w:r>
      <w:r w:rsidR="007E7318">
        <w:t>0</w:t>
      </w:r>
      <w:r>
        <w:rPr>
          <w:rFonts w:hint="eastAsia"/>
        </w:rPr>
        <w:t>月</w:t>
      </w:r>
      <w:r w:rsidR="007E7318">
        <w:rPr>
          <w:rFonts w:hint="eastAsia"/>
        </w:rPr>
        <w:t>9</w:t>
      </w:r>
      <w:r>
        <w:rPr>
          <w:rFonts w:hint="eastAsia"/>
        </w:rPr>
        <w:t>日）</w:t>
      </w:r>
      <w:r>
        <w:t>美元兑人民币中间价</w:t>
      </w:r>
      <w:r>
        <w:rPr>
          <w:rFonts w:ascii="宋体" w:hAnsi="宋体" w:cs="宋体"/>
        </w:rPr>
        <w:t>报</w:t>
      </w:r>
      <w:r w:rsidR="002D37D1">
        <w:rPr>
          <w:rFonts w:ascii="宋体" w:hAnsi="宋体" w:cs="宋体"/>
        </w:rPr>
        <w:t>6.</w:t>
      </w:r>
      <w:r w:rsidR="00CE7B9B">
        <w:rPr>
          <w:rFonts w:ascii="宋体" w:hAnsi="宋体" w:cs="宋体"/>
        </w:rPr>
        <w:t>7</w:t>
      </w:r>
      <w:r w:rsidR="00BD00D1">
        <w:rPr>
          <w:rFonts w:ascii="宋体" w:hAnsi="宋体" w:cs="宋体"/>
        </w:rPr>
        <w:t>330</w:t>
      </w:r>
      <w:r>
        <w:rPr>
          <w:rFonts w:ascii="宋体" w:hAnsi="宋体" w:cs="宋体"/>
        </w:rPr>
        <w:t>，</w:t>
      </w:r>
      <w:r w:rsidR="00E648F1">
        <w:rPr>
          <w:rFonts w:ascii="宋体" w:hAnsi="宋体" w:cs="宋体" w:hint="eastAsia"/>
        </w:rPr>
        <w:t>调</w:t>
      </w:r>
      <w:r w:rsidR="00CA5D9E">
        <w:rPr>
          <w:rFonts w:ascii="宋体" w:hAnsi="宋体" w:cs="宋体" w:hint="eastAsia"/>
        </w:rPr>
        <w:t>降</w:t>
      </w:r>
      <w:r w:rsidR="00BD00D1">
        <w:rPr>
          <w:rFonts w:ascii="宋体" w:hAnsi="宋体" w:cs="宋体" w:hint="eastAsia"/>
        </w:rPr>
        <w:t>3</w:t>
      </w:r>
      <w:r w:rsidR="00BD00D1">
        <w:rPr>
          <w:rFonts w:ascii="宋体" w:hAnsi="宋体" w:cs="宋体"/>
        </w:rPr>
        <w:t>7</w:t>
      </w:r>
      <w:r w:rsidR="00E648F1">
        <w:rPr>
          <w:rFonts w:ascii="宋体" w:hAnsi="宋体" w:cs="宋体" w:hint="eastAsia"/>
        </w:rPr>
        <w:t>个基点</w:t>
      </w:r>
      <w:r>
        <w:rPr>
          <w:rFonts w:ascii="宋体" w:hAnsi="宋体" w:cs="宋体" w:hint="eastAsia"/>
        </w:rPr>
        <w:t>，累计调</w:t>
      </w:r>
      <w:r w:rsidR="005727D9">
        <w:rPr>
          <w:rFonts w:ascii="宋体" w:hAnsi="宋体" w:cs="宋体" w:hint="eastAsia"/>
        </w:rPr>
        <w:t>降</w:t>
      </w:r>
      <w:r w:rsidR="00BD00D1">
        <w:rPr>
          <w:rFonts w:ascii="宋体" w:hAnsi="宋体" w:cs="宋体" w:hint="eastAsia"/>
        </w:rPr>
        <w:t>1</w:t>
      </w:r>
      <w:r w:rsidR="00BD00D1">
        <w:rPr>
          <w:rFonts w:ascii="宋体" w:hAnsi="宋体" w:cs="宋体"/>
        </w:rPr>
        <w:t>59</w:t>
      </w:r>
      <w:r>
        <w:rPr>
          <w:rFonts w:ascii="宋体" w:hAnsi="宋体" w:cs="宋体" w:hint="eastAsia"/>
        </w:rPr>
        <w:t>个基点。港交所美元兑人</w:t>
      </w:r>
      <w:r w:rsidRPr="00AA5ABE">
        <w:rPr>
          <w:rFonts w:hint="eastAsia"/>
        </w:rPr>
        <w:t>民币期货主力合约</w:t>
      </w:r>
      <w:r w:rsidRPr="00AA5ABE">
        <w:rPr>
          <w:rFonts w:ascii="宋体" w:hAnsi="宋体" w:hint="eastAsia"/>
        </w:rPr>
        <w:t>C</w:t>
      </w:r>
      <w:r w:rsidRPr="00AA5ABE">
        <w:rPr>
          <w:rFonts w:ascii="宋体" w:hAnsi="宋体"/>
        </w:rPr>
        <w:t>USF2</w:t>
      </w:r>
      <w:r w:rsidR="00AA5ABE" w:rsidRPr="00AA5ABE">
        <w:rPr>
          <w:rFonts w:ascii="宋体" w:hAnsi="宋体"/>
        </w:rPr>
        <w:t>6</w:t>
      </w:r>
      <w:r w:rsidR="00A0689B">
        <w:rPr>
          <w:rFonts w:ascii="宋体" w:hAnsi="宋体"/>
        </w:rPr>
        <w:t>10</w:t>
      </w:r>
      <w:r w:rsidRPr="00AA5ABE">
        <w:rPr>
          <w:rFonts w:ascii="宋体" w:hAnsi="宋体" w:hint="eastAsia"/>
        </w:rPr>
        <w:t>收</w:t>
      </w:r>
      <w:r w:rsidR="005C0624">
        <w:rPr>
          <w:rFonts w:ascii="宋体" w:hAnsi="宋体" w:hint="eastAsia"/>
        </w:rPr>
        <w:t>跌</w:t>
      </w:r>
      <w:r w:rsidR="0051119D">
        <w:rPr>
          <w:rFonts w:ascii="宋体" w:hAnsi="宋体" w:hint="eastAsia"/>
        </w:rPr>
        <w:t>0</w:t>
      </w:r>
      <w:r w:rsidR="0051119D">
        <w:rPr>
          <w:rFonts w:ascii="宋体" w:hAnsi="宋体"/>
        </w:rPr>
        <w:t>.</w:t>
      </w:r>
      <w:r w:rsidR="005C0624">
        <w:rPr>
          <w:rFonts w:ascii="宋体" w:hAnsi="宋体"/>
        </w:rPr>
        <w:t>13</w:t>
      </w:r>
      <w:r w:rsidR="00FB6956">
        <w:rPr>
          <w:rFonts w:ascii="宋体" w:hAnsi="宋体"/>
        </w:rPr>
        <w:t>%</w:t>
      </w:r>
      <w:r w:rsidR="00EF1A60">
        <w:rPr>
          <w:rFonts w:ascii="宋体" w:hAnsi="宋体" w:hint="eastAsia"/>
        </w:rPr>
        <w:t>，</w:t>
      </w:r>
      <w:r w:rsidRPr="00AA5ABE">
        <w:rPr>
          <w:rFonts w:ascii="宋体" w:hAnsi="宋体" w:hint="eastAsia"/>
        </w:rPr>
        <w:t>新交所美元兑离岸人民币期货主力合约</w:t>
      </w:r>
      <w:r w:rsidRPr="00AA5ABE">
        <w:rPr>
          <w:rFonts w:ascii="宋体" w:hAnsi="宋体"/>
        </w:rPr>
        <w:t>UC</w:t>
      </w:r>
      <w:r w:rsidR="00A0689B">
        <w:rPr>
          <w:rFonts w:ascii="宋体" w:hAnsi="宋体"/>
        </w:rPr>
        <w:t>V</w:t>
      </w:r>
      <w:r w:rsidR="00AA5ABE" w:rsidRPr="00AA5ABE">
        <w:rPr>
          <w:rFonts w:ascii="宋体" w:hAnsi="宋体"/>
        </w:rPr>
        <w:t>26</w:t>
      </w:r>
      <w:r w:rsidRPr="00AA5ABE">
        <w:rPr>
          <w:rFonts w:ascii="宋体" w:hAnsi="宋体" w:hint="eastAsia"/>
        </w:rPr>
        <w:t>收</w:t>
      </w:r>
      <w:r w:rsidR="005C0624">
        <w:rPr>
          <w:rFonts w:ascii="宋体" w:hAnsi="宋体" w:hint="eastAsia"/>
        </w:rPr>
        <w:t>跌</w:t>
      </w:r>
      <w:r w:rsidR="0051119D">
        <w:rPr>
          <w:rFonts w:ascii="宋体" w:hAnsi="宋体" w:hint="eastAsia"/>
        </w:rPr>
        <w:t>0</w:t>
      </w:r>
      <w:r w:rsidR="0051119D">
        <w:rPr>
          <w:rFonts w:ascii="宋体" w:hAnsi="宋体"/>
        </w:rPr>
        <w:t>.</w:t>
      </w:r>
      <w:r w:rsidR="005C0624">
        <w:rPr>
          <w:rFonts w:ascii="宋体" w:hAnsi="宋体"/>
        </w:rPr>
        <w:t>17</w:t>
      </w:r>
      <w:r w:rsidR="007844B4" w:rsidRPr="00AA5ABE">
        <w:rPr>
          <w:rFonts w:ascii="宋体" w:hAnsi="宋体"/>
        </w:rPr>
        <w:t>%</w:t>
      </w:r>
      <w:r w:rsidRPr="00AA5ABE">
        <w:rPr>
          <w:rFonts w:ascii="宋体" w:hAnsi="宋体" w:hint="eastAsia"/>
        </w:rPr>
        <w:t>。</w:t>
      </w:r>
    </w:p>
    <w:p w14:paraId="2A8620FC" w14:textId="71187AB1" w:rsidR="00CA7296" w:rsidRDefault="00CA7296" w:rsidP="00CA7296">
      <w:pPr>
        <w:spacing w:line="312" w:lineRule="auto"/>
        <w:ind w:firstLine="420"/>
      </w:pPr>
      <w:r>
        <w:rPr>
          <w:rFonts w:ascii="宋体" w:hAnsi="宋体" w:cs="宋体" w:hint="eastAsia"/>
        </w:rPr>
        <w:t>美元兑在岸人民币</w:t>
      </w:r>
      <w:r>
        <w:t>收报</w:t>
      </w:r>
      <w:r w:rsidR="003A699C">
        <w:t>6</w:t>
      </w:r>
      <w:r w:rsidR="006A0016">
        <w:t>.</w:t>
      </w:r>
      <w:r w:rsidR="005C0624">
        <w:t>6921</w:t>
      </w:r>
      <w:r>
        <w:t>，</w:t>
      </w:r>
      <w:r>
        <w:rPr>
          <w:rFonts w:hint="eastAsia"/>
        </w:rPr>
        <w:t>美元兑离岸人民币收报</w:t>
      </w:r>
      <w:r w:rsidR="003A699C">
        <w:t>6</w:t>
      </w:r>
      <w:r w:rsidR="00C870C1">
        <w:t>.</w:t>
      </w:r>
      <w:r w:rsidR="005C0624">
        <w:t>6929</w:t>
      </w:r>
      <w:r>
        <w:rPr>
          <w:rFonts w:hint="eastAsia"/>
        </w:rPr>
        <w:t>，在当周</w:t>
      </w:r>
      <w:r>
        <w:t>分别</w:t>
      </w:r>
      <w:r w:rsidR="005C0624">
        <w:rPr>
          <w:rFonts w:hint="eastAsia"/>
        </w:rPr>
        <w:t>下跌</w:t>
      </w:r>
      <w:r w:rsidR="002A6475">
        <w:rPr>
          <w:rFonts w:hint="eastAsia"/>
        </w:rPr>
        <w:t>0</w:t>
      </w:r>
      <w:r w:rsidR="002A6475">
        <w:t>.</w:t>
      </w:r>
      <w:r w:rsidR="005C0624">
        <w:t>18</w:t>
      </w:r>
      <w:r w:rsidR="002A6475">
        <w:t>%</w:t>
      </w:r>
      <w:r>
        <w:t>和</w:t>
      </w:r>
      <w:r w:rsidR="005C0624">
        <w:rPr>
          <w:rFonts w:hint="eastAsia"/>
        </w:rPr>
        <w:t>下跌</w:t>
      </w:r>
      <w:r w:rsidR="005C0624">
        <w:rPr>
          <w:rFonts w:hint="eastAsia"/>
        </w:rPr>
        <w:t>0</w:t>
      </w:r>
      <w:r w:rsidR="005C0624">
        <w:t>.19</w:t>
      </w:r>
      <w:r w:rsidR="002A6475">
        <w:t>%</w:t>
      </w:r>
      <w:r>
        <w:t>。欧元兑人民币报</w:t>
      </w:r>
      <w:r w:rsidR="0051119D">
        <w:t>7</w:t>
      </w:r>
      <w:r w:rsidR="00374735">
        <w:t>.</w:t>
      </w:r>
      <w:r w:rsidR="005C0624">
        <w:t>5079</w:t>
      </w:r>
      <w:r>
        <w:t>、英镑兑人民币报</w:t>
      </w:r>
      <w:r w:rsidR="003B3DB4">
        <w:t>8.</w:t>
      </w:r>
      <w:r w:rsidR="005C0624">
        <w:t>8609</w:t>
      </w:r>
      <w:r w:rsidR="00787BFA">
        <w:rPr>
          <w:rFonts w:hint="eastAsia"/>
        </w:rPr>
        <w:t>、</w:t>
      </w:r>
      <w:r w:rsidR="000959E1">
        <w:rPr>
          <w:rFonts w:hint="eastAsia"/>
        </w:rPr>
        <w:t>日元</w:t>
      </w:r>
      <w:r>
        <w:t>兑</w:t>
      </w:r>
      <w:r w:rsidR="000959E1">
        <w:rPr>
          <w:rFonts w:hint="eastAsia"/>
        </w:rPr>
        <w:t>人民币</w:t>
      </w:r>
      <w:r>
        <w:t>报</w:t>
      </w:r>
      <w:r w:rsidR="001938CF">
        <w:t>4</w:t>
      </w:r>
      <w:r w:rsidR="00103A47">
        <w:t>.</w:t>
      </w:r>
      <w:r w:rsidR="0036569F">
        <w:t>2</w:t>
      </w:r>
      <w:r w:rsidR="00A31A20">
        <w:t>28</w:t>
      </w:r>
      <w:r w:rsidR="005C0624">
        <w:t>1</w:t>
      </w:r>
      <w:r w:rsidR="000959E1">
        <w:rPr>
          <w:rFonts w:hint="eastAsia"/>
        </w:rPr>
        <w:t>、</w:t>
      </w:r>
      <w:r>
        <w:t>澳元兑人民币报</w:t>
      </w:r>
      <w:r>
        <w:t>4</w:t>
      </w:r>
      <w:r w:rsidR="006B50D4">
        <w:t>.</w:t>
      </w:r>
      <w:r w:rsidR="005C0624">
        <w:t>6728</w:t>
      </w:r>
      <w:r>
        <w:rPr>
          <w:rFonts w:hint="eastAsia"/>
        </w:rPr>
        <w:t>，在当</w:t>
      </w:r>
      <w:r>
        <w:t>周分别</w:t>
      </w:r>
      <w:r w:rsidR="003F57F4">
        <w:rPr>
          <w:rFonts w:hint="eastAsia"/>
        </w:rPr>
        <w:t>跌</w:t>
      </w:r>
      <w:r w:rsidR="005C0624">
        <w:rPr>
          <w:rFonts w:hint="eastAsia"/>
        </w:rPr>
        <w:t>1</w:t>
      </w:r>
      <w:r w:rsidR="005C0624">
        <w:t>.44</w:t>
      </w:r>
      <w:r w:rsidR="002A6475">
        <w:t>%</w:t>
      </w:r>
      <w:r>
        <w:t>、</w:t>
      </w:r>
      <w:r w:rsidR="003F57F4">
        <w:rPr>
          <w:rFonts w:hint="eastAsia"/>
        </w:rPr>
        <w:t>跌</w:t>
      </w:r>
      <w:r w:rsidR="00A31A20">
        <w:t>0.</w:t>
      </w:r>
      <w:r w:rsidR="005C0624">
        <w:t>41</w:t>
      </w:r>
      <w:r w:rsidR="00DD51CB">
        <w:t>%</w:t>
      </w:r>
      <w:r>
        <w:rPr>
          <w:rFonts w:hint="eastAsia"/>
        </w:rPr>
        <w:t>、</w:t>
      </w:r>
      <w:r w:rsidR="0036569F">
        <w:rPr>
          <w:rFonts w:hint="eastAsia"/>
        </w:rPr>
        <w:t>跌</w:t>
      </w:r>
      <w:r w:rsidR="005C0624">
        <w:t>1.0</w:t>
      </w:r>
      <w:r w:rsidR="00A31A20">
        <w:t>8</w:t>
      </w:r>
      <w:r w:rsidR="002A6475">
        <w:t>%</w:t>
      </w:r>
      <w:r>
        <w:t>和</w:t>
      </w:r>
      <w:r w:rsidR="002A79DF">
        <w:rPr>
          <w:rFonts w:hint="eastAsia"/>
        </w:rPr>
        <w:t>跌</w:t>
      </w:r>
      <w:r w:rsidR="005C0624">
        <w:t>1.00</w:t>
      </w:r>
      <w:r w:rsidR="00FF18A2">
        <w:t>%</w:t>
      </w:r>
      <w:r>
        <w:t>。</w:t>
      </w:r>
    </w:p>
    <w:p w14:paraId="76AC2601" w14:textId="381C5C7A" w:rsidR="00CA7296" w:rsidRDefault="001431CC" w:rsidP="00CA7296">
      <w:pPr>
        <w:spacing w:line="312" w:lineRule="auto"/>
        <w:ind w:firstLine="420"/>
      </w:pPr>
      <w:r>
        <w:rPr>
          <w:rFonts w:hint="eastAsia"/>
        </w:rPr>
        <w:t>上</w:t>
      </w:r>
      <w:r w:rsidR="007E1257">
        <w:rPr>
          <w:rFonts w:hint="eastAsia"/>
        </w:rPr>
        <w:t>周</w:t>
      </w:r>
      <w:r w:rsidR="007E1257" w:rsidRPr="007E1257">
        <w:rPr>
          <w:rFonts w:hint="eastAsia"/>
        </w:rPr>
        <w:t>央行公开市场累计进行了</w:t>
      </w:r>
      <w:r w:rsidR="007E7318" w:rsidRPr="007E7318">
        <w:rPr>
          <w:rFonts w:hint="eastAsia"/>
        </w:rPr>
        <w:t>6080</w:t>
      </w:r>
      <w:r w:rsidR="007E7318" w:rsidRPr="007E7318">
        <w:rPr>
          <w:rFonts w:hint="eastAsia"/>
        </w:rPr>
        <w:t>亿元逆回购操作，</w:t>
      </w:r>
      <w:r w:rsidR="00E74983">
        <w:rPr>
          <w:rFonts w:hint="eastAsia"/>
        </w:rPr>
        <w:t>当</w:t>
      </w:r>
      <w:bookmarkStart w:id="0" w:name="_GoBack"/>
      <w:bookmarkEnd w:id="0"/>
      <w:r w:rsidR="007E7318" w:rsidRPr="007E7318">
        <w:rPr>
          <w:rFonts w:hint="eastAsia"/>
        </w:rPr>
        <w:t>周央行公开市场有</w:t>
      </w:r>
      <w:r w:rsidR="007E7318" w:rsidRPr="007E7318">
        <w:rPr>
          <w:rFonts w:hint="eastAsia"/>
        </w:rPr>
        <w:t>18205</w:t>
      </w:r>
      <w:r w:rsidR="007E7318" w:rsidRPr="007E7318">
        <w:rPr>
          <w:rFonts w:hint="eastAsia"/>
        </w:rPr>
        <w:t>亿元逆回购到期，因此净回笼</w:t>
      </w:r>
      <w:r w:rsidR="007E7318" w:rsidRPr="007E7318">
        <w:rPr>
          <w:rFonts w:hint="eastAsia"/>
        </w:rPr>
        <w:t>12125</w:t>
      </w:r>
      <w:r w:rsidR="007E7318" w:rsidRPr="007E7318">
        <w:rPr>
          <w:rFonts w:hint="eastAsia"/>
        </w:rPr>
        <w:t>亿元。</w:t>
      </w:r>
    </w:p>
    <w:p w14:paraId="453AF8FD" w14:textId="77777777" w:rsidR="00CA7296" w:rsidRDefault="00CA7296" w:rsidP="00CA7296">
      <w:pPr>
        <w:numPr>
          <w:ilvl w:val="0"/>
          <w:numId w:val="1"/>
        </w:numPr>
        <w:spacing w:beforeLines="50" w:before="156" w:line="312" w:lineRule="auto"/>
        <w:rPr>
          <w:rFonts w:ascii="微软雅黑" w:eastAsia="微软雅黑" w:hAnsi="微软雅黑"/>
          <w:bCs/>
          <w:sz w:val="28"/>
          <w:szCs w:val="28"/>
        </w:rPr>
      </w:pPr>
      <w:r>
        <w:rPr>
          <w:rFonts w:ascii="微软雅黑" w:eastAsia="微软雅黑" w:hAnsi="微软雅黑" w:hint="eastAsia"/>
          <w:b/>
          <w:bCs/>
          <w:sz w:val="28"/>
          <w:szCs w:val="28"/>
        </w:rPr>
        <w:t>消息回顾</w:t>
      </w:r>
    </w:p>
    <w:p w14:paraId="34676110" w14:textId="2FC769E2" w:rsidR="00ED110E" w:rsidRDefault="00CA7296" w:rsidP="0011314B">
      <w:pPr>
        <w:spacing w:line="312" w:lineRule="auto"/>
        <w:ind w:firstLine="420"/>
        <w:rPr>
          <w:rFonts w:ascii="宋体" w:hAnsi="宋体"/>
        </w:rPr>
      </w:pPr>
      <w:r w:rsidRPr="0086476E">
        <w:rPr>
          <w:rFonts w:ascii="宋体" w:hAnsi="宋体"/>
        </w:rPr>
        <w:t>1</w:t>
      </w:r>
      <w:r w:rsidR="00626AF8">
        <w:rPr>
          <w:rFonts w:ascii="宋体" w:hAnsi="宋体" w:hint="eastAsia"/>
        </w:rPr>
        <w:t>、</w:t>
      </w:r>
      <w:r w:rsidR="00460993" w:rsidRPr="00460993">
        <w:rPr>
          <w:rFonts w:ascii="宋体" w:hAnsi="宋体" w:hint="eastAsia"/>
        </w:rPr>
        <w:t>中共中央、国务院印发《关于发展新质生产力的意见》，围绕科技创新、产业创新、发展方式创新、体制机制创新、人才工作机制创新五方面工作，提出19项重点举措。《意见》提出，加强原创性颠覆性科技创新，加快突破关键核心技术，统筹国家战略科技力量建设。培育壮大新兴产业，前瞻布局未来产业，全面实施“人工智能+”行动。积极推进能源革命。严禁借发展新质生产力之名搞恶性招商引资、盲目“跟风”上项目、乱“烧钱”等。</w:t>
      </w:r>
    </w:p>
    <w:p w14:paraId="3316BE34" w14:textId="52228A47" w:rsidR="00785749" w:rsidRPr="0011314B" w:rsidRDefault="00CA7296" w:rsidP="0011314B">
      <w:pPr>
        <w:spacing w:line="312" w:lineRule="auto"/>
        <w:ind w:firstLine="420"/>
        <w:rPr>
          <w:rFonts w:ascii="宋体" w:hAnsi="宋体"/>
        </w:rPr>
      </w:pPr>
      <w:r w:rsidRPr="0086476E">
        <w:rPr>
          <w:rFonts w:ascii="宋体" w:hAnsi="宋体" w:hint="eastAsia"/>
        </w:rPr>
        <w:t>2、</w:t>
      </w:r>
      <w:r w:rsidR="00460993" w:rsidRPr="00460993">
        <w:rPr>
          <w:rFonts w:ascii="宋体" w:hAnsi="宋体" w:hint="eastAsia"/>
        </w:rPr>
        <w:t>财政部发布上半年中国财政政策执行情况报告表示，下一步将重点做好六方面工作，包括有力有效实施更加积极的财政政策，支持全方位扩大国内需求，推动科技创新和产业创新，持续保障和改善民生，加强重点领域风险防范化解，深化财政管理改革。</w:t>
      </w:r>
    </w:p>
    <w:p w14:paraId="0E3CF4D4" w14:textId="5287A604" w:rsidR="006F775F" w:rsidRDefault="00BC01B8" w:rsidP="001F0839">
      <w:pPr>
        <w:spacing w:line="312" w:lineRule="auto"/>
        <w:ind w:firstLine="420"/>
        <w:rPr>
          <w:rFonts w:ascii="宋体" w:hAnsi="宋体"/>
        </w:rPr>
      </w:pPr>
      <w:r w:rsidRPr="00CA1C69">
        <w:rPr>
          <w:rFonts w:ascii="宋体" w:hAnsi="宋体"/>
        </w:rPr>
        <w:t>3</w:t>
      </w:r>
      <w:r w:rsidRPr="00CA1C69">
        <w:rPr>
          <w:rFonts w:ascii="宋体" w:hAnsi="宋体" w:hint="eastAsia"/>
        </w:rPr>
        <w:t>、</w:t>
      </w:r>
      <w:r w:rsidR="00460993" w:rsidRPr="00460993">
        <w:rPr>
          <w:rFonts w:ascii="宋体" w:hAnsi="宋体" w:hint="eastAsia"/>
        </w:rPr>
        <w:t>美国总统特朗普在社交媒体发文称，俄乌冲突进入“能源停火”状态，双方均已同意。乌克兰总统泽连斯基表示，乌克兰支持切实可行、可靠的停火和结束战争的方式，乌方愿意不对俄罗斯能源设施发动打击，并期待俄罗斯采取同样行动。美国总统特朗普已宣布达成能源停火安排，乌方对此表示欢迎，并希望这一安排能够真正落实。</w:t>
      </w:r>
    </w:p>
    <w:p w14:paraId="630B9579" w14:textId="3597F6F0" w:rsidR="00BC01B8" w:rsidRPr="00F44D25" w:rsidRDefault="00BC01B8" w:rsidP="001F0839">
      <w:pPr>
        <w:spacing w:line="312" w:lineRule="auto"/>
        <w:ind w:firstLine="420"/>
        <w:rPr>
          <w:rFonts w:ascii="宋体" w:hAnsi="宋体"/>
        </w:rPr>
      </w:pPr>
      <w:r w:rsidRPr="0086476E">
        <w:rPr>
          <w:rFonts w:ascii="宋体" w:hAnsi="宋体" w:hint="eastAsia"/>
        </w:rPr>
        <w:t>4、</w:t>
      </w:r>
      <w:r w:rsidR="00460993" w:rsidRPr="00460993">
        <w:rPr>
          <w:rFonts w:ascii="宋体" w:hAnsi="宋体" w:hint="eastAsia"/>
        </w:rPr>
        <w:t>美联储理事克里斯·沃勒表示，美联储仍需进一步加息以推动通胀回落至2%目标，</w:t>
      </w:r>
      <w:r w:rsidR="00460993" w:rsidRPr="00460993">
        <w:rPr>
          <w:rFonts w:ascii="宋体" w:hAnsi="宋体" w:hint="eastAsia"/>
        </w:rPr>
        <w:lastRenderedPageBreak/>
        <w:t>但加息无需在连续政策会议上进行，官员可以根据经济数据灵活把握时机。沃勒指出，AI基础设施建设投资扩张以及持续的能源冲击等因素，可能使通胀压力更具持久性。</w:t>
      </w:r>
    </w:p>
    <w:p w14:paraId="0C5E6DC3"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相关图表</w:t>
      </w:r>
    </w:p>
    <w:p w14:paraId="1DA585C4"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1</w:t>
      </w:r>
      <w:r>
        <w:rPr>
          <w:rFonts w:ascii="宋体" w:eastAsia="宋体" w:hAnsi="宋体"/>
          <w:b/>
        </w:rPr>
        <w:fldChar w:fldCharType="end"/>
      </w:r>
      <w:r>
        <w:rPr>
          <w:rFonts w:ascii="宋体" w:eastAsia="宋体" w:hAnsi="宋体"/>
          <w:b/>
        </w:rPr>
        <w:t xml:space="preserve"> </w:t>
      </w:r>
      <w:r>
        <w:rPr>
          <w:rFonts w:ascii="宋体" w:eastAsia="宋体" w:hAnsi="宋体" w:hint="eastAsia"/>
          <w:b/>
        </w:rPr>
        <w:t>美元兑人民币中间价</w:t>
      </w:r>
    </w:p>
    <w:p w14:paraId="72098552" w14:textId="52B93145" w:rsidR="00CA7296" w:rsidRDefault="00051C71" w:rsidP="00CA7296">
      <w:pPr>
        <w:spacing w:beforeLines="50" w:before="156" w:line="312" w:lineRule="auto"/>
        <w:jc w:val="center"/>
        <w:rPr>
          <w:rFonts w:ascii="微软雅黑" w:eastAsia="微软雅黑" w:hAnsi="微软雅黑"/>
          <w:b/>
          <w:bCs/>
          <w:sz w:val="28"/>
          <w:szCs w:val="28"/>
        </w:rPr>
      </w:pPr>
      <w:r>
        <w:rPr>
          <w:noProof/>
        </w:rPr>
        <w:t xml:space="preserve"> </w:t>
      </w:r>
      <w:r w:rsidR="00BD00D1">
        <w:rPr>
          <w:noProof/>
        </w:rPr>
        <w:drawing>
          <wp:inline distT="0" distB="0" distL="0" distR="0" wp14:anchorId="25A418F5" wp14:editId="1ABE1698">
            <wp:extent cx="3390900" cy="190608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23440" cy="1924377"/>
                    </a:xfrm>
                    <a:prstGeom prst="rect">
                      <a:avLst/>
                    </a:prstGeom>
                  </pic:spPr>
                </pic:pic>
              </a:graphicData>
            </a:graphic>
          </wp:inline>
        </w:drawing>
      </w:r>
    </w:p>
    <w:p w14:paraId="724C81D0" w14:textId="676325FD"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7C1CFF78" w14:textId="05DD9DB6"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2</w:t>
      </w:r>
      <w:r>
        <w:rPr>
          <w:rFonts w:ascii="宋体" w:eastAsia="宋体" w:hAnsi="宋体"/>
          <w:b/>
        </w:rPr>
        <w:fldChar w:fldCharType="end"/>
      </w:r>
      <w:r>
        <w:rPr>
          <w:rFonts w:ascii="宋体" w:eastAsia="宋体" w:hAnsi="宋体"/>
          <w:b/>
        </w:rPr>
        <w:t xml:space="preserve"> </w:t>
      </w:r>
      <w:r>
        <w:rPr>
          <w:rFonts w:ascii="宋体" w:eastAsia="宋体" w:hAnsi="宋体" w:hint="eastAsia"/>
          <w:b/>
        </w:rPr>
        <w:t>港交所美元兑人民币期货</w:t>
      </w:r>
      <w:r w:rsidR="00081272">
        <w:rPr>
          <w:rFonts w:ascii="宋体" w:eastAsia="宋体" w:hAnsi="宋体"/>
          <w:b/>
        </w:rPr>
        <w:t>CUS</w:t>
      </w:r>
      <w:r w:rsidR="00433DAC">
        <w:rPr>
          <w:rFonts w:ascii="宋体" w:eastAsia="宋体" w:hAnsi="宋体" w:hint="eastAsia"/>
          <w:b/>
        </w:rPr>
        <w:t>主</w:t>
      </w:r>
      <w:r w:rsidR="00EE0ABC">
        <w:rPr>
          <w:rFonts w:ascii="宋体" w:eastAsia="宋体" w:hAnsi="宋体" w:hint="eastAsia"/>
          <w:b/>
        </w:rPr>
        <w:t>连</w:t>
      </w:r>
      <w:r>
        <w:rPr>
          <w:rFonts w:ascii="宋体" w:eastAsia="宋体" w:hAnsi="宋体" w:hint="eastAsia"/>
          <w:b/>
        </w:rPr>
        <w:t>收盘价</w:t>
      </w:r>
    </w:p>
    <w:p w14:paraId="7F81A8FC" w14:textId="3BFD97EB" w:rsidR="00CA7296" w:rsidRDefault="00631978" w:rsidP="00CA7296">
      <w:pPr>
        <w:spacing w:line="360" w:lineRule="auto"/>
        <w:jc w:val="center"/>
        <w:rPr>
          <w:rFonts w:ascii="宋体" w:hAnsi="宋体"/>
          <w:sz w:val="18"/>
          <w:szCs w:val="18"/>
        </w:rPr>
      </w:pPr>
      <w:r>
        <w:rPr>
          <w:noProof/>
        </w:rPr>
        <w:drawing>
          <wp:inline distT="0" distB="0" distL="0" distR="0" wp14:anchorId="0AB9F2A6" wp14:editId="11E5FD8F">
            <wp:extent cx="4895850" cy="3309090"/>
            <wp:effectExtent l="0" t="0" r="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12698" cy="3320477"/>
                    </a:xfrm>
                    <a:prstGeom prst="rect">
                      <a:avLst/>
                    </a:prstGeom>
                  </pic:spPr>
                </pic:pic>
              </a:graphicData>
            </a:graphic>
          </wp:inline>
        </w:drawing>
      </w:r>
    </w:p>
    <w:p w14:paraId="2C3CB845" w14:textId="55F2DBAF"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3075F81F" w14:textId="40DC0629" w:rsidR="00CA7296" w:rsidRDefault="00CA7296" w:rsidP="00CA7296">
      <w:pPr>
        <w:pStyle w:val="a3"/>
        <w:keepNext/>
        <w:jc w:val="left"/>
        <w:rPr>
          <w:rFonts w:ascii="宋体" w:eastAsia="宋体" w:hAnsi="宋体"/>
          <w:b/>
        </w:rPr>
      </w:pPr>
      <w:r>
        <w:rPr>
          <w:rFonts w:ascii="宋体" w:eastAsia="宋体" w:hAnsi="宋体"/>
          <w:b/>
        </w:rPr>
        <w:lastRenderedPageBreak/>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3</w:t>
      </w:r>
      <w:r>
        <w:rPr>
          <w:rFonts w:ascii="宋体" w:eastAsia="宋体" w:hAnsi="宋体"/>
          <w:b/>
        </w:rPr>
        <w:fldChar w:fldCharType="end"/>
      </w:r>
      <w:r>
        <w:rPr>
          <w:rFonts w:ascii="宋体" w:eastAsia="宋体" w:hAnsi="宋体"/>
          <w:b/>
        </w:rPr>
        <w:t xml:space="preserve"> </w:t>
      </w:r>
      <w:r>
        <w:rPr>
          <w:rFonts w:ascii="宋体" w:eastAsia="宋体" w:hAnsi="宋体" w:hint="eastAsia"/>
          <w:b/>
        </w:rPr>
        <w:t>港交所美元兑人民币期货</w:t>
      </w:r>
      <w:r w:rsidR="00081272">
        <w:rPr>
          <w:rFonts w:ascii="宋体" w:eastAsia="宋体" w:hAnsi="宋体"/>
          <w:b/>
        </w:rPr>
        <w:t>CUS</w:t>
      </w:r>
      <w:r>
        <w:rPr>
          <w:rFonts w:ascii="宋体" w:eastAsia="宋体" w:hAnsi="宋体" w:hint="eastAsia"/>
          <w:b/>
        </w:rPr>
        <w:t>涨跌幅（%）</w:t>
      </w:r>
    </w:p>
    <w:p w14:paraId="38BC9AEC" w14:textId="55B26327" w:rsidR="00CA7296" w:rsidRPr="00AB4AA6" w:rsidRDefault="00BD00D1" w:rsidP="00AB4AA6">
      <w:pPr>
        <w:jc w:val="center"/>
      </w:pPr>
      <w:r>
        <w:rPr>
          <w:noProof/>
        </w:rPr>
        <w:drawing>
          <wp:inline distT="0" distB="0" distL="0" distR="0" wp14:anchorId="3792C52E" wp14:editId="3E5892DF">
            <wp:extent cx="3507056" cy="20669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49585" cy="2091990"/>
                    </a:xfrm>
                    <a:prstGeom prst="rect">
                      <a:avLst/>
                    </a:prstGeom>
                  </pic:spPr>
                </pic:pic>
              </a:graphicData>
            </a:graphic>
          </wp:inline>
        </w:drawing>
      </w:r>
    </w:p>
    <w:p w14:paraId="36902B86" w14:textId="710363B6"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53E27AB6" w14:textId="68D8CEDE"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4</w:t>
      </w:r>
      <w:r>
        <w:rPr>
          <w:rFonts w:ascii="宋体" w:eastAsia="宋体" w:hAnsi="宋体"/>
          <w:b/>
        </w:rPr>
        <w:fldChar w:fldCharType="end"/>
      </w:r>
      <w:r>
        <w:rPr>
          <w:rFonts w:ascii="宋体" w:eastAsia="宋体" w:hAnsi="宋体"/>
          <w:b/>
        </w:rPr>
        <w:t xml:space="preserve"> </w:t>
      </w:r>
      <w:r>
        <w:rPr>
          <w:rFonts w:ascii="宋体" w:eastAsia="宋体" w:hAnsi="宋体" w:hint="eastAsia"/>
          <w:b/>
        </w:rPr>
        <w:t>新交所美元兑人民币期货</w:t>
      </w:r>
      <w:r>
        <w:rPr>
          <w:rFonts w:ascii="宋体" w:eastAsia="宋体" w:hAnsi="宋体"/>
          <w:b/>
        </w:rPr>
        <w:t>UC</w:t>
      </w:r>
      <w:r w:rsidR="00EE0ABC">
        <w:rPr>
          <w:rFonts w:ascii="宋体" w:eastAsia="宋体" w:hAnsi="宋体" w:hint="eastAsia"/>
          <w:b/>
        </w:rPr>
        <w:t>主连</w:t>
      </w:r>
      <w:r>
        <w:rPr>
          <w:rFonts w:ascii="宋体" w:eastAsia="宋体" w:hAnsi="宋体" w:hint="eastAsia"/>
          <w:b/>
        </w:rPr>
        <w:t>收盘价</w:t>
      </w:r>
    </w:p>
    <w:p w14:paraId="328A7973" w14:textId="45AB9EB9" w:rsidR="00CA7296" w:rsidRDefault="00631978" w:rsidP="00CA7296">
      <w:pPr>
        <w:jc w:val="center"/>
      </w:pPr>
      <w:r>
        <w:rPr>
          <w:noProof/>
        </w:rPr>
        <w:drawing>
          <wp:inline distT="0" distB="0" distL="0" distR="0" wp14:anchorId="63F50329" wp14:editId="49872192">
            <wp:extent cx="5010150" cy="2559966"/>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18116" cy="2564036"/>
                    </a:xfrm>
                    <a:prstGeom prst="rect">
                      <a:avLst/>
                    </a:prstGeom>
                  </pic:spPr>
                </pic:pic>
              </a:graphicData>
            </a:graphic>
          </wp:inline>
        </w:drawing>
      </w:r>
    </w:p>
    <w:p w14:paraId="056208BF" w14:textId="09D31C14"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1CF6444E"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5</w:t>
      </w:r>
      <w:r>
        <w:rPr>
          <w:rFonts w:ascii="宋体" w:eastAsia="宋体" w:hAnsi="宋体"/>
          <w:b/>
        </w:rPr>
        <w:fldChar w:fldCharType="end"/>
      </w:r>
      <w:r>
        <w:rPr>
          <w:rFonts w:ascii="宋体" w:eastAsia="宋体" w:hAnsi="宋体"/>
          <w:b/>
        </w:rPr>
        <w:t xml:space="preserve"> </w:t>
      </w:r>
      <w:r>
        <w:rPr>
          <w:rFonts w:ascii="宋体" w:eastAsia="宋体" w:hAnsi="宋体" w:hint="eastAsia"/>
          <w:b/>
        </w:rPr>
        <w:t>新交所美元兑人民币期货</w:t>
      </w:r>
      <w:r>
        <w:rPr>
          <w:rFonts w:ascii="宋体" w:eastAsia="宋体" w:hAnsi="宋体"/>
          <w:b/>
        </w:rPr>
        <w:t>UC</w:t>
      </w:r>
      <w:r>
        <w:rPr>
          <w:rFonts w:ascii="宋体" w:eastAsia="宋体" w:hAnsi="宋体" w:hint="eastAsia"/>
          <w:b/>
        </w:rPr>
        <w:t>涨跌幅（%）</w:t>
      </w:r>
    </w:p>
    <w:p w14:paraId="2EA731AA" w14:textId="632892CC" w:rsidR="00CA7296" w:rsidRDefault="00BD00D1" w:rsidP="00CA7296">
      <w:pPr>
        <w:jc w:val="center"/>
      </w:pPr>
      <w:r>
        <w:rPr>
          <w:noProof/>
        </w:rPr>
        <w:drawing>
          <wp:inline distT="0" distB="0" distL="0" distR="0" wp14:anchorId="269489A8" wp14:editId="5EF83663">
            <wp:extent cx="3562350" cy="2129830"/>
            <wp:effectExtent l="0" t="0" r="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80174" cy="2140486"/>
                    </a:xfrm>
                    <a:prstGeom prst="rect">
                      <a:avLst/>
                    </a:prstGeom>
                  </pic:spPr>
                </pic:pic>
              </a:graphicData>
            </a:graphic>
          </wp:inline>
        </w:drawing>
      </w:r>
    </w:p>
    <w:p w14:paraId="5F290B9E" w14:textId="391AE331"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44AF8377" w14:textId="77777777" w:rsidR="00CA7296" w:rsidRDefault="00CA7296" w:rsidP="00CA7296">
      <w:pPr>
        <w:pStyle w:val="a3"/>
        <w:keepNext/>
        <w:jc w:val="left"/>
        <w:rPr>
          <w:rFonts w:ascii="宋体" w:eastAsia="宋体" w:hAnsi="宋体"/>
          <w:b/>
        </w:rPr>
      </w:pPr>
      <w:r>
        <w:rPr>
          <w:rFonts w:ascii="宋体" w:eastAsia="宋体" w:hAnsi="宋体"/>
          <w:b/>
        </w:rPr>
        <w:lastRenderedPageBreak/>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6</w:t>
      </w:r>
      <w:r>
        <w:rPr>
          <w:rFonts w:ascii="宋体" w:eastAsia="宋体" w:hAnsi="宋体"/>
          <w:b/>
        </w:rPr>
        <w:fldChar w:fldCharType="end"/>
      </w:r>
      <w:r>
        <w:rPr>
          <w:rFonts w:ascii="宋体" w:eastAsia="宋体" w:hAnsi="宋体"/>
          <w:b/>
        </w:rPr>
        <w:t xml:space="preserve"> </w:t>
      </w:r>
      <w:r>
        <w:rPr>
          <w:rFonts w:ascii="宋体" w:eastAsia="宋体" w:hAnsi="宋体" w:hint="eastAsia"/>
          <w:b/>
        </w:rPr>
        <w:t>在岸、离岸人民币及价差</w:t>
      </w:r>
    </w:p>
    <w:p w14:paraId="1C53489F" w14:textId="224AA427" w:rsidR="00CA7296" w:rsidRDefault="00E74983" w:rsidP="00CA7296">
      <w:pPr>
        <w:spacing w:beforeLines="50" w:before="156" w:line="312" w:lineRule="auto"/>
        <w:jc w:val="center"/>
        <w:rPr>
          <w:rFonts w:ascii="微软雅黑" w:eastAsia="微软雅黑" w:hAnsi="微软雅黑"/>
          <w:b/>
          <w:bCs/>
          <w:sz w:val="28"/>
          <w:szCs w:val="28"/>
        </w:rPr>
      </w:pPr>
      <w:r>
        <w:rPr>
          <w:noProof/>
        </w:rPr>
        <w:drawing>
          <wp:inline distT="0" distB="0" distL="0" distR="0" wp14:anchorId="24883DB1" wp14:editId="76F81933">
            <wp:extent cx="4229100" cy="2409825"/>
            <wp:effectExtent l="0" t="0" r="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15ADD0" w14:textId="79B74F51"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54B9EB4A"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后市展望</w:t>
      </w:r>
    </w:p>
    <w:p w14:paraId="6E4E1E17" w14:textId="77777777" w:rsidR="0055710B" w:rsidRDefault="0055710B" w:rsidP="00A97A4A">
      <w:pPr>
        <w:spacing w:line="312" w:lineRule="auto"/>
        <w:ind w:firstLine="420"/>
        <w:rPr>
          <w:rFonts w:ascii="宋体" w:hAnsi="宋体"/>
        </w:rPr>
      </w:pPr>
      <w:r w:rsidRPr="0055710B">
        <w:rPr>
          <w:rFonts w:ascii="宋体" w:hAnsi="宋体" w:hint="eastAsia"/>
        </w:rPr>
        <w:t>美国9月标普全球制造业PMI升至57，创52个月新高；服务业PMI升至58.7，创59个月新高；综合PMI初值攀升至58.4，创2021年7月以来新高；10月美国消费者信心指数初值降至46.3，连续第三个月下滑，创5月以来最低；经济现况指标降至44.7，创历史新低。美联储理事沃勒表示，美联储仍需进一步加息以推动通胀回落至2%目标，但加息无需在连续政策会议上进行，官员可以根据经济数据灵活把握时机。加息落地支撑美债收益率抬升，短期美元具备上行动力，美元指数有望维持偏强震荡格局，若通胀反复，进一步加息预期将支撑美元。</w:t>
      </w:r>
    </w:p>
    <w:p w14:paraId="1EE08DE0" w14:textId="68C525F5" w:rsidR="00A97A4A" w:rsidRPr="0055710B" w:rsidRDefault="0055710B" w:rsidP="00A97A4A">
      <w:pPr>
        <w:spacing w:line="312" w:lineRule="auto"/>
        <w:ind w:firstLine="420"/>
        <w:rPr>
          <w:rFonts w:ascii="宋体" w:hAnsi="宋体" w:cs="宋体"/>
        </w:rPr>
      </w:pPr>
      <w:r w:rsidRPr="0055710B">
        <w:rPr>
          <w:rFonts w:ascii="宋体" w:hAnsi="宋体" w:hint="eastAsia"/>
        </w:rPr>
        <w:t>国内端，9月我国官方制造业PMI录得50.1，景气水平回升并重回扩张区间，供需两端仍位于至荣枯线上，但新动能与传统行业、不同规模企业走势延续背离。新订单指数为50.6，新出口订单为50.0，两者均回落0.1个百分点，韧性较强。但出厂价格上涨幅度远不及购进价格，中下游行业利润依旧受到较大幅的挤压。由于美伊关系反复，霍尔木兹海峡开放时间未定，地缘风险溢价抬升贸易成本，人民币兑美元汇率波动在美联储加息的背景下大概率加剧。</w:t>
      </w:r>
    </w:p>
    <w:p w14:paraId="3A7DC26E" w14:textId="67EE0084" w:rsidR="00BD18FF" w:rsidRPr="00A97A4A" w:rsidRDefault="00BD18FF" w:rsidP="00BD18FF">
      <w:pPr>
        <w:spacing w:line="312" w:lineRule="auto"/>
        <w:ind w:firstLine="420"/>
        <w:rPr>
          <w:rFonts w:ascii="宋体" w:hAnsi="宋体" w:cs="宋体"/>
        </w:rPr>
      </w:pPr>
    </w:p>
    <w:p w14:paraId="0598CD1B" w14:textId="77777777" w:rsidR="00BD18FF" w:rsidRPr="00BD18FF" w:rsidRDefault="00BD18FF" w:rsidP="00BD18FF">
      <w:pPr>
        <w:spacing w:line="312" w:lineRule="auto"/>
        <w:ind w:firstLine="420"/>
        <w:rPr>
          <w:rFonts w:ascii="宋体" w:hAnsi="宋体" w:cs="宋体"/>
        </w:rPr>
      </w:pPr>
    </w:p>
    <w:p w14:paraId="0E0C61B7" w14:textId="75E249A0" w:rsidR="00AB1C8D" w:rsidRDefault="00AB1C8D" w:rsidP="00AB1C8D">
      <w:pPr>
        <w:widowControl/>
        <w:jc w:val="left"/>
        <w:rPr>
          <w:rFonts w:ascii="宋体" w:hAnsi="宋体" w:cs="宋体"/>
        </w:rPr>
      </w:pPr>
      <w:r>
        <w:rPr>
          <w:rFonts w:ascii="宋体" w:hAnsi="宋体" w:cs="宋体"/>
        </w:rPr>
        <w:br w:type="page"/>
      </w:r>
    </w:p>
    <w:p w14:paraId="0DF1DEA0" w14:textId="3E14F735" w:rsidR="0087172E" w:rsidRDefault="00BB7F54">
      <w:pPr>
        <w:spacing w:before="172" w:line="417" w:lineRule="exact"/>
        <w:rPr>
          <w:rFonts w:ascii="微软雅黑" w:eastAsia="微软雅黑" w:hAnsi="微软雅黑" w:cs="微软雅黑"/>
          <w:sz w:val="20"/>
        </w:rPr>
      </w:pPr>
      <w:r>
        <w:rPr>
          <w:rFonts w:ascii="微软雅黑" w:eastAsia="微软雅黑" w:hAnsi="微软雅黑" w:cs="微软雅黑"/>
          <w:b/>
          <w:bCs/>
          <w:color w:val="036EB8"/>
          <w:spacing w:val="19"/>
          <w:sz w:val="28"/>
          <w:szCs w:val="28"/>
        </w:rPr>
        <w:lastRenderedPageBreak/>
        <w:t xml:space="preserve"> </w:t>
      </w:r>
      <w:r>
        <w:rPr>
          <w:rFonts w:ascii="微软雅黑" w:eastAsia="微软雅黑" w:hAnsi="微软雅黑" w:cs="微软雅黑"/>
          <w:color w:val="CE393F"/>
          <w:spacing w:val="8"/>
          <w:position w:val="2"/>
          <w:sz w:val="40"/>
          <w:szCs w:val="40"/>
        </w:rPr>
        <w:t>△</w:t>
      </w:r>
      <w:r>
        <w:rPr>
          <w:rFonts w:ascii="微软雅黑" w:eastAsia="微软雅黑" w:hAnsi="微软雅黑" w:cs="微软雅黑"/>
          <w:color w:val="CE393F"/>
          <w:spacing w:val="-38"/>
          <w:position w:val="2"/>
          <w:sz w:val="40"/>
          <w:szCs w:val="40"/>
        </w:rPr>
        <w:t xml:space="preserve"> </w:t>
      </w:r>
      <w:r>
        <w:rPr>
          <w:rFonts w:ascii="微软雅黑" w:eastAsia="微软雅黑" w:hAnsi="微软雅黑" w:cs="微软雅黑"/>
          <w:spacing w:val="8"/>
          <w:position w:val="2"/>
          <w:sz w:val="20"/>
        </w:rPr>
        <w:t>免责声明</w:t>
      </w:r>
    </w:p>
    <w:p w14:paraId="12F65015" w14:textId="77777777" w:rsidR="0087172E" w:rsidRDefault="00BB7F54">
      <w:pPr>
        <w:spacing w:before="63" w:line="193" w:lineRule="auto"/>
        <w:ind w:left="340" w:right="706" w:firstLine="379"/>
        <w:rPr>
          <w:rFonts w:ascii="微软雅黑" w:eastAsia="微软雅黑" w:hAnsi="微软雅黑" w:cs="微软雅黑"/>
          <w:color w:val="898989"/>
          <w:spacing w:val="-8"/>
          <w:sz w:val="18"/>
          <w:szCs w:val="18"/>
        </w:rPr>
      </w:pPr>
      <w:r>
        <w:rPr>
          <w:rFonts w:ascii="微软雅黑" w:eastAsia="微软雅黑" w:hAnsi="微软雅黑" w:cs="微软雅黑"/>
          <w:color w:val="898989"/>
          <w:spacing w:val="3"/>
          <w:sz w:val="18"/>
          <w:szCs w:val="18"/>
        </w:rPr>
        <w:t>此报告由瑞达国际所编制。本报告采用之资料及意见均相信可靠及准确</w:t>
      </w:r>
      <w:r>
        <w:rPr>
          <w:rFonts w:ascii="微软雅黑" w:eastAsia="微软雅黑" w:hAnsi="微软雅黑" w:cs="微软雅黑"/>
          <w:color w:val="898989"/>
          <w:spacing w:val="2"/>
          <w:sz w:val="18"/>
          <w:szCs w:val="18"/>
        </w:rPr>
        <w:t>，但本公司并不对各分析或有关资料之可</w:t>
      </w:r>
      <w:r>
        <w:rPr>
          <w:rFonts w:ascii="微软雅黑" w:eastAsia="微软雅黑" w:hAnsi="微软雅黑" w:cs="微软雅黑"/>
          <w:color w:val="898989"/>
          <w:spacing w:val="3"/>
          <w:sz w:val="18"/>
          <w:szCs w:val="18"/>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rPr>
        <w:t>资准</w:t>
      </w:r>
      <w:r>
        <w:rPr>
          <w:rFonts w:ascii="微软雅黑" w:eastAsia="微软雅黑" w:hAnsi="微软雅黑" w:cs="微软雅黑"/>
          <w:color w:val="898989"/>
          <w:spacing w:val="-8"/>
          <w:sz w:val="18"/>
          <w:szCs w:val="18"/>
        </w:rPr>
        <w:t>则。</w:t>
      </w:r>
    </w:p>
    <w:p w14:paraId="0E6AF2B3" w14:textId="77777777" w:rsidR="0087172E" w:rsidRDefault="00BB7F54">
      <w:pPr>
        <w:spacing w:before="63" w:line="193" w:lineRule="auto"/>
        <w:ind w:left="340" w:right="706" w:firstLine="379"/>
      </w:pPr>
      <w:r>
        <w:rPr>
          <w:rFonts w:ascii="微软雅黑" w:eastAsia="微软雅黑" w:hAnsi="微软雅黑" w:cs="微软雅黑"/>
          <w:color w:val="898989"/>
          <w:spacing w:val="3"/>
          <w:sz w:val="18"/>
          <w:szCs w:val="18"/>
        </w:rPr>
        <w:t>本报告之资料及意见如有任何更改，恕不另行通知。本报告并非及并无意图</w:t>
      </w:r>
      <w:r>
        <w:rPr>
          <w:rFonts w:ascii="微软雅黑" w:eastAsia="微软雅黑" w:hAnsi="微软雅黑" w:cs="微软雅黑"/>
          <w:color w:val="898989"/>
          <w:spacing w:val="2"/>
          <w:sz w:val="18"/>
          <w:szCs w:val="18"/>
        </w:rPr>
        <w:t>构成任何作价或招揽进行买卖本报告</w:t>
      </w:r>
      <w:r>
        <w:rPr>
          <w:rFonts w:ascii="微软雅黑" w:eastAsia="微软雅黑" w:hAnsi="微软雅黑" w:cs="微软雅黑"/>
          <w:color w:val="898989"/>
          <w:sz w:val="18"/>
          <w:szCs w:val="18"/>
        </w:rPr>
        <w:t xml:space="preserve"> </w:t>
      </w:r>
      <w:r>
        <w:rPr>
          <w:rFonts w:ascii="微软雅黑" w:eastAsia="微软雅黑" w:hAnsi="微软雅黑" w:cs="微软雅黑"/>
          <w:color w:val="898989"/>
          <w:spacing w:val="2"/>
          <w:sz w:val="18"/>
          <w:szCs w:val="18"/>
        </w:rPr>
        <w:t>提及的商品。本公司不会对任何因依靠本报告作出任何买卖而引致之任何损失承担任</w:t>
      </w:r>
      <w:r>
        <w:rPr>
          <w:rFonts w:ascii="微软雅黑" w:eastAsia="微软雅黑" w:hAnsi="微软雅黑" w:cs="微软雅黑"/>
          <w:color w:val="898989"/>
          <w:spacing w:val="1"/>
          <w:sz w:val="18"/>
          <w:szCs w:val="18"/>
        </w:rPr>
        <w:t>何责任。</w:t>
      </w:r>
    </w:p>
    <w:p w14:paraId="37ED71ED" w14:textId="77777777" w:rsidR="0087172E" w:rsidRDefault="0087172E">
      <w:pPr>
        <w:spacing w:before="34" w:line="569" w:lineRule="exact"/>
        <w:ind w:firstLine="6421"/>
      </w:pPr>
    </w:p>
    <w:p w14:paraId="2B387414" w14:textId="77777777" w:rsidR="0087172E" w:rsidRDefault="0087172E">
      <w:pPr>
        <w:spacing w:before="34" w:line="569" w:lineRule="exact"/>
      </w:pPr>
    </w:p>
    <w:p w14:paraId="2FC9FB15" w14:textId="77777777" w:rsidR="0087172E" w:rsidRDefault="00BB7F54">
      <w:pPr>
        <w:spacing w:line="3052" w:lineRule="exact"/>
        <w:jc w:val="center"/>
      </w:pPr>
      <w:r>
        <w:rPr>
          <w:noProof/>
          <w:position w:val="-61"/>
        </w:rPr>
        <w:drawing>
          <wp:inline distT="0" distB="0" distL="0" distR="0" wp14:anchorId="2C0B5275" wp14:editId="4967252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5"/>
                    <a:stretch>
                      <a:fillRect/>
                    </a:stretch>
                  </pic:blipFill>
                  <pic:spPr>
                    <a:xfrm>
                      <a:off x="0" y="0"/>
                      <a:ext cx="1936488" cy="1938179"/>
                    </a:xfrm>
                    <a:prstGeom prst="rect">
                      <a:avLst/>
                    </a:prstGeom>
                  </pic:spPr>
                </pic:pic>
              </a:graphicData>
            </a:graphic>
          </wp:inline>
        </w:drawing>
      </w:r>
    </w:p>
    <w:p w14:paraId="72B229F8" w14:textId="77777777" w:rsidR="0087172E" w:rsidRDefault="0087172E">
      <w:pPr>
        <w:pStyle w:val="a4"/>
        <w:spacing w:line="371" w:lineRule="auto"/>
        <w:jc w:val="center"/>
      </w:pPr>
    </w:p>
    <w:p w14:paraId="38010B07" w14:textId="77777777" w:rsidR="0087172E" w:rsidRDefault="00BB7F54">
      <w:pPr>
        <w:spacing w:before="103" w:line="191" w:lineRule="auto"/>
        <w:jc w:val="center"/>
        <w:rPr>
          <w:rFonts w:ascii="微软雅黑" w:eastAsia="微软雅黑" w:hAnsi="微软雅黑" w:cs="微软雅黑"/>
          <w:sz w:val="24"/>
          <w:szCs w:val="24"/>
        </w:rPr>
      </w:pPr>
      <w:r>
        <w:rPr>
          <w:rFonts w:ascii="微软雅黑" w:eastAsia="微软雅黑" w:hAnsi="微软雅黑" w:cs="微软雅黑"/>
          <w:spacing w:val="7"/>
          <w:sz w:val="24"/>
          <w:szCs w:val="24"/>
        </w:rPr>
        <w:t>24小时客服电话： 00852</w:t>
      </w:r>
      <w:r>
        <w:rPr>
          <w:rFonts w:ascii="微软雅黑" w:eastAsia="微软雅黑" w:hAnsi="微软雅黑" w:cs="微软雅黑"/>
          <w:spacing w:val="-33"/>
          <w:sz w:val="24"/>
          <w:szCs w:val="24"/>
        </w:rPr>
        <w:t xml:space="preserve"> </w:t>
      </w:r>
      <w:r>
        <w:rPr>
          <w:rFonts w:ascii="微软雅黑" w:eastAsia="微软雅黑" w:hAnsi="微软雅黑" w:cs="微软雅黑"/>
          <w:spacing w:val="7"/>
          <w:sz w:val="24"/>
          <w:szCs w:val="24"/>
        </w:rPr>
        <w:t>-</w:t>
      </w:r>
      <w:r>
        <w:rPr>
          <w:rFonts w:ascii="微软雅黑" w:eastAsia="微软雅黑" w:hAnsi="微软雅黑" w:cs="微软雅黑"/>
          <w:spacing w:val="-37"/>
          <w:sz w:val="24"/>
          <w:szCs w:val="24"/>
        </w:rPr>
        <w:t xml:space="preserve"> </w:t>
      </w:r>
      <w:r>
        <w:rPr>
          <w:rFonts w:ascii="微软雅黑" w:eastAsia="微软雅黑" w:hAnsi="微软雅黑" w:cs="微软雅黑"/>
          <w:spacing w:val="7"/>
          <w:sz w:val="24"/>
          <w:szCs w:val="24"/>
        </w:rPr>
        <w:t>25342000/86</w:t>
      </w:r>
      <w:r>
        <w:rPr>
          <w:rFonts w:ascii="微软雅黑" w:eastAsia="微软雅黑" w:hAnsi="微软雅黑" w:cs="微软雅黑"/>
          <w:spacing w:val="-36"/>
          <w:sz w:val="24"/>
          <w:szCs w:val="24"/>
        </w:rPr>
        <w:t xml:space="preserve"> </w:t>
      </w:r>
      <w:r>
        <w:rPr>
          <w:rFonts w:ascii="微软雅黑" w:eastAsia="微软雅黑" w:hAnsi="微软雅黑" w:cs="微软雅黑"/>
          <w:spacing w:val="7"/>
          <w:sz w:val="24"/>
          <w:szCs w:val="24"/>
        </w:rPr>
        <w:t>-</w:t>
      </w:r>
      <w:r>
        <w:rPr>
          <w:rFonts w:ascii="微软雅黑" w:eastAsia="微软雅黑" w:hAnsi="微软雅黑" w:cs="微软雅黑"/>
          <w:spacing w:val="-26"/>
          <w:sz w:val="24"/>
          <w:szCs w:val="24"/>
        </w:rPr>
        <w:t xml:space="preserve"> </w:t>
      </w:r>
      <w:r>
        <w:rPr>
          <w:rFonts w:ascii="微软雅黑" w:eastAsia="微软雅黑" w:hAnsi="微软雅黑" w:cs="微软雅黑"/>
          <w:spacing w:val="7"/>
          <w:sz w:val="24"/>
          <w:szCs w:val="24"/>
        </w:rPr>
        <w:t>13603059885</w:t>
      </w:r>
    </w:p>
    <w:p w14:paraId="1B10CFCE" w14:textId="77777777" w:rsidR="0087172E" w:rsidRDefault="00BB7F54">
      <w:pPr>
        <w:spacing w:before="233" w:line="175" w:lineRule="auto"/>
        <w:jc w:val="center"/>
        <w:rPr>
          <w:rFonts w:ascii="微软雅黑" w:eastAsia="微软雅黑" w:hAnsi="微软雅黑" w:cs="微软雅黑"/>
          <w:sz w:val="24"/>
          <w:szCs w:val="24"/>
        </w:rPr>
      </w:pPr>
      <w:r>
        <w:rPr>
          <w:rFonts w:ascii="微软雅黑" w:eastAsia="微软雅黑" w:hAnsi="微软雅黑" w:cs="微软雅黑"/>
          <w:spacing w:val="5"/>
          <w:sz w:val="24"/>
          <w:szCs w:val="24"/>
        </w:rPr>
        <w:t>24小时传真电话： 00852</w:t>
      </w:r>
      <w:r>
        <w:rPr>
          <w:rFonts w:ascii="微软雅黑" w:eastAsia="微软雅黑" w:hAnsi="微软雅黑" w:cs="微软雅黑"/>
          <w:spacing w:val="-32"/>
          <w:sz w:val="24"/>
          <w:szCs w:val="24"/>
        </w:rPr>
        <w:t xml:space="preserve"> </w:t>
      </w:r>
      <w:r>
        <w:rPr>
          <w:rFonts w:ascii="微软雅黑" w:eastAsia="微软雅黑" w:hAnsi="微软雅黑" w:cs="微软雅黑"/>
          <w:spacing w:val="5"/>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pacing w:val="5"/>
          <w:sz w:val="24"/>
          <w:szCs w:val="24"/>
        </w:rPr>
        <w:t>25632368</w:t>
      </w:r>
    </w:p>
    <w:p w14:paraId="6F00D784" w14:textId="77777777" w:rsidR="0087172E" w:rsidRDefault="00BB7F54">
      <w:pPr>
        <w:spacing w:before="258" w:line="190" w:lineRule="auto"/>
        <w:jc w:val="center"/>
        <w:rPr>
          <w:rFonts w:ascii="微软雅黑" w:eastAsia="微软雅黑" w:hAnsi="微软雅黑" w:cs="微软雅黑"/>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0E58E050" w14:textId="77777777" w:rsidR="0087172E" w:rsidRDefault="00BB7F54">
      <w:pPr>
        <w:spacing w:before="234" w:line="192" w:lineRule="auto"/>
        <w:jc w:val="center"/>
        <w:rPr>
          <w:rFonts w:ascii="微软雅黑" w:eastAsia="微软雅黑" w:hAnsi="微软雅黑" w:cs="微软雅黑"/>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02A20C32" w14:textId="77777777" w:rsidR="0087172E" w:rsidRDefault="00BB7F54">
      <w:pPr>
        <w:spacing w:before="234" w:line="176" w:lineRule="auto"/>
        <w:jc w:val="center"/>
        <w:rPr>
          <w:rFonts w:ascii="微软雅黑" w:eastAsia="微软雅黑" w:hAnsi="微软雅黑" w:cs="微软雅黑"/>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DBA974F" w14:textId="77777777" w:rsidR="0087172E" w:rsidRDefault="00BB7F54">
      <w:pPr>
        <w:spacing w:before="253" w:line="177" w:lineRule="auto"/>
        <w:jc w:val="center"/>
        <w:rPr>
          <w:rFonts w:ascii="微软雅黑" w:eastAsia="微软雅黑" w:hAnsi="微软雅黑" w:cs="微软雅黑"/>
          <w:sz w:val="24"/>
          <w:szCs w:val="24"/>
        </w:rPr>
      </w:pPr>
      <w:r>
        <w:rPr>
          <w:rFonts w:ascii="微软雅黑" w:eastAsia="微软雅黑" w:hAnsi="微软雅黑" w:cs="微软雅黑"/>
          <w:spacing w:val="16"/>
          <w:sz w:val="24"/>
          <w:szCs w:val="24"/>
        </w:rPr>
        <w:t>地址:</w:t>
      </w:r>
      <w:r>
        <w:rPr>
          <w:rFonts w:ascii="微软雅黑" w:eastAsia="微软雅黑" w:hAnsi="微软雅黑" w:cs="微软雅黑"/>
          <w:spacing w:val="45"/>
          <w:w w:val="101"/>
          <w:sz w:val="24"/>
          <w:szCs w:val="24"/>
        </w:rPr>
        <w:t xml:space="preserve"> </w:t>
      </w:r>
      <w:r>
        <w:rPr>
          <w:rFonts w:ascii="微软雅黑" w:eastAsia="微软雅黑" w:hAnsi="微软雅黑" w:cs="微软雅黑"/>
          <w:spacing w:val="16"/>
          <w:sz w:val="24"/>
          <w:szCs w:val="24"/>
        </w:rPr>
        <w:t>香港湾仔菲林明道8号大同大厦17楼05</w:t>
      </w:r>
      <w:r>
        <w:rPr>
          <w:rFonts w:ascii="微软雅黑" w:eastAsia="微软雅黑" w:hAnsi="微软雅黑" w:cs="微软雅黑"/>
          <w:spacing w:val="-36"/>
          <w:sz w:val="24"/>
          <w:szCs w:val="24"/>
        </w:rPr>
        <w:t xml:space="preserve"> </w:t>
      </w:r>
      <w:r>
        <w:rPr>
          <w:rFonts w:ascii="微软雅黑" w:eastAsia="微软雅黑" w:hAnsi="微软雅黑" w:cs="微软雅黑"/>
          <w:spacing w:val="16"/>
          <w:sz w:val="24"/>
          <w:szCs w:val="24"/>
        </w:rPr>
        <w:t>-</w:t>
      </w:r>
      <w:r>
        <w:rPr>
          <w:rFonts w:ascii="微软雅黑" w:eastAsia="微软雅黑" w:hAnsi="微软雅黑" w:cs="微软雅黑"/>
          <w:spacing w:val="-36"/>
          <w:sz w:val="24"/>
          <w:szCs w:val="24"/>
        </w:rPr>
        <w:t xml:space="preserve"> </w:t>
      </w:r>
      <w:r>
        <w:rPr>
          <w:rFonts w:ascii="微软雅黑" w:eastAsia="微软雅黑" w:hAnsi="微软雅黑" w:cs="微软雅黑"/>
          <w:spacing w:val="16"/>
          <w:sz w:val="24"/>
          <w:szCs w:val="24"/>
        </w:rPr>
        <w:t>06室</w:t>
      </w:r>
    </w:p>
    <w:p w14:paraId="1A4B6D92" w14:textId="77777777" w:rsidR="0087172E" w:rsidRDefault="0087172E">
      <w:pPr>
        <w:spacing w:line="312" w:lineRule="auto"/>
        <w:ind w:firstLine="420"/>
      </w:pPr>
    </w:p>
    <w:sectPr w:rsidR="008717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F9732" w14:textId="77777777" w:rsidR="00CA5EA7" w:rsidRDefault="00CA5EA7" w:rsidP="00127060">
      <w:r>
        <w:separator/>
      </w:r>
    </w:p>
  </w:endnote>
  <w:endnote w:type="continuationSeparator" w:id="0">
    <w:p w14:paraId="0842EBE6" w14:textId="77777777" w:rsidR="00CA5EA7" w:rsidRDefault="00CA5EA7" w:rsidP="00127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13937" w14:textId="77777777" w:rsidR="00CA5EA7" w:rsidRDefault="00CA5EA7" w:rsidP="00127060">
      <w:r>
        <w:separator/>
      </w:r>
    </w:p>
  </w:footnote>
  <w:footnote w:type="continuationSeparator" w:id="0">
    <w:p w14:paraId="55F3E7B3" w14:textId="77777777" w:rsidR="00CA5EA7" w:rsidRDefault="00CA5EA7" w:rsidP="001270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C4574F"/>
    <w:multiLevelType w:val="multilevel"/>
    <w:tmpl w:val="5EC4574F"/>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B08"/>
    <w:rsid w:val="000038D2"/>
    <w:rsid w:val="00003F49"/>
    <w:rsid w:val="000057C8"/>
    <w:rsid w:val="0000618D"/>
    <w:rsid w:val="00007BCC"/>
    <w:rsid w:val="0001127E"/>
    <w:rsid w:val="00011E90"/>
    <w:rsid w:val="00015ABA"/>
    <w:rsid w:val="00015CEB"/>
    <w:rsid w:val="00016329"/>
    <w:rsid w:val="00017E90"/>
    <w:rsid w:val="00021789"/>
    <w:rsid w:val="000218EC"/>
    <w:rsid w:val="00023083"/>
    <w:rsid w:val="0002357D"/>
    <w:rsid w:val="00027E72"/>
    <w:rsid w:val="000301E2"/>
    <w:rsid w:val="00031A96"/>
    <w:rsid w:val="000328C5"/>
    <w:rsid w:val="00032F98"/>
    <w:rsid w:val="00033A0F"/>
    <w:rsid w:val="00037826"/>
    <w:rsid w:val="00043127"/>
    <w:rsid w:val="000447DD"/>
    <w:rsid w:val="0004620E"/>
    <w:rsid w:val="00046EC5"/>
    <w:rsid w:val="0005052B"/>
    <w:rsid w:val="00051C71"/>
    <w:rsid w:val="00051F31"/>
    <w:rsid w:val="00052952"/>
    <w:rsid w:val="000540B3"/>
    <w:rsid w:val="00054D2E"/>
    <w:rsid w:val="00055C18"/>
    <w:rsid w:val="0005615C"/>
    <w:rsid w:val="00056C00"/>
    <w:rsid w:val="00057586"/>
    <w:rsid w:val="00061E07"/>
    <w:rsid w:val="00063F06"/>
    <w:rsid w:val="000649D8"/>
    <w:rsid w:val="000658CB"/>
    <w:rsid w:val="00066060"/>
    <w:rsid w:val="00067183"/>
    <w:rsid w:val="00072788"/>
    <w:rsid w:val="00072AF7"/>
    <w:rsid w:val="000739E1"/>
    <w:rsid w:val="0007552B"/>
    <w:rsid w:val="00075D35"/>
    <w:rsid w:val="00081272"/>
    <w:rsid w:val="00083FCF"/>
    <w:rsid w:val="000902C1"/>
    <w:rsid w:val="00094A69"/>
    <w:rsid w:val="0009578B"/>
    <w:rsid w:val="000959E1"/>
    <w:rsid w:val="00096C6B"/>
    <w:rsid w:val="000A05D9"/>
    <w:rsid w:val="000A0A52"/>
    <w:rsid w:val="000A1B52"/>
    <w:rsid w:val="000A1C34"/>
    <w:rsid w:val="000A1E80"/>
    <w:rsid w:val="000A5DB1"/>
    <w:rsid w:val="000A6E63"/>
    <w:rsid w:val="000A70FC"/>
    <w:rsid w:val="000B3BF6"/>
    <w:rsid w:val="000B4160"/>
    <w:rsid w:val="000B45D7"/>
    <w:rsid w:val="000B4D30"/>
    <w:rsid w:val="000B6102"/>
    <w:rsid w:val="000B7B1E"/>
    <w:rsid w:val="000C2454"/>
    <w:rsid w:val="000C405D"/>
    <w:rsid w:val="000C5204"/>
    <w:rsid w:val="000D138F"/>
    <w:rsid w:val="000D2042"/>
    <w:rsid w:val="000D41B5"/>
    <w:rsid w:val="000D41E0"/>
    <w:rsid w:val="000D4E7F"/>
    <w:rsid w:val="000D5473"/>
    <w:rsid w:val="000D59E5"/>
    <w:rsid w:val="000D68D8"/>
    <w:rsid w:val="000E6617"/>
    <w:rsid w:val="000F156E"/>
    <w:rsid w:val="000F6721"/>
    <w:rsid w:val="000F6A0B"/>
    <w:rsid w:val="000F726E"/>
    <w:rsid w:val="000F72AD"/>
    <w:rsid w:val="00100296"/>
    <w:rsid w:val="001017E8"/>
    <w:rsid w:val="00103A47"/>
    <w:rsid w:val="00112C39"/>
    <w:rsid w:val="0011314B"/>
    <w:rsid w:val="00113D9E"/>
    <w:rsid w:val="00115730"/>
    <w:rsid w:val="0012070F"/>
    <w:rsid w:val="00121E4F"/>
    <w:rsid w:val="00125BEA"/>
    <w:rsid w:val="00127060"/>
    <w:rsid w:val="00133B4F"/>
    <w:rsid w:val="001359F0"/>
    <w:rsid w:val="001362BF"/>
    <w:rsid w:val="001407AC"/>
    <w:rsid w:val="00140BEA"/>
    <w:rsid w:val="001431CC"/>
    <w:rsid w:val="001454F3"/>
    <w:rsid w:val="001470E8"/>
    <w:rsid w:val="00150521"/>
    <w:rsid w:val="00153427"/>
    <w:rsid w:val="00154921"/>
    <w:rsid w:val="001564E1"/>
    <w:rsid w:val="0015671A"/>
    <w:rsid w:val="001573DE"/>
    <w:rsid w:val="0016345C"/>
    <w:rsid w:val="0017113F"/>
    <w:rsid w:val="001728A8"/>
    <w:rsid w:val="00175CD6"/>
    <w:rsid w:val="00182FB2"/>
    <w:rsid w:val="001847B0"/>
    <w:rsid w:val="001848CA"/>
    <w:rsid w:val="001869F4"/>
    <w:rsid w:val="00186F23"/>
    <w:rsid w:val="001938CF"/>
    <w:rsid w:val="00194A13"/>
    <w:rsid w:val="00195C4D"/>
    <w:rsid w:val="00197E1F"/>
    <w:rsid w:val="00197E3E"/>
    <w:rsid w:val="001A3C3A"/>
    <w:rsid w:val="001A54E0"/>
    <w:rsid w:val="001A59DE"/>
    <w:rsid w:val="001A6CE8"/>
    <w:rsid w:val="001B34ED"/>
    <w:rsid w:val="001B6505"/>
    <w:rsid w:val="001B7DCD"/>
    <w:rsid w:val="001C598E"/>
    <w:rsid w:val="001C7A4C"/>
    <w:rsid w:val="001C7CB7"/>
    <w:rsid w:val="001D1EE7"/>
    <w:rsid w:val="001D5BF6"/>
    <w:rsid w:val="001F0839"/>
    <w:rsid w:val="001F0B8B"/>
    <w:rsid w:val="001F0D0C"/>
    <w:rsid w:val="001F3157"/>
    <w:rsid w:val="001F32AA"/>
    <w:rsid w:val="001F4E90"/>
    <w:rsid w:val="001F6D4B"/>
    <w:rsid w:val="001F6F76"/>
    <w:rsid w:val="00201728"/>
    <w:rsid w:val="0020319F"/>
    <w:rsid w:val="002041D1"/>
    <w:rsid w:val="0020501F"/>
    <w:rsid w:val="0020541A"/>
    <w:rsid w:val="00212B3D"/>
    <w:rsid w:val="002148D1"/>
    <w:rsid w:val="00215D99"/>
    <w:rsid w:val="0021694A"/>
    <w:rsid w:val="00216CC4"/>
    <w:rsid w:val="00220075"/>
    <w:rsid w:val="00220B10"/>
    <w:rsid w:val="00220C9B"/>
    <w:rsid w:val="00221714"/>
    <w:rsid w:val="002221A8"/>
    <w:rsid w:val="00223E72"/>
    <w:rsid w:val="00227DE4"/>
    <w:rsid w:val="002300E8"/>
    <w:rsid w:val="00232739"/>
    <w:rsid w:val="002333A5"/>
    <w:rsid w:val="002348D9"/>
    <w:rsid w:val="002348FA"/>
    <w:rsid w:val="00236D53"/>
    <w:rsid w:val="00242AD4"/>
    <w:rsid w:val="00244509"/>
    <w:rsid w:val="002458C3"/>
    <w:rsid w:val="00247EFC"/>
    <w:rsid w:val="00253827"/>
    <w:rsid w:val="00254A2B"/>
    <w:rsid w:val="00257436"/>
    <w:rsid w:val="0026035D"/>
    <w:rsid w:val="0026175A"/>
    <w:rsid w:val="002617AF"/>
    <w:rsid w:val="00263BE6"/>
    <w:rsid w:val="00266134"/>
    <w:rsid w:val="0027103D"/>
    <w:rsid w:val="00271F8A"/>
    <w:rsid w:val="002730CB"/>
    <w:rsid w:val="00273827"/>
    <w:rsid w:val="00276D63"/>
    <w:rsid w:val="00276F3C"/>
    <w:rsid w:val="002779DB"/>
    <w:rsid w:val="00280A6C"/>
    <w:rsid w:val="00282E4E"/>
    <w:rsid w:val="0028510B"/>
    <w:rsid w:val="0028572C"/>
    <w:rsid w:val="00290F42"/>
    <w:rsid w:val="002951ED"/>
    <w:rsid w:val="00296492"/>
    <w:rsid w:val="0029743E"/>
    <w:rsid w:val="002A359F"/>
    <w:rsid w:val="002A4A4E"/>
    <w:rsid w:val="002A6475"/>
    <w:rsid w:val="002A6E4D"/>
    <w:rsid w:val="002A79DF"/>
    <w:rsid w:val="002A79EF"/>
    <w:rsid w:val="002B2218"/>
    <w:rsid w:val="002C2324"/>
    <w:rsid w:val="002C346F"/>
    <w:rsid w:val="002C4410"/>
    <w:rsid w:val="002C6293"/>
    <w:rsid w:val="002C7B4F"/>
    <w:rsid w:val="002D0542"/>
    <w:rsid w:val="002D1AA3"/>
    <w:rsid w:val="002D2D54"/>
    <w:rsid w:val="002D37D1"/>
    <w:rsid w:val="002D49D0"/>
    <w:rsid w:val="002D4E21"/>
    <w:rsid w:val="002D62A9"/>
    <w:rsid w:val="002E0B93"/>
    <w:rsid w:val="002E39E8"/>
    <w:rsid w:val="002E48D7"/>
    <w:rsid w:val="002E48FF"/>
    <w:rsid w:val="002F5F01"/>
    <w:rsid w:val="002F6580"/>
    <w:rsid w:val="002F719A"/>
    <w:rsid w:val="00300223"/>
    <w:rsid w:val="00301549"/>
    <w:rsid w:val="00302FEF"/>
    <w:rsid w:val="003041AA"/>
    <w:rsid w:val="00304D86"/>
    <w:rsid w:val="00304DF8"/>
    <w:rsid w:val="00305878"/>
    <w:rsid w:val="003058AF"/>
    <w:rsid w:val="003066A3"/>
    <w:rsid w:val="003070DC"/>
    <w:rsid w:val="00310347"/>
    <w:rsid w:val="00311DD7"/>
    <w:rsid w:val="00311E0D"/>
    <w:rsid w:val="00312B57"/>
    <w:rsid w:val="003165C7"/>
    <w:rsid w:val="00322B76"/>
    <w:rsid w:val="00324293"/>
    <w:rsid w:val="00325FB5"/>
    <w:rsid w:val="003265E6"/>
    <w:rsid w:val="00326BE8"/>
    <w:rsid w:val="00330541"/>
    <w:rsid w:val="00330A88"/>
    <w:rsid w:val="003316A8"/>
    <w:rsid w:val="00336209"/>
    <w:rsid w:val="00341353"/>
    <w:rsid w:val="00343540"/>
    <w:rsid w:val="00343C8A"/>
    <w:rsid w:val="00346126"/>
    <w:rsid w:val="00350819"/>
    <w:rsid w:val="00351614"/>
    <w:rsid w:val="0035301A"/>
    <w:rsid w:val="003576ED"/>
    <w:rsid w:val="00357828"/>
    <w:rsid w:val="00357A29"/>
    <w:rsid w:val="00363129"/>
    <w:rsid w:val="0036506F"/>
    <w:rsid w:val="0036569F"/>
    <w:rsid w:val="003665FF"/>
    <w:rsid w:val="0036685A"/>
    <w:rsid w:val="00371BC0"/>
    <w:rsid w:val="00374735"/>
    <w:rsid w:val="0037538E"/>
    <w:rsid w:val="00377B85"/>
    <w:rsid w:val="00377FA0"/>
    <w:rsid w:val="0038253A"/>
    <w:rsid w:val="003867A4"/>
    <w:rsid w:val="003903E1"/>
    <w:rsid w:val="00392306"/>
    <w:rsid w:val="00394B23"/>
    <w:rsid w:val="00397D8C"/>
    <w:rsid w:val="003A062A"/>
    <w:rsid w:val="003A2616"/>
    <w:rsid w:val="003A2745"/>
    <w:rsid w:val="003A4CF3"/>
    <w:rsid w:val="003A699C"/>
    <w:rsid w:val="003A7246"/>
    <w:rsid w:val="003A7F2C"/>
    <w:rsid w:val="003B2BD3"/>
    <w:rsid w:val="003B3A79"/>
    <w:rsid w:val="003B3DB4"/>
    <w:rsid w:val="003B49D5"/>
    <w:rsid w:val="003C55CB"/>
    <w:rsid w:val="003D2210"/>
    <w:rsid w:val="003D3AF3"/>
    <w:rsid w:val="003D3DB8"/>
    <w:rsid w:val="003D49D3"/>
    <w:rsid w:val="003D7161"/>
    <w:rsid w:val="003D7A03"/>
    <w:rsid w:val="003E0E92"/>
    <w:rsid w:val="003E1845"/>
    <w:rsid w:val="003E1D2F"/>
    <w:rsid w:val="003E2D6E"/>
    <w:rsid w:val="003E3FBB"/>
    <w:rsid w:val="003E5930"/>
    <w:rsid w:val="003E6947"/>
    <w:rsid w:val="003F0F9E"/>
    <w:rsid w:val="003F13BF"/>
    <w:rsid w:val="003F2BF1"/>
    <w:rsid w:val="003F3205"/>
    <w:rsid w:val="003F57F4"/>
    <w:rsid w:val="003F591E"/>
    <w:rsid w:val="004012E4"/>
    <w:rsid w:val="004023AC"/>
    <w:rsid w:val="00405DD6"/>
    <w:rsid w:val="0040609C"/>
    <w:rsid w:val="0040735B"/>
    <w:rsid w:val="00407F4C"/>
    <w:rsid w:val="00413A6A"/>
    <w:rsid w:val="00414D5B"/>
    <w:rsid w:val="00416F99"/>
    <w:rsid w:val="0041786D"/>
    <w:rsid w:val="00420D11"/>
    <w:rsid w:val="00420FA9"/>
    <w:rsid w:val="0042595F"/>
    <w:rsid w:val="00431962"/>
    <w:rsid w:val="00431FCF"/>
    <w:rsid w:val="00433DAC"/>
    <w:rsid w:val="00434A8A"/>
    <w:rsid w:val="004428AC"/>
    <w:rsid w:val="00443DF5"/>
    <w:rsid w:val="00444051"/>
    <w:rsid w:val="004445D6"/>
    <w:rsid w:val="00444695"/>
    <w:rsid w:val="00447802"/>
    <w:rsid w:val="0045019A"/>
    <w:rsid w:val="004521D8"/>
    <w:rsid w:val="00456C36"/>
    <w:rsid w:val="00456F4B"/>
    <w:rsid w:val="00456F6E"/>
    <w:rsid w:val="00457B41"/>
    <w:rsid w:val="00460993"/>
    <w:rsid w:val="00462568"/>
    <w:rsid w:val="00464902"/>
    <w:rsid w:val="0047032F"/>
    <w:rsid w:val="0047158A"/>
    <w:rsid w:val="00472C1A"/>
    <w:rsid w:val="004801BB"/>
    <w:rsid w:val="00480DFA"/>
    <w:rsid w:val="0048255E"/>
    <w:rsid w:val="00482C6C"/>
    <w:rsid w:val="004855D9"/>
    <w:rsid w:val="00490A4C"/>
    <w:rsid w:val="00495814"/>
    <w:rsid w:val="004A483B"/>
    <w:rsid w:val="004A5719"/>
    <w:rsid w:val="004A5DEA"/>
    <w:rsid w:val="004A618A"/>
    <w:rsid w:val="004A70F3"/>
    <w:rsid w:val="004A7283"/>
    <w:rsid w:val="004B1822"/>
    <w:rsid w:val="004B3117"/>
    <w:rsid w:val="004B4636"/>
    <w:rsid w:val="004B569D"/>
    <w:rsid w:val="004B688C"/>
    <w:rsid w:val="004B6B0F"/>
    <w:rsid w:val="004B7564"/>
    <w:rsid w:val="004C0BD3"/>
    <w:rsid w:val="004C131F"/>
    <w:rsid w:val="004C1D9A"/>
    <w:rsid w:val="004C243D"/>
    <w:rsid w:val="004D1771"/>
    <w:rsid w:val="004D27B0"/>
    <w:rsid w:val="004D283C"/>
    <w:rsid w:val="004D70BD"/>
    <w:rsid w:val="004D75A9"/>
    <w:rsid w:val="004E10AA"/>
    <w:rsid w:val="004E159A"/>
    <w:rsid w:val="004E22E6"/>
    <w:rsid w:val="004E2769"/>
    <w:rsid w:val="004E332D"/>
    <w:rsid w:val="004F0C55"/>
    <w:rsid w:val="004F16E7"/>
    <w:rsid w:val="004F5DA5"/>
    <w:rsid w:val="0050173E"/>
    <w:rsid w:val="00503735"/>
    <w:rsid w:val="00505961"/>
    <w:rsid w:val="00505DD6"/>
    <w:rsid w:val="00506D2A"/>
    <w:rsid w:val="00507C47"/>
    <w:rsid w:val="00511152"/>
    <w:rsid w:val="0051119D"/>
    <w:rsid w:val="00512646"/>
    <w:rsid w:val="00514647"/>
    <w:rsid w:val="0051618C"/>
    <w:rsid w:val="00534A80"/>
    <w:rsid w:val="00535FC1"/>
    <w:rsid w:val="00537A85"/>
    <w:rsid w:val="00537CF9"/>
    <w:rsid w:val="0054080B"/>
    <w:rsid w:val="00551601"/>
    <w:rsid w:val="0055205C"/>
    <w:rsid w:val="0055710B"/>
    <w:rsid w:val="00567A01"/>
    <w:rsid w:val="005717C4"/>
    <w:rsid w:val="00571EBF"/>
    <w:rsid w:val="005727D9"/>
    <w:rsid w:val="005747CC"/>
    <w:rsid w:val="00574E1F"/>
    <w:rsid w:val="00577A61"/>
    <w:rsid w:val="00581D9D"/>
    <w:rsid w:val="00583AD9"/>
    <w:rsid w:val="00585144"/>
    <w:rsid w:val="0058569A"/>
    <w:rsid w:val="00592071"/>
    <w:rsid w:val="005963F1"/>
    <w:rsid w:val="00597363"/>
    <w:rsid w:val="005A3626"/>
    <w:rsid w:val="005A6A6F"/>
    <w:rsid w:val="005B0999"/>
    <w:rsid w:val="005B0EC1"/>
    <w:rsid w:val="005B127B"/>
    <w:rsid w:val="005B4337"/>
    <w:rsid w:val="005B6631"/>
    <w:rsid w:val="005B6BB0"/>
    <w:rsid w:val="005C0624"/>
    <w:rsid w:val="005C4837"/>
    <w:rsid w:val="005D13DB"/>
    <w:rsid w:val="005D4042"/>
    <w:rsid w:val="005D591B"/>
    <w:rsid w:val="005D6040"/>
    <w:rsid w:val="005D6206"/>
    <w:rsid w:val="005E4D72"/>
    <w:rsid w:val="005E791A"/>
    <w:rsid w:val="005F3A6D"/>
    <w:rsid w:val="005F55A3"/>
    <w:rsid w:val="005F5A82"/>
    <w:rsid w:val="005F7439"/>
    <w:rsid w:val="00600382"/>
    <w:rsid w:val="006104BA"/>
    <w:rsid w:val="00610A5D"/>
    <w:rsid w:val="00611959"/>
    <w:rsid w:val="006206E8"/>
    <w:rsid w:val="00621D14"/>
    <w:rsid w:val="00621FB3"/>
    <w:rsid w:val="00624E74"/>
    <w:rsid w:val="00626AF8"/>
    <w:rsid w:val="00626F9A"/>
    <w:rsid w:val="00631978"/>
    <w:rsid w:val="00635BA5"/>
    <w:rsid w:val="00637EE4"/>
    <w:rsid w:val="006453A6"/>
    <w:rsid w:val="006466A9"/>
    <w:rsid w:val="00646D9C"/>
    <w:rsid w:val="0064750B"/>
    <w:rsid w:val="00647B32"/>
    <w:rsid w:val="00651A45"/>
    <w:rsid w:val="0065442E"/>
    <w:rsid w:val="006553DD"/>
    <w:rsid w:val="00655606"/>
    <w:rsid w:val="00655FE4"/>
    <w:rsid w:val="006603DF"/>
    <w:rsid w:val="0066318A"/>
    <w:rsid w:val="0066406F"/>
    <w:rsid w:val="00670ED4"/>
    <w:rsid w:val="00671429"/>
    <w:rsid w:val="00671C9F"/>
    <w:rsid w:val="00672F7C"/>
    <w:rsid w:val="00673887"/>
    <w:rsid w:val="00673FAC"/>
    <w:rsid w:val="006746CA"/>
    <w:rsid w:val="00676B9B"/>
    <w:rsid w:val="00687269"/>
    <w:rsid w:val="00693203"/>
    <w:rsid w:val="006938C5"/>
    <w:rsid w:val="00695DD5"/>
    <w:rsid w:val="006A0016"/>
    <w:rsid w:val="006A24BE"/>
    <w:rsid w:val="006A2C2A"/>
    <w:rsid w:val="006A35D1"/>
    <w:rsid w:val="006A3F5D"/>
    <w:rsid w:val="006A584F"/>
    <w:rsid w:val="006B4178"/>
    <w:rsid w:val="006B50D4"/>
    <w:rsid w:val="006B685C"/>
    <w:rsid w:val="006C158F"/>
    <w:rsid w:val="006C1898"/>
    <w:rsid w:val="006D339B"/>
    <w:rsid w:val="006D4F54"/>
    <w:rsid w:val="006D62AF"/>
    <w:rsid w:val="006D6961"/>
    <w:rsid w:val="006E2C2D"/>
    <w:rsid w:val="006E5C84"/>
    <w:rsid w:val="006E7ABA"/>
    <w:rsid w:val="006F53BF"/>
    <w:rsid w:val="006F54F0"/>
    <w:rsid w:val="006F775F"/>
    <w:rsid w:val="0070075F"/>
    <w:rsid w:val="00710BCD"/>
    <w:rsid w:val="00710E4C"/>
    <w:rsid w:val="0071470E"/>
    <w:rsid w:val="00715E21"/>
    <w:rsid w:val="00716E5A"/>
    <w:rsid w:val="0072196A"/>
    <w:rsid w:val="007236CA"/>
    <w:rsid w:val="0072465D"/>
    <w:rsid w:val="00724724"/>
    <w:rsid w:val="007256FB"/>
    <w:rsid w:val="0072673E"/>
    <w:rsid w:val="00730110"/>
    <w:rsid w:val="007348A2"/>
    <w:rsid w:val="00737678"/>
    <w:rsid w:val="00746E5A"/>
    <w:rsid w:val="00747B51"/>
    <w:rsid w:val="00761164"/>
    <w:rsid w:val="00762458"/>
    <w:rsid w:val="00762BC0"/>
    <w:rsid w:val="00763B4A"/>
    <w:rsid w:val="00771878"/>
    <w:rsid w:val="00772ADA"/>
    <w:rsid w:val="007758C8"/>
    <w:rsid w:val="0077635E"/>
    <w:rsid w:val="00776BB4"/>
    <w:rsid w:val="00777880"/>
    <w:rsid w:val="00781600"/>
    <w:rsid w:val="00783EA9"/>
    <w:rsid w:val="007844B4"/>
    <w:rsid w:val="00785749"/>
    <w:rsid w:val="0078583C"/>
    <w:rsid w:val="00785A17"/>
    <w:rsid w:val="00786FC0"/>
    <w:rsid w:val="00787BFA"/>
    <w:rsid w:val="00792957"/>
    <w:rsid w:val="00792E03"/>
    <w:rsid w:val="0079373C"/>
    <w:rsid w:val="00795C32"/>
    <w:rsid w:val="007A5815"/>
    <w:rsid w:val="007B10D1"/>
    <w:rsid w:val="007B3FE4"/>
    <w:rsid w:val="007B45BB"/>
    <w:rsid w:val="007B677E"/>
    <w:rsid w:val="007B746D"/>
    <w:rsid w:val="007C0CD5"/>
    <w:rsid w:val="007C4700"/>
    <w:rsid w:val="007C5819"/>
    <w:rsid w:val="007C648F"/>
    <w:rsid w:val="007C7C58"/>
    <w:rsid w:val="007D3E5A"/>
    <w:rsid w:val="007D46A7"/>
    <w:rsid w:val="007D4B15"/>
    <w:rsid w:val="007D4C2E"/>
    <w:rsid w:val="007D5617"/>
    <w:rsid w:val="007D60FF"/>
    <w:rsid w:val="007D68B7"/>
    <w:rsid w:val="007E1257"/>
    <w:rsid w:val="007E4414"/>
    <w:rsid w:val="007E7318"/>
    <w:rsid w:val="007F0835"/>
    <w:rsid w:val="007F2785"/>
    <w:rsid w:val="007F2A98"/>
    <w:rsid w:val="007F6420"/>
    <w:rsid w:val="00800E28"/>
    <w:rsid w:val="008043B5"/>
    <w:rsid w:val="00804540"/>
    <w:rsid w:val="008058C3"/>
    <w:rsid w:val="00813A5E"/>
    <w:rsid w:val="00814C88"/>
    <w:rsid w:val="00821138"/>
    <w:rsid w:val="0082289B"/>
    <w:rsid w:val="008264F8"/>
    <w:rsid w:val="00827B82"/>
    <w:rsid w:val="008306EA"/>
    <w:rsid w:val="0083623C"/>
    <w:rsid w:val="00844DA7"/>
    <w:rsid w:val="008461BD"/>
    <w:rsid w:val="00847CAE"/>
    <w:rsid w:val="0085074E"/>
    <w:rsid w:val="008515E9"/>
    <w:rsid w:val="00852D32"/>
    <w:rsid w:val="00852D53"/>
    <w:rsid w:val="00852FAF"/>
    <w:rsid w:val="00853402"/>
    <w:rsid w:val="00854449"/>
    <w:rsid w:val="0085651F"/>
    <w:rsid w:val="008575F1"/>
    <w:rsid w:val="00862AAE"/>
    <w:rsid w:val="0086476E"/>
    <w:rsid w:val="00865826"/>
    <w:rsid w:val="008663E7"/>
    <w:rsid w:val="0087142A"/>
    <w:rsid w:val="0087172E"/>
    <w:rsid w:val="00871BD0"/>
    <w:rsid w:val="00881976"/>
    <w:rsid w:val="00882F85"/>
    <w:rsid w:val="00883F0C"/>
    <w:rsid w:val="00886C14"/>
    <w:rsid w:val="008872BE"/>
    <w:rsid w:val="00887911"/>
    <w:rsid w:val="00891116"/>
    <w:rsid w:val="008A1FB2"/>
    <w:rsid w:val="008A2527"/>
    <w:rsid w:val="008A2B9D"/>
    <w:rsid w:val="008A2ED9"/>
    <w:rsid w:val="008A4C3C"/>
    <w:rsid w:val="008A616A"/>
    <w:rsid w:val="008B0DD1"/>
    <w:rsid w:val="008B325C"/>
    <w:rsid w:val="008B334F"/>
    <w:rsid w:val="008B4D2B"/>
    <w:rsid w:val="008B5B8F"/>
    <w:rsid w:val="008B5D1D"/>
    <w:rsid w:val="008B5D3A"/>
    <w:rsid w:val="008B7950"/>
    <w:rsid w:val="008C0A62"/>
    <w:rsid w:val="008C13E8"/>
    <w:rsid w:val="008C1403"/>
    <w:rsid w:val="008C14BE"/>
    <w:rsid w:val="008C1856"/>
    <w:rsid w:val="008C2303"/>
    <w:rsid w:val="008C3786"/>
    <w:rsid w:val="008C495E"/>
    <w:rsid w:val="008C55B1"/>
    <w:rsid w:val="008C58A9"/>
    <w:rsid w:val="008C6C75"/>
    <w:rsid w:val="008C70C0"/>
    <w:rsid w:val="008D7CDF"/>
    <w:rsid w:val="008E0866"/>
    <w:rsid w:val="008E4EAC"/>
    <w:rsid w:val="008E52D9"/>
    <w:rsid w:val="008E5841"/>
    <w:rsid w:val="0090054A"/>
    <w:rsid w:val="00905A62"/>
    <w:rsid w:val="009078F0"/>
    <w:rsid w:val="00907F42"/>
    <w:rsid w:val="0091074F"/>
    <w:rsid w:val="00911557"/>
    <w:rsid w:val="0091202D"/>
    <w:rsid w:val="00912158"/>
    <w:rsid w:val="00912A7E"/>
    <w:rsid w:val="00915D99"/>
    <w:rsid w:val="00916155"/>
    <w:rsid w:val="00916F88"/>
    <w:rsid w:val="00917DB0"/>
    <w:rsid w:val="00921AD3"/>
    <w:rsid w:val="00922740"/>
    <w:rsid w:val="00930998"/>
    <w:rsid w:val="0093171E"/>
    <w:rsid w:val="00934D76"/>
    <w:rsid w:val="00941B7A"/>
    <w:rsid w:val="009425B7"/>
    <w:rsid w:val="00942A0A"/>
    <w:rsid w:val="00947831"/>
    <w:rsid w:val="00950AA4"/>
    <w:rsid w:val="0095193C"/>
    <w:rsid w:val="009528D9"/>
    <w:rsid w:val="00952A8C"/>
    <w:rsid w:val="009615A9"/>
    <w:rsid w:val="0096242F"/>
    <w:rsid w:val="009624AE"/>
    <w:rsid w:val="00963180"/>
    <w:rsid w:val="00964904"/>
    <w:rsid w:val="00965238"/>
    <w:rsid w:val="009715A1"/>
    <w:rsid w:val="0097610B"/>
    <w:rsid w:val="0097639B"/>
    <w:rsid w:val="009807E3"/>
    <w:rsid w:val="00981C0F"/>
    <w:rsid w:val="009821C1"/>
    <w:rsid w:val="00982EB3"/>
    <w:rsid w:val="00984FF0"/>
    <w:rsid w:val="009866FF"/>
    <w:rsid w:val="009927F3"/>
    <w:rsid w:val="0099372E"/>
    <w:rsid w:val="00994228"/>
    <w:rsid w:val="009950CA"/>
    <w:rsid w:val="009A26E3"/>
    <w:rsid w:val="009A27BC"/>
    <w:rsid w:val="009A75FC"/>
    <w:rsid w:val="009B25EF"/>
    <w:rsid w:val="009B595E"/>
    <w:rsid w:val="009B6944"/>
    <w:rsid w:val="009C0381"/>
    <w:rsid w:val="009C0504"/>
    <w:rsid w:val="009C0CD7"/>
    <w:rsid w:val="009C1C66"/>
    <w:rsid w:val="009C2FEB"/>
    <w:rsid w:val="009C3D02"/>
    <w:rsid w:val="009C5AAC"/>
    <w:rsid w:val="009C7D4B"/>
    <w:rsid w:val="009C7EF3"/>
    <w:rsid w:val="009D128B"/>
    <w:rsid w:val="009D18C0"/>
    <w:rsid w:val="009D1C60"/>
    <w:rsid w:val="009D2952"/>
    <w:rsid w:val="009D30D7"/>
    <w:rsid w:val="009D3BE6"/>
    <w:rsid w:val="009D4FD7"/>
    <w:rsid w:val="009D594C"/>
    <w:rsid w:val="009E0B4C"/>
    <w:rsid w:val="009E17D0"/>
    <w:rsid w:val="009E2048"/>
    <w:rsid w:val="009E22B5"/>
    <w:rsid w:val="009E2DD1"/>
    <w:rsid w:val="009E53EE"/>
    <w:rsid w:val="009E58E4"/>
    <w:rsid w:val="009F1BE0"/>
    <w:rsid w:val="009F2447"/>
    <w:rsid w:val="009F3358"/>
    <w:rsid w:val="009F3A72"/>
    <w:rsid w:val="009F417E"/>
    <w:rsid w:val="009F6AC7"/>
    <w:rsid w:val="009F7794"/>
    <w:rsid w:val="00A00F94"/>
    <w:rsid w:val="00A0651C"/>
    <w:rsid w:val="00A0689B"/>
    <w:rsid w:val="00A10A17"/>
    <w:rsid w:val="00A11272"/>
    <w:rsid w:val="00A12E97"/>
    <w:rsid w:val="00A1325D"/>
    <w:rsid w:val="00A134EB"/>
    <w:rsid w:val="00A234E0"/>
    <w:rsid w:val="00A26326"/>
    <w:rsid w:val="00A26CE6"/>
    <w:rsid w:val="00A27F3A"/>
    <w:rsid w:val="00A3024E"/>
    <w:rsid w:val="00A31A20"/>
    <w:rsid w:val="00A31FA7"/>
    <w:rsid w:val="00A32364"/>
    <w:rsid w:val="00A33EC9"/>
    <w:rsid w:val="00A3529E"/>
    <w:rsid w:val="00A3670A"/>
    <w:rsid w:val="00A3724E"/>
    <w:rsid w:val="00A37796"/>
    <w:rsid w:val="00A37AF9"/>
    <w:rsid w:val="00A4147F"/>
    <w:rsid w:val="00A46DE2"/>
    <w:rsid w:val="00A47881"/>
    <w:rsid w:val="00A53530"/>
    <w:rsid w:val="00A568F0"/>
    <w:rsid w:val="00A60551"/>
    <w:rsid w:val="00A618F2"/>
    <w:rsid w:val="00A62C33"/>
    <w:rsid w:val="00A67D15"/>
    <w:rsid w:val="00A70404"/>
    <w:rsid w:val="00A70BD1"/>
    <w:rsid w:val="00A71812"/>
    <w:rsid w:val="00A7217E"/>
    <w:rsid w:val="00A74769"/>
    <w:rsid w:val="00A77350"/>
    <w:rsid w:val="00A81118"/>
    <w:rsid w:val="00A84ED5"/>
    <w:rsid w:val="00A861CF"/>
    <w:rsid w:val="00A862E9"/>
    <w:rsid w:val="00A867D6"/>
    <w:rsid w:val="00A87B55"/>
    <w:rsid w:val="00A959A4"/>
    <w:rsid w:val="00A95FCB"/>
    <w:rsid w:val="00A97A4A"/>
    <w:rsid w:val="00AA5486"/>
    <w:rsid w:val="00AA5ABE"/>
    <w:rsid w:val="00AA73C1"/>
    <w:rsid w:val="00AA7E59"/>
    <w:rsid w:val="00AB1C8D"/>
    <w:rsid w:val="00AB2476"/>
    <w:rsid w:val="00AB2BF2"/>
    <w:rsid w:val="00AB35EA"/>
    <w:rsid w:val="00AB4AA6"/>
    <w:rsid w:val="00AB4EAD"/>
    <w:rsid w:val="00AB77E4"/>
    <w:rsid w:val="00AB7FCB"/>
    <w:rsid w:val="00AC09FC"/>
    <w:rsid w:val="00AC11D1"/>
    <w:rsid w:val="00AC23F7"/>
    <w:rsid w:val="00AC5F41"/>
    <w:rsid w:val="00AD25D1"/>
    <w:rsid w:val="00AD468C"/>
    <w:rsid w:val="00AE216C"/>
    <w:rsid w:val="00AE352D"/>
    <w:rsid w:val="00AE3D5D"/>
    <w:rsid w:val="00AE4085"/>
    <w:rsid w:val="00AE4401"/>
    <w:rsid w:val="00AE5D02"/>
    <w:rsid w:val="00AE61BD"/>
    <w:rsid w:val="00AF0B0B"/>
    <w:rsid w:val="00AF4AA5"/>
    <w:rsid w:val="00AF77DE"/>
    <w:rsid w:val="00B01A49"/>
    <w:rsid w:val="00B109A3"/>
    <w:rsid w:val="00B11E90"/>
    <w:rsid w:val="00B12A07"/>
    <w:rsid w:val="00B15514"/>
    <w:rsid w:val="00B158F9"/>
    <w:rsid w:val="00B17CED"/>
    <w:rsid w:val="00B20497"/>
    <w:rsid w:val="00B21983"/>
    <w:rsid w:val="00B21F18"/>
    <w:rsid w:val="00B221EB"/>
    <w:rsid w:val="00B2338B"/>
    <w:rsid w:val="00B25A83"/>
    <w:rsid w:val="00B25FA6"/>
    <w:rsid w:val="00B26225"/>
    <w:rsid w:val="00B26934"/>
    <w:rsid w:val="00B32E5A"/>
    <w:rsid w:val="00B43AEB"/>
    <w:rsid w:val="00B45667"/>
    <w:rsid w:val="00B45C18"/>
    <w:rsid w:val="00B53C41"/>
    <w:rsid w:val="00B6015F"/>
    <w:rsid w:val="00B61147"/>
    <w:rsid w:val="00B62125"/>
    <w:rsid w:val="00B62126"/>
    <w:rsid w:val="00B62713"/>
    <w:rsid w:val="00B64891"/>
    <w:rsid w:val="00B67586"/>
    <w:rsid w:val="00B715B9"/>
    <w:rsid w:val="00B71877"/>
    <w:rsid w:val="00B73B17"/>
    <w:rsid w:val="00B73C28"/>
    <w:rsid w:val="00B74234"/>
    <w:rsid w:val="00B7440D"/>
    <w:rsid w:val="00B74602"/>
    <w:rsid w:val="00B770FE"/>
    <w:rsid w:val="00B85DFF"/>
    <w:rsid w:val="00B874B7"/>
    <w:rsid w:val="00B87C9E"/>
    <w:rsid w:val="00B91798"/>
    <w:rsid w:val="00B91814"/>
    <w:rsid w:val="00B93577"/>
    <w:rsid w:val="00BA0269"/>
    <w:rsid w:val="00BA0B26"/>
    <w:rsid w:val="00BA0EE9"/>
    <w:rsid w:val="00BA6172"/>
    <w:rsid w:val="00BA6CC1"/>
    <w:rsid w:val="00BA7AB3"/>
    <w:rsid w:val="00BA7B2C"/>
    <w:rsid w:val="00BA7C59"/>
    <w:rsid w:val="00BB3A71"/>
    <w:rsid w:val="00BB52D1"/>
    <w:rsid w:val="00BB573D"/>
    <w:rsid w:val="00BB7F54"/>
    <w:rsid w:val="00BC01B8"/>
    <w:rsid w:val="00BC029D"/>
    <w:rsid w:val="00BC1938"/>
    <w:rsid w:val="00BC2F10"/>
    <w:rsid w:val="00BC610A"/>
    <w:rsid w:val="00BD00D1"/>
    <w:rsid w:val="00BD0804"/>
    <w:rsid w:val="00BD1196"/>
    <w:rsid w:val="00BD18FF"/>
    <w:rsid w:val="00BD27C2"/>
    <w:rsid w:val="00BD65EE"/>
    <w:rsid w:val="00BD7EBC"/>
    <w:rsid w:val="00BE058D"/>
    <w:rsid w:val="00BE253B"/>
    <w:rsid w:val="00BE2780"/>
    <w:rsid w:val="00BE728D"/>
    <w:rsid w:val="00BE7495"/>
    <w:rsid w:val="00BE7F8F"/>
    <w:rsid w:val="00BF0672"/>
    <w:rsid w:val="00BF1550"/>
    <w:rsid w:val="00BF21E2"/>
    <w:rsid w:val="00BF3E43"/>
    <w:rsid w:val="00BF4F9A"/>
    <w:rsid w:val="00BF7D0E"/>
    <w:rsid w:val="00BF7D6C"/>
    <w:rsid w:val="00C10509"/>
    <w:rsid w:val="00C108F1"/>
    <w:rsid w:val="00C11B0E"/>
    <w:rsid w:val="00C12E3E"/>
    <w:rsid w:val="00C15A00"/>
    <w:rsid w:val="00C173FD"/>
    <w:rsid w:val="00C21A4B"/>
    <w:rsid w:val="00C21BDD"/>
    <w:rsid w:val="00C25AC5"/>
    <w:rsid w:val="00C3478E"/>
    <w:rsid w:val="00C34E83"/>
    <w:rsid w:val="00C37583"/>
    <w:rsid w:val="00C41016"/>
    <w:rsid w:val="00C42001"/>
    <w:rsid w:val="00C428EA"/>
    <w:rsid w:val="00C42CD6"/>
    <w:rsid w:val="00C442CC"/>
    <w:rsid w:val="00C45349"/>
    <w:rsid w:val="00C454EA"/>
    <w:rsid w:val="00C46066"/>
    <w:rsid w:val="00C46144"/>
    <w:rsid w:val="00C47469"/>
    <w:rsid w:val="00C505AE"/>
    <w:rsid w:val="00C52B50"/>
    <w:rsid w:val="00C624E3"/>
    <w:rsid w:val="00C62AC4"/>
    <w:rsid w:val="00C66974"/>
    <w:rsid w:val="00C66DB1"/>
    <w:rsid w:val="00C670BC"/>
    <w:rsid w:val="00C70EDE"/>
    <w:rsid w:val="00C7140E"/>
    <w:rsid w:val="00C71E51"/>
    <w:rsid w:val="00C7203A"/>
    <w:rsid w:val="00C72060"/>
    <w:rsid w:val="00C74CBC"/>
    <w:rsid w:val="00C762DA"/>
    <w:rsid w:val="00C77777"/>
    <w:rsid w:val="00C77E4C"/>
    <w:rsid w:val="00C85ECA"/>
    <w:rsid w:val="00C861A9"/>
    <w:rsid w:val="00C870C1"/>
    <w:rsid w:val="00CA1C69"/>
    <w:rsid w:val="00CA2893"/>
    <w:rsid w:val="00CA393B"/>
    <w:rsid w:val="00CA3BCB"/>
    <w:rsid w:val="00CA5D9E"/>
    <w:rsid w:val="00CA5EA7"/>
    <w:rsid w:val="00CA7296"/>
    <w:rsid w:val="00CB2110"/>
    <w:rsid w:val="00CB6E2B"/>
    <w:rsid w:val="00CC28AB"/>
    <w:rsid w:val="00CC2C53"/>
    <w:rsid w:val="00CC3C9A"/>
    <w:rsid w:val="00CC5611"/>
    <w:rsid w:val="00CD2629"/>
    <w:rsid w:val="00CD3D78"/>
    <w:rsid w:val="00CD65B1"/>
    <w:rsid w:val="00CD7032"/>
    <w:rsid w:val="00CD7080"/>
    <w:rsid w:val="00CD70E8"/>
    <w:rsid w:val="00CD788A"/>
    <w:rsid w:val="00CE4FC7"/>
    <w:rsid w:val="00CE5ABB"/>
    <w:rsid w:val="00CE6F7F"/>
    <w:rsid w:val="00CE7B9B"/>
    <w:rsid w:val="00CF35A8"/>
    <w:rsid w:val="00CF5574"/>
    <w:rsid w:val="00CF65DD"/>
    <w:rsid w:val="00CF77DF"/>
    <w:rsid w:val="00D0319E"/>
    <w:rsid w:val="00D03363"/>
    <w:rsid w:val="00D04066"/>
    <w:rsid w:val="00D06317"/>
    <w:rsid w:val="00D06CB0"/>
    <w:rsid w:val="00D07670"/>
    <w:rsid w:val="00D104E8"/>
    <w:rsid w:val="00D11AF7"/>
    <w:rsid w:val="00D12EAC"/>
    <w:rsid w:val="00D13805"/>
    <w:rsid w:val="00D141C9"/>
    <w:rsid w:val="00D143D7"/>
    <w:rsid w:val="00D22BF7"/>
    <w:rsid w:val="00D25EB8"/>
    <w:rsid w:val="00D26229"/>
    <w:rsid w:val="00D276C0"/>
    <w:rsid w:val="00D276C9"/>
    <w:rsid w:val="00D27DFE"/>
    <w:rsid w:val="00D3039F"/>
    <w:rsid w:val="00D30E88"/>
    <w:rsid w:val="00D32B08"/>
    <w:rsid w:val="00D37130"/>
    <w:rsid w:val="00D42C23"/>
    <w:rsid w:val="00D42EDB"/>
    <w:rsid w:val="00D435DB"/>
    <w:rsid w:val="00D43B13"/>
    <w:rsid w:val="00D447B2"/>
    <w:rsid w:val="00D46F69"/>
    <w:rsid w:val="00D47035"/>
    <w:rsid w:val="00D5198D"/>
    <w:rsid w:val="00D521AE"/>
    <w:rsid w:val="00D63942"/>
    <w:rsid w:val="00D63AF2"/>
    <w:rsid w:val="00D6473B"/>
    <w:rsid w:val="00D65132"/>
    <w:rsid w:val="00D66980"/>
    <w:rsid w:val="00D66A7C"/>
    <w:rsid w:val="00D66AEE"/>
    <w:rsid w:val="00D710D7"/>
    <w:rsid w:val="00D720A5"/>
    <w:rsid w:val="00D72D1D"/>
    <w:rsid w:val="00D7687B"/>
    <w:rsid w:val="00D80111"/>
    <w:rsid w:val="00D8434A"/>
    <w:rsid w:val="00D87535"/>
    <w:rsid w:val="00D906DE"/>
    <w:rsid w:val="00D96A08"/>
    <w:rsid w:val="00DA3C42"/>
    <w:rsid w:val="00DA54C3"/>
    <w:rsid w:val="00DA57EA"/>
    <w:rsid w:val="00DA6F42"/>
    <w:rsid w:val="00DB0512"/>
    <w:rsid w:val="00DB06A2"/>
    <w:rsid w:val="00DB11FD"/>
    <w:rsid w:val="00DB2849"/>
    <w:rsid w:val="00DB58B5"/>
    <w:rsid w:val="00DB70AE"/>
    <w:rsid w:val="00DB7476"/>
    <w:rsid w:val="00DC2BE9"/>
    <w:rsid w:val="00DC342B"/>
    <w:rsid w:val="00DC373F"/>
    <w:rsid w:val="00DC6E76"/>
    <w:rsid w:val="00DD0E47"/>
    <w:rsid w:val="00DD3375"/>
    <w:rsid w:val="00DD51CB"/>
    <w:rsid w:val="00DE050A"/>
    <w:rsid w:val="00DE437F"/>
    <w:rsid w:val="00DE4728"/>
    <w:rsid w:val="00DE5BCE"/>
    <w:rsid w:val="00DF4503"/>
    <w:rsid w:val="00DF74BC"/>
    <w:rsid w:val="00E03CD9"/>
    <w:rsid w:val="00E0471F"/>
    <w:rsid w:val="00E04EBC"/>
    <w:rsid w:val="00E07DDD"/>
    <w:rsid w:val="00E10D0A"/>
    <w:rsid w:val="00E1301A"/>
    <w:rsid w:val="00E136F7"/>
    <w:rsid w:val="00E14007"/>
    <w:rsid w:val="00E151DA"/>
    <w:rsid w:val="00E23901"/>
    <w:rsid w:val="00E2570F"/>
    <w:rsid w:val="00E31C1C"/>
    <w:rsid w:val="00E32A50"/>
    <w:rsid w:val="00E342E5"/>
    <w:rsid w:val="00E37F6F"/>
    <w:rsid w:val="00E41E86"/>
    <w:rsid w:val="00E4628F"/>
    <w:rsid w:val="00E46755"/>
    <w:rsid w:val="00E50AF1"/>
    <w:rsid w:val="00E53E08"/>
    <w:rsid w:val="00E55191"/>
    <w:rsid w:val="00E57438"/>
    <w:rsid w:val="00E600C5"/>
    <w:rsid w:val="00E6097F"/>
    <w:rsid w:val="00E60C43"/>
    <w:rsid w:val="00E615E8"/>
    <w:rsid w:val="00E62C39"/>
    <w:rsid w:val="00E648F1"/>
    <w:rsid w:val="00E65EC8"/>
    <w:rsid w:val="00E66AD1"/>
    <w:rsid w:val="00E70ABA"/>
    <w:rsid w:val="00E7114D"/>
    <w:rsid w:val="00E72351"/>
    <w:rsid w:val="00E72BE2"/>
    <w:rsid w:val="00E7365D"/>
    <w:rsid w:val="00E74983"/>
    <w:rsid w:val="00E75382"/>
    <w:rsid w:val="00E75842"/>
    <w:rsid w:val="00E777EC"/>
    <w:rsid w:val="00E80170"/>
    <w:rsid w:val="00E81F76"/>
    <w:rsid w:val="00E8384B"/>
    <w:rsid w:val="00E83E98"/>
    <w:rsid w:val="00E8480F"/>
    <w:rsid w:val="00E9284D"/>
    <w:rsid w:val="00EA1A14"/>
    <w:rsid w:val="00EA66CC"/>
    <w:rsid w:val="00EB0DF5"/>
    <w:rsid w:val="00EC0362"/>
    <w:rsid w:val="00EC0693"/>
    <w:rsid w:val="00EC0D08"/>
    <w:rsid w:val="00EC3FF1"/>
    <w:rsid w:val="00EC4A0A"/>
    <w:rsid w:val="00EC4A9B"/>
    <w:rsid w:val="00EC5267"/>
    <w:rsid w:val="00EC5EE6"/>
    <w:rsid w:val="00EC7330"/>
    <w:rsid w:val="00ED03AD"/>
    <w:rsid w:val="00ED0C59"/>
    <w:rsid w:val="00ED110E"/>
    <w:rsid w:val="00ED2B5E"/>
    <w:rsid w:val="00ED4D3A"/>
    <w:rsid w:val="00ED78EE"/>
    <w:rsid w:val="00EE0ABC"/>
    <w:rsid w:val="00EE0BF0"/>
    <w:rsid w:val="00EE3CE0"/>
    <w:rsid w:val="00EE3D6E"/>
    <w:rsid w:val="00EE449D"/>
    <w:rsid w:val="00EE4951"/>
    <w:rsid w:val="00EE517B"/>
    <w:rsid w:val="00EE7345"/>
    <w:rsid w:val="00EF044D"/>
    <w:rsid w:val="00EF1A60"/>
    <w:rsid w:val="00EF470E"/>
    <w:rsid w:val="00EF4EA3"/>
    <w:rsid w:val="00EF5AD5"/>
    <w:rsid w:val="00EF6715"/>
    <w:rsid w:val="00F02B30"/>
    <w:rsid w:val="00F02E92"/>
    <w:rsid w:val="00F051F3"/>
    <w:rsid w:val="00F0560A"/>
    <w:rsid w:val="00F130CE"/>
    <w:rsid w:val="00F13C7E"/>
    <w:rsid w:val="00F141D0"/>
    <w:rsid w:val="00F153B5"/>
    <w:rsid w:val="00F15B0B"/>
    <w:rsid w:val="00F15BF4"/>
    <w:rsid w:val="00F16626"/>
    <w:rsid w:val="00F20434"/>
    <w:rsid w:val="00F2284B"/>
    <w:rsid w:val="00F33261"/>
    <w:rsid w:val="00F33658"/>
    <w:rsid w:val="00F35CCE"/>
    <w:rsid w:val="00F36CBD"/>
    <w:rsid w:val="00F40887"/>
    <w:rsid w:val="00F4119E"/>
    <w:rsid w:val="00F414F7"/>
    <w:rsid w:val="00F42487"/>
    <w:rsid w:val="00F443E3"/>
    <w:rsid w:val="00F44D25"/>
    <w:rsid w:val="00F478B4"/>
    <w:rsid w:val="00F5017A"/>
    <w:rsid w:val="00F56F48"/>
    <w:rsid w:val="00F64EF4"/>
    <w:rsid w:val="00F65DDC"/>
    <w:rsid w:val="00F7091A"/>
    <w:rsid w:val="00F73349"/>
    <w:rsid w:val="00F74D1D"/>
    <w:rsid w:val="00F75322"/>
    <w:rsid w:val="00F759FA"/>
    <w:rsid w:val="00F75A3D"/>
    <w:rsid w:val="00F76960"/>
    <w:rsid w:val="00F76F9B"/>
    <w:rsid w:val="00F772C1"/>
    <w:rsid w:val="00F810DB"/>
    <w:rsid w:val="00F82BA5"/>
    <w:rsid w:val="00F858FD"/>
    <w:rsid w:val="00F868F7"/>
    <w:rsid w:val="00F87E98"/>
    <w:rsid w:val="00F94497"/>
    <w:rsid w:val="00F954EA"/>
    <w:rsid w:val="00F95B17"/>
    <w:rsid w:val="00FA0FCE"/>
    <w:rsid w:val="00FA206D"/>
    <w:rsid w:val="00FA2531"/>
    <w:rsid w:val="00FA33ED"/>
    <w:rsid w:val="00FA6D95"/>
    <w:rsid w:val="00FA7DD2"/>
    <w:rsid w:val="00FB693A"/>
    <w:rsid w:val="00FB6956"/>
    <w:rsid w:val="00FB7024"/>
    <w:rsid w:val="00FB72A5"/>
    <w:rsid w:val="00FC30F3"/>
    <w:rsid w:val="00FC7E4E"/>
    <w:rsid w:val="00FD29C8"/>
    <w:rsid w:val="00FD467E"/>
    <w:rsid w:val="00FD78AF"/>
    <w:rsid w:val="00FE13DF"/>
    <w:rsid w:val="00FE51DD"/>
    <w:rsid w:val="00FF18A2"/>
    <w:rsid w:val="00FF4A95"/>
    <w:rsid w:val="00FF658E"/>
    <w:rsid w:val="00FF7118"/>
    <w:rsid w:val="1C782A98"/>
    <w:rsid w:val="29B670DF"/>
    <w:rsid w:val="2AC5334C"/>
    <w:rsid w:val="42BF647C"/>
    <w:rsid w:val="4C575977"/>
    <w:rsid w:val="642A77A1"/>
    <w:rsid w:val="729D3834"/>
    <w:rsid w:val="72D66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BFC5DA"/>
  <w15:docId w15:val="{8884AC53-4006-4A7C-A7B9-649060A5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rPr>
  </w:style>
  <w:style w:type="paragraph" w:styleId="a4">
    <w:name w:val="Body Text"/>
    <w:basedOn w:val="a"/>
    <w:link w:val="a5"/>
    <w:autoRedefine/>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paragraph" w:styleId="a6">
    <w:name w:val="footer"/>
    <w:basedOn w:val="a"/>
    <w:link w:val="a7"/>
    <w:uiPriority w:val="99"/>
    <w:unhideWhenUsed/>
    <w:pPr>
      <w:tabs>
        <w:tab w:val="center" w:pos="4153"/>
        <w:tab w:val="right" w:pos="8306"/>
      </w:tabs>
      <w:snapToGrid w:val="0"/>
      <w:jc w:val="left"/>
    </w:pPr>
    <w:rPr>
      <w:sz w:val="18"/>
      <w:szCs w:val="18"/>
    </w:rPr>
  </w:style>
  <w:style w:type="paragraph" w:styleId="a8">
    <w:name w:val="header"/>
    <w:basedOn w:val="a"/>
    <w:link w:val="a9"/>
    <w:uiPriority w:val="99"/>
    <w:unhideWhenUsed/>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paragraph" w:styleId="ac">
    <w:name w:val="List Paragraph"/>
    <w:basedOn w:val="a"/>
    <w:uiPriority w:val="34"/>
    <w:qFormat/>
    <w:pPr>
      <w:ind w:firstLineChars="200" w:firstLine="420"/>
    </w:pPr>
  </w:style>
  <w:style w:type="character" w:customStyle="1" w:styleId="a9">
    <w:name w:val="页眉 字符"/>
    <w:basedOn w:val="a0"/>
    <w:link w:val="a8"/>
    <w:uiPriority w:val="99"/>
    <w:rPr>
      <w:rFonts w:ascii="Times New Roman" w:eastAsia="宋体" w:hAnsi="Times New Roman" w:cs="Times New Roman"/>
      <w:sz w:val="18"/>
      <w:szCs w:val="18"/>
    </w:rPr>
  </w:style>
  <w:style w:type="character" w:customStyle="1" w:styleId="a7">
    <w:name w:val="页脚 字符"/>
    <w:basedOn w:val="a0"/>
    <w:link w:val="a6"/>
    <w:uiPriority w:val="99"/>
    <w:rPr>
      <w:rFonts w:ascii="Times New Roman" w:eastAsia="宋体" w:hAnsi="Times New Roman" w:cs="Times New Roman"/>
      <w:sz w:val="18"/>
      <w:szCs w:val="18"/>
    </w:rPr>
  </w:style>
  <w:style w:type="character" w:customStyle="1" w:styleId="a5">
    <w:name w:val="正文文本 字符"/>
    <w:basedOn w:val="a0"/>
    <w:link w:val="a4"/>
    <w:semiHidden/>
    <w:qFormat/>
    <w:rPr>
      <w:rFonts w:ascii="Arial" w:eastAsia="Arial" w:hAnsi="Arial" w:cs="Arial"/>
      <w:snapToGrid w:val="0"/>
      <w:color w:val="000000"/>
      <w:kern w:val="0"/>
      <w:szCs w:val="21"/>
      <w:lang w:eastAsia="en-US"/>
    </w:rPr>
  </w:style>
  <w:style w:type="character" w:customStyle="1" w:styleId="w-text-emphasis">
    <w:name w:val="w-text-emphasis"/>
    <w:basedOn w:val="a0"/>
  </w:style>
  <w:style w:type="paragraph" w:styleId="ad">
    <w:name w:val="Normal (Web)"/>
    <w:basedOn w:val="a"/>
    <w:uiPriority w:val="99"/>
    <w:semiHidden/>
    <w:unhideWhenUsed/>
    <w:rsid w:val="00FA206D"/>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8302">
      <w:bodyDiv w:val="1"/>
      <w:marLeft w:val="0"/>
      <w:marRight w:val="0"/>
      <w:marTop w:val="0"/>
      <w:marBottom w:val="0"/>
      <w:divBdr>
        <w:top w:val="none" w:sz="0" w:space="0" w:color="auto"/>
        <w:left w:val="none" w:sz="0" w:space="0" w:color="auto"/>
        <w:bottom w:val="none" w:sz="0" w:space="0" w:color="auto"/>
        <w:right w:val="none" w:sz="0" w:space="0" w:color="auto"/>
      </w:divBdr>
    </w:div>
    <w:div w:id="98718973">
      <w:bodyDiv w:val="1"/>
      <w:marLeft w:val="0"/>
      <w:marRight w:val="0"/>
      <w:marTop w:val="0"/>
      <w:marBottom w:val="0"/>
      <w:divBdr>
        <w:top w:val="none" w:sz="0" w:space="0" w:color="auto"/>
        <w:left w:val="none" w:sz="0" w:space="0" w:color="auto"/>
        <w:bottom w:val="none" w:sz="0" w:space="0" w:color="auto"/>
        <w:right w:val="none" w:sz="0" w:space="0" w:color="auto"/>
      </w:divBdr>
      <w:divsChild>
        <w:div w:id="787314510">
          <w:marLeft w:val="446"/>
          <w:marRight w:val="0"/>
          <w:marTop w:val="0"/>
          <w:marBottom w:val="0"/>
          <w:divBdr>
            <w:top w:val="none" w:sz="0" w:space="0" w:color="auto"/>
            <w:left w:val="none" w:sz="0" w:space="0" w:color="auto"/>
            <w:bottom w:val="none" w:sz="0" w:space="0" w:color="auto"/>
            <w:right w:val="none" w:sz="0" w:space="0" w:color="auto"/>
          </w:divBdr>
        </w:div>
      </w:divsChild>
    </w:div>
    <w:div w:id="374626452">
      <w:bodyDiv w:val="1"/>
      <w:marLeft w:val="0"/>
      <w:marRight w:val="0"/>
      <w:marTop w:val="0"/>
      <w:marBottom w:val="0"/>
      <w:divBdr>
        <w:top w:val="none" w:sz="0" w:space="0" w:color="auto"/>
        <w:left w:val="none" w:sz="0" w:space="0" w:color="auto"/>
        <w:bottom w:val="none" w:sz="0" w:space="0" w:color="auto"/>
        <w:right w:val="none" w:sz="0" w:space="0" w:color="auto"/>
      </w:divBdr>
      <w:divsChild>
        <w:div w:id="425460797">
          <w:marLeft w:val="446"/>
          <w:marRight w:val="0"/>
          <w:marTop w:val="0"/>
          <w:marBottom w:val="0"/>
          <w:divBdr>
            <w:top w:val="none" w:sz="0" w:space="0" w:color="auto"/>
            <w:left w:val="none" w:sz="0" w:space="0" w:color="auto"/>
            <w:bottom w:val="none" w:sz="0" w:space="0" w:color="auto"/>
            <w:right w:val="none" w:sz="0" w:space="0" w:color="auto"/>
          </w:divBdr>
        </w:div>
      </w:divsChild>
    </w:div>
    <w:div w:id="614559250">
      <w:bodyDiv w:val="1"/>
      <w:marLeft w:val="0"/>
      <w:marRight w:val="0"/>
      <w:marTop w:val="0"/>
      <w:marBottom w:val="0"/>
      <w:divBdr>
        <w:top w:val="none" w:sz="0" w:space="0" w:color="auto"/>
        <w:left w:val="none" w:sz="0" w:space="0" w:color="auto"/>
        <w:bottom w:val="none" w:sz="0" w:space="0" w:color="auto"/>
        <w:right w:val="none" w:sz="0" w:space="0" w:color="auto"/>
      </w:divBdr>
    </w:div>
    <w:div w:id="628900377">
      <w:bodyDiv w:val="1"/>
      <w:marLeft w:val="0"/>
      <w:marRight w:val="0"/>
      <w:marTop w:val="0"/>
      <w:marBottom w:val="0"/>
      <w:divBdr>
        <w:top w:val="none" w:sz="0" w:space="0" w:color="auto"/>
        <w:left w:val="none" w:sz="0" w:space="0" w:color="auto"/>
        <w:bottom w:val="none" w:sz="0" w:space="0" w:color="auto"/>
        <w:right w:val="none" w:sz="0" w:space="0" w:color="auto"/>
      </w:divBdr>
      <w:divsChild>
        <w:div w:id="497304205">
          <w:marLeft w:val="0"/>
          <w:marRight w:val="0"/>
          <w:marTop w:val="0"/>
          <w:marBottom w:val="0"/>
          <w:divBdr>
            <w:top w:val="none" w:sz="0" w:space="0" w:color="auto"/>
            <w:left w:val="none" w:sz="0" w:space="0" w:color="auto"/>
            <w:bottom w:val="none" w:sz="0" w:space="0" w:color="auto"/>
            <w:right w:val="none" w:sz="0" w:space="0" w:color="auto"/>
          </w:divBdr>
          <w:divsChild>
            <w:div w:id="9068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98486">
      <w:bodyDiv w:val="1"/>
      <w:marLeft w:val="0"/>
      <w:marRight w:val="0"/>
      <w:marTop w:val="0"/>
      <w:marBottom w:val="0"/>
      <w:divBdr>
        <w:top w:val="none" w:sz="0" w:space="0" w:color="auto"/>
        <w:left w:val="none" w:sz="0" w:space="0" w:color="auto"/>
        <w:bottom w:val="none" w:sz="0" w:space="0" w:color="auto"/>
        <w:right w:val="none" w:sz="0" w:space="0" w:color="auto"/>
      </w:divBdr>
    </w:div>
    <w:div w:id="932125612">
      <w:bodyDiv w:val="1"/>
      <w:marLeft w:val="0"/>
      <w:marRight w:val="0"/>
      <w:marTop w:val="0"/>
      <w:marBottom w:val="0"/>
      <w:divBdr>
        <w:top w:val="none" w:sz="0" w:space="0" w:color="auto"/>
        <w:left w:val="none" w:sz="0" w:space="0" w:color="auto"/>
        <w:bottom w:val="none" w:sz="0" w:space="0" w:color="auto"/>
        <w:right w:val="none" w:sz="0" w:space="0" w:color="auto"/>
      </w:divBdr>
      <w:divsChild>
        <w:div w:id="1882860832">
          <w:marLeft w:val="446"/>
          <w:marRight w:val="0"/>
          <w:marTop w:val="0"/>
          <w:marBottom w:val="0"/>
          <w:divBdr>
            <w:top w:val="none" w:sz="0" w:space="0" w:color="auto"/>
            <w:left w:val="none" w:sz="0" w:space="0" w:color="auto"/>
            <w:bottom w:val="none" w:sz="0" w:space="0" w:color="auto"/>
            <w:right w:val="none" w:sz="0" w:space="0" w:color="auto"/>
          </w:divBdr>
        </w:div>
      </w:divsChild>
    </w:div>
    <w:div w:id="1030255468">
      <w:bodyDiv w:val="1"/>
      <w:marLeft w:val="0"/>
      <w:marRight w:val="0"/>
      <w:marTop w:val="0"/>
      <w:marBottom w:val="0"/>
      <w:divBdr>
        <w:top w:val="none" w:sz="0" w:space="0" w:color="auto"/>
        <w:left w:val="none" w:sz="0" w:space="0" w:color="auto"/>
        <w:bottom w:val="none" w:sz="0" w:space="0" w:color="auto"/>
        <w:right w:val="none" w:sz="0" w:space="0" w:color="auto"/>
      </w:divBdr>
    </w:div>
    <w:div w:id="1034111803">
      <w:bodyDiv w:val="1"/>
      <w:marLeft w:val="0"/>
      <w:marRight w:val="0"/>
      <w:marTop w:val="0"/>
      <w:marBottom w:val="0"/>
      <w:divBdr>
        <w:top w:val="none" w:sz="0" w:space="0" w:color="auto"/>
        <w:left w:val="none" w:sz="0" w:space="0" w:color="auto"/>
        <w:bottom w:val="none" w:sz="0" w:space="0" w:color="auto"/>
        <w:right w:val="none" w:sz="0" w:space="0" w:color="auto"/>
      </w:divBdr>
    </w:div>
    <w:div w:id="1365785262">
      <w:bodyDiv w:val="1"/>
      <w:marLeft w:val="0"/>
      <w:marRight w:val="0"/>
      <w:marTop w:val="0"/>
      <w:marBottom w:val="0"/>
      <w:divBdr>
        <w:top w:val="none" w:sz="0" w:space="0" w:color="auto"/>
        <w:left w:val="none" w:sz="0" w:space="0" w:color="auto"/>
        <w:bottom w:val="none" w:sz="0" w:space="0" w:color="auto"/>
        <w:right w:val="none" w:sz="0" w:space="0" w:color="auto"/>
      </w:divBdr>
      <w:divsChild>
        <w:div w:id="777481242">
          <w:marLeft w:val="446"/>
          <w:marRight w:val="0"/>
          <w:marTop w:val="0"/>
          <w:marBottom w:val="0"/>
          <w:divBdr>
            <w:top w:val="none" w:sz="0" w:space="0" w:color="auto"/>
            <w:left w:val="none" w:sz="0" w:space="0" w:color="auto"/>
            <w:bottom w:val="none" w:sz="0" w:space="0" w:color="auto"/>
            <w:right w:val="none" w:sz="0" w:space="0" w:color="auto"/>
          </w:divBdr>
        </w:div>
      </w:divsChild>
    </w:div>
    <w:div w:id="1398934465">
      <w:bodyDiv w:val="1"/>
      <w:marLeft w:val="0"/>
      <w:marRight w:val="0"/>
      <w:marTop w:val="0"/>
      <w:marBottom w:val="0"/>
      <w:divBdr>
        <w:top w:val="none" w:sz="0" w:space="0" w:color="auto"/>
        <w:left w:val="none" w:sz="0" w:space="0" w:color="auto"/>
        <w:bottom w:val="none" w:sz="0" w:space="0" w:color="auto"/>
        <w:right w:val="none" w:sz="0" w:space="0" w:color="auto"/>
      </w:divBdr>
    </w:div>
    <w:div w:id="1405100793">
      <w:bodyDiv w:val="1"/>
      <w:marLeft w:val="0"/>
      <w:marRight w:val="0"/>
      <w:marTop w:val="0"/>
      <w:marBottom w:val="0"/>
      <w:divBdr>
        <w:top w:val="none" w:sz="0" w:space="0" w:color="auto"/>
        <w:left w:val="none" w:sz="0" w:space="0" w:color="auto"/>
        <w:bottom w:val="none" w:sz="0" w:space="0" w:color="auto"/>
        <w:right w:val="none" w:sz="0" w:space="0" w:color="auto"/>
      </w:divBdr>
    </w:div>
    <w:div w:id="1537694005">
      <w:bodyDiv w:val="1"/>
      <w:marLeft w:val="0"/>
      <w:marRight w:val="0"/>
      <w:marTop w:val="0"/>
      <w:marBottom w:val="0"/>
      <w:divBdr>
        <w:top w:val="none" w:sz="0" w:space="0" w:color="auto"/>
        <w:left w:val="none" w:sz="0" w:space="0" w:color="auto"/>
        <w:bottom w:val="none" w:sz="0" w:space="0" w:color="auto"/>
        <w:right w:val="none" w:sz="0" w:space="0" w:color="auto"/>
      </w:divBdr>
    </w:div>
    <w:div w:id="1646081121">
      <w:bodyDiv w:val="1"/>
      <w:marLeft w:val="0"/>
      <w:marRight w:val="0"/>
      <w:marTop w:val="0"/>
      <w:marBottom w:val="0"/>
      <w:divBdr>
        <w:top w:val="none" w:sz="0" w:space="0" w:color="auto"/>
        <w:left w:val="none" w:sz="0" w:space="0" w:color="auto"/>
        <w:bottom w:val="none" w:sz="0" w:space="0" w:color="auto"/>
        <w:right w:val="none" w:sz="0" w:space="0" w:color="auto"/>
      </w:divBdr>
      <w:divsChild>
        <w:div w:id="895581519">
          <w:marLeft w:val="446"/>
          <w:marRight w:val="0"/>
          <w:marTop w:val="0"/>
          <w:marBottom w:val="0"/>
          <w:divBdr>
            <w:top w:val="none" w:sz="0" w:space="0" w:color="auto"/>
            <w:left w:val="none" w:sz="0" w:space="0" w:color="auto"/>
            <w:bottom w:val="none" w:sz="0" w:space="0" w:color="auto"/>
            <w:right w:val="none" w:sz="0" w:space="0" w:color="auto"/>
          </w:divBdr>
        </w:div>
      </w:divsChild>
    </w:div>
    <w:div w:id="1813716519">
      <w:bodyDiv w:val="1"/>
      <w:marLeft w:val="0"/>
      <w:marRight w:val="0"/>
      <w:marTop w:val="0"/>
      <w:marBottom w:val="0"/>
      <w:divBdr>
        <w:top w:val="none" w:sz="0" w:space="0" w:color="auto"/>
        <w:left w:val="none" w:sz="0" w:space="0" w:color="auto"/>
        <w:bottom w:val="none" w:sz="0" w:space="0" w:color="auto"/>
        <w:right w:val="none" w:sz="0" w:space="0" w:color="auto"/>
      </w:divBdr>
    </w:div>
    <w:div w:id="1838154266">
      <w:bodyDiv w:val="1"/>
      <w:marLeft w:val="0"/>
      <w:marRight w:val="0"/>
      <w:marTop w:val="0"/>
      <w:marBottom w:val="0"/>
      <w:divBdr>
        <w:top w:val="none" w:sz="0" w:space="0" w:color="auto"/>
        <w:left w:val="none" w:sz="0" w:space="0" w:color="auto"/>
        <w:bottom w:val="none" w:sz="0" w:space="0" w:color="auto"/>
        <w:right w:val="none" w:sz="0" w:space="0" w:color="auto"/>
      </w:divBdr>
      <w:divsChild>
        <w:div w:id="1594633465">
          <w:marLeft w:val="446"/>
          <w:marRight w:val="0"/>
          <w:marTop w:val="0"/>
          <w:marBottom w:val="0"/>
          <w:divBdr>
            <w:top w:val="none" w:sz="0" w:space="0" w:color="auto"/>
            <w:left w:val="none" w:sz="0" w:space="0" w:color="auto"/>
            <w:bottom w:val="none" w:sz="0" w:space="0" w:color="auto"/>
            <w:right w:val="none" w:sz="0" w:space="0" w:color="auto"/>
          </w:divBdr>
        </w:div>
      </w:divsChild>
    </w:div>
    <w:div w:id="1992520210">
      <w:bodyDiv w:val="1"/>
      <w:marLeft w:val="0"/>
      <w:marRight w:val="0"/>
      <w:marTop w:val="0"/>
      <w:marBottom w:val="0"/>
      <w:divBdr>
        <w:top w:val="none" w:sz="0" w:space="0" w:color="auto"/>
        <w:left w:val="none" w:sz="0" w:space="0" w:color="auto"/>
        <w:bottom w:val="none" w:sz="0" w:space="0" w:color="auto"/>
        <w:right w:val="none" w:sz="0" w:space="0" w:color="auto"/>
      </w:divBdr>
      <w:divsChild>
        <w:div w:id="113792109">
          <w:marLeft w:val="446"/>
          <w:marRight w:val="0"/>
          <w:marTop w:val="0"/>
          <w:marBottom w:val="0"/>
          <w:divBdr>
            <w:top w:val="none" w:sz="0" w:space="0" w:color="auto"/>
            <w:left w:val="none" w:sz="0" w:space="0" w:color="auto"/>
            <w:bottom w:val="none" w:sz="0" w:space="0" w:color="auto"/>
            <w:right w:val="none" w:sz="0" w:space="0" w:color="auto"/>
          </w:divBdr>
        </w:div>
      </w:divsChild>
    </w:div>
    <w:div w:id="2037458471">
      <w:bodyDiv w:val="1"/>
      <w:marLeft w:val="0"/>
      <w:marRight w:val="0"/>
      <w:marTop w:val="0"/>
      <w:marBottom w:val="0"/>
      <w:divBdr>
        <w:top w:val="none" w:sz="0" w:space="0" w:color="auto"/>
        <w:left w:val="none" w:sz="0" w:space="0" w:color="auto"/>
        <w:bottom w:val="none" w:sz="0" w:space="0" w:color="auto"/>
        <w:right w:val="none" w:sz="0" w:space="0" w:color="auto"/>
      </w:divBdr>
    </w:div>
    <w:div w:id="2117360078">
      <w:bodyDiv w:val="1"/>
      <w:marLeft w:val="0"/>
      <w:marRight w:val="0"/>
      <w:marTop w:val="0"/>
      <w:marBottom w:val="0"/>
      <w:divBdr>
        <w:top w:val="none" w:sz="0" w:space="0" w:color="auto"/>
        <w:left w:val="none" w:sz="0" w:space="0" w:color="auto"/>
        <w:bottom w:val="none" w:sz="0" w:space="0" w:color="auto"/>
        <w:right w:val="none" w:sz="0" w:space="0" w:color="auto"/>
      </w:divBdr>
    </w:div>
    <w:div w:id="2137674955">
      <w:bodyDiv w:val="1"/>
      <w:marLeft w:val="0"/>
      <w:marRight w:val="0"/>
      <w:marTop w:val="0"/>
      <w:marBottom w:val="0"/>
      <w:divBdr>
        <w:top w:val="none" w:sz="0" w:space="0" w:color="auto"/>
        <w:left w:val="none" w:sz="0" w:space="0" w:color="auto"/>
        <w:bottom w:val="none" w:sz="0" w:space="0" w:color="auto"/>
        <w:right w:val="none" w:sz="0" w:space="0" w:color="auto"/>
      </w:divBdr>
      <w:divsChild>
        <w:div w:id="4833978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D:\&#36825;&#25165;&#26159;&#30495;&#26700;&#38754;\&#20154;&#27665;&#24065;&#21608;&#25253;\&#30456;&#20851;&#22270;&#349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'价差 IFIND'!$D$3</c:f>
              <c:strCache>
                <c:ptCount val="1"/>
                <c:pt idx="0">
                  <c:v>价差(右轴）</c:v>
                </c:pt>
              </c:strCache>
            </c:strRef>
          </c:tx>
          <c:spPr>
            <a:solidFill>
              <a:schemeClr val="accent3"/>
            </a:solidFill>
            <a:ln>
              <a:noFill/>
            </a:ln>
            <a:effectLst/>
          </c:spPr>
          <c:invertIfNegative val="0"/>
          <c:cat>
            <c:numRef>
              <c:f>'价差 IFIND'!$A$4:$A$10</c:f>
              <c:numCache>
                <c:formatCode>yyyy\-mm\-dd;@</c:formatCode>
                <c:ptCount val="7"/>
                <c:pt idx="0">
                  <c:v>46307</c:v>
                </c:pt>
                <c:pt idx="1">
                  <c:v>46306</c:v>
                </c:pt>
                <c:pt idx="2">
                  <c:v>46305</c:v>
                </c:pt>
                <c:pt idx="3">
                  <c:v>46304</c:v>
                </c:pt>
                <c:pt idx="4">
                  <c:v>46303</c:v>
                </c:pt>
                <c:pt idx="5">
                  <c:v>46302</c:v>
                </c:pt>
                <c:pt idx="6">
                  <c:v>46301</c:v>
                </c:pt>
              </c:numCache>
            </c:numRef>
          </c:cat>
          <c:val>
            <c:numRef>
              <c:f>'价差 IFIND'!$D$4:$D$10</c:f>
              <c:numCache>
                <c:formatCode>#,##0.0000_ </c:formatCode>
                <c:ptCount val="7"/>
                <c:pt idx="0">
                  <c:v>-3.0411282623825642E-3</c:v>
                </c:pt>
                <c:pt idx="1">
                  <c:v>5.59376419377422E-3</c:v>
                </c:pt>
                <c:pt idx="2">
                  <c:v>1.4988675986913336E-2</c:v>
                </c:pt>
                <c:pt idx="3">
                  <c:v>3.7770505893144346E-3</c:v>
                </c:pt>
                <c:pt idx="4">
                  <c:v>-1.2813007905556617E-3</c:v>
                </c:pt>
                <c:pt idx="5">
                  <c:v>-9.1207601126797044E-5</c:v>
                </c:pt>
                <c:pt idx="6">
                  <c:v>2.5495700954394351E-3</c:v>
                </c:pt>
              </c:numCache>
            </c:numRef>
          </c:val>
          <c:extLst>
            <c:ext xmlns:c16="http://schemas.microsoft.com/office/drawing/2014/chart" uri="{C3380CC4-5D6E-409C-BE32-E72D297353CC}">
              <c16:uniqueId val="{00000000-E519-4F74-B047-832E333328C4}"/>
            </c:ext>
          </c:extLst>
        </c:ser>
        <c:dLbls>
          <c:showLegendKey val="0"/>
          <c:showVal val="0"/>
          <c:showCatName val="0"/>
          <c:showSerName val="0"/>
          <c:showPercent val="0"/>
          <c:showBubbleSize val="0"/>
        </c:dLbls>
        <c:gapWidth val="219"/>
        <c:axId val="1082741807"/>
        <c:axId val="1082752623"/>
      </c:barChart>
      <c:lineChart>
        <c:grouping val="standard"/>
        <c:varyColors val="0"/>
        <c:ser>
          <c:idx val="0"/>
          <c:order val="0"/>
          <c:tx>
            <c:strRef>
              <c:f>'价差 IFIND'!$B$2</c:f>
              <c:strCache>
                <c:ptCount val="1"/>
                <c:pt idx="0">
                  <c:v>美元兑人民币</c:v>
                </c:pt>
              </c:strCache>
            </c:strRef>
          </c:tx>
          <c:spPr>
            <a:ln w="28575" cap="rnd">
              <a:solidFill>
                <a:schemeClr val="accent1"/>
              </a:solidFill>
              <a:round/>
            </a:ln>
            <a:effectLst/>
          </c:spPr>
          <c:marker>
            <c:symbol val="none"/>
          </c:marker>
          <c:cat>
            <c:numRef>
              <c:f>'价差 IFIND'!$A$4:$A$10</c:f>
              <c:numCache>
                <c:formatCode>yyyy\-mm\-dd;@</c:formatCode>
                <c:ptCount val="7"/>
                <c:pt idx="0">
                  <c:v>46307</c:v>
                </c:pt>
                <c:pt idx="1">
                  <c:v>46306</c:v>
                </c:pt>
                <c:pt idx="2">
                  <c:v>46305</c:v>
                </c:pt>
                <c:pt idx="3">
                  <c:v>46304</c:v>
                </c:pt>
                <c:pt idx="4">
                  <c:v>46303</c:v>
                </c:pt>
                <c:pt idx="5">
                  <c:v>46302</c:v>
                </c:pt>
                <c:pt idx="6">
                  <c:v>46301</c:v>
                </c:pt>
              </c:numCache>
            </c:numRef>
          </c:cat>
          <c:val>
            <c:numRef>
              <c:f>'价差 IFIND'!$B$4:$B$10</c:f>
              <c:numCache>
                <c:formatCode>#,##0.0000_ </c:formatCode>
                <c:ptCount val="7"/>
                <c:pt idx="0">
                  <c:v>6.6921745850681038</c:v>
                </c:pt>
                <c:pt idx="1">
                  <c:v>6.693293946868824</c:v>
                </c:pt>
                <c:pt idx="2">
                  <c:v>6.7026888586619648</c:v>
                </c:pt>
                <c:pt idx="3">
                  <c:v>6.6970969153149369</c:v>
                </c:pt>
                <c:pt idx="4">
                  <c:v>6.7043553329626153</c:v>
                </c:pt>
                <c:pt idx="5">
                  <c:v>6.7046567803735142</c:v>
                </c:pt>
                <c:pt idx="6">
                  <c:v>6.704606696276497</c:v>
                </c:pt>
              </c:numCache>
            </c:numRef>
          </c:val>
          <c:smooth val="0"/>
          <c:extLst>
            <c:ext xmlns:c16="http://schemas.microsoft.com/office/drawing/2014/chart" uri="{C3380CC4-5D6E-409C-BE32-E72D297353CC}">
              <c16:uniqueId val="{00000001-E519-4F74-B047-832E333328C4}"/>
            </c:ext>
          </c:extLst>
        </c:ser>
        <c:ser>
          <c:idx val="1"/>
          <c:order val="1"/>
          <c:tx>
            <c:strRef>
              <c:f>'价差 IFIND'!$C$2</c:f>
              <c:strCache>
                <c:ptCount val="1"/>
                <c:pt idx="0">
                  <c:v>美元兑离岸人民币</c:v>
                </c:pt>
              </c:strCache>
            </c:strRef>
          </c:tx>
          <c:spPr>
            <a:ln w="28575" cap="rnd">
              <a:solidFill>
                <a:srgbClr val="C00000"/>
              </a:solidFill>
              <a:round/>
            </a:ln>
            <a:effectLst/>
          </c:spPr>
          <c:marker>
            <c:symbol val="none"/>
          </c:marker>
          <c:cat>
            <c:numRef>
              <c:f>'价差 IFIND'!$A$4:$A$10</c:f>
              <c:numCache>
                <c:formatCode>yyyy\-mm\-dd;@</c:formatCode>
                <c:ptCount val="7"/>
                <c:pt idx="0">
                  <c:v>46307</c:v>
                </c:pt>
                <c:pt idx="1">
                  <c:v>46306</c:v>
                </c:pt>
                <c:pt idx="2">
                  <c:v>46305</c:v>
                </c:pt>
                <c:pt idx="3">
                  <c:v>46304</c:v>
                </c:pt>
                <c:pt idx="4">
                  <c:v>46303</c:v>
                </c:pt>
                <c:pt idx="5">
                  <c:v>46302</c:v>
                </c:pt>
                <c:pt idx="6">
                  <c:v>46301</c:v>
                </c:pt>
              </c:numCache>
            </c:numRef>
          </c:cat>
          <c:val>
            <c:numRef>
              <c:f>'价差 IFIND'!$C$4:$C$10</c:f>
              <c:numCache>
                <c:formatCode>#,##0.0000_ </c:formatCode>
                <c:ptCount val="7"/>
                <c:pt idx="0">
                  <c:v>6.6952157133304864</c:v>
                </c:pt>
                <c:pt idx="1">
                  <c:v>6.6877001826750497</c:v>
                </c:pt>
                <c:pt idx="2">
                  <c:v>6.6877001826750515</c:v>
                </c:pt>
                <c:pt idx="3">
                  <c:v>6.6933198647256225</c:v>
                </c:pt>
                <c:pt idx="4">
                  <c:v>6.705636633753171</c:v>
                </c:pt>
                <c:pt idx="5">
                  <c:v>6.704747987974641</c:v>
                </c:pt>
                <c:pt idx="6">
                  <c:v>6.7020571261810575</c:v>
                </c:pt>
              </c:numCache>
            </c:numRef>
          </c:val>
          <c:smooth val="0"/>
          <c:extLst>
            <c:ext xmlns:c16="http://schemas.microsoft.com/office/drawing/2014/chart" uri="{C3380CC4-5D6E-409C-BE32-E72D297353CC}">
              <c16:uniqueId val="{00000002-E519-4F74-B047-832E333328C4}"/>
            </c:ext>
          </c:extLst>
        </c:ser>
        <c:dLbls>
          <c:showLegendKey val="0"/>
          <c:showVal val="0"/>
          <c:showCatName val="0"/>
          <c:showSerName val="0"/>
          <c:showPercent val="0"/>
          <c:showBubbleSize val="0"/>
        </c:dLbls>
        <c:marker val="1"/>
        <c:smooth val="0"/>
        <c:axId val="1082696879"/>
        <c:axId val="1082683151"/>
      </c:lineChart>
      <c:dateAx>
        <c:axId val="1082696879"/>
        <c:scaling>
          <c:orientation val="minMax"/>
        </c:scaling>
        <c:delete val="0"/>
        <c:axPos val="b"/>
        <c:numFmt formatCode="yyyy\-mm\-dd;@"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683151"/>
        <c:crosses val="autoZero"/>
        <c:auto val="1"/>
        <c:lblOffset val="100"/>
        <c:baseTimeUnit val="days"/>
      </c:dateAx>
      <c:valAx>
        <c:axId val="1082683151"/>
        <c:scaling>
          <c:orientation val="minMax"/>
        </c:scaling>
        <c:delete val="0"/>
        <c:axPos val="l"/>
        <c:numFmt formatCode="#,##0.0000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696879"/>
        <c:crosses val="autoZero"/>
        <c:crossBetween val="between"/>
      </c:valAx>
      <c:valAx>
        <c:axId val="1082752623"/>
        <c:scaling>
          <c:orientation val="minMax"/>
        </c:scaling>
        <c:delete val="0"/>
        <c:axPos val="r"/>
        <c:numFmt formatCode="#,##0.0000_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741807"/>
        <c:crosses val="max"/>
        <c:crossBetween val="between"/>
      </c:valAx>
      <c:dateAx>
        <c:axId val="1082741807"/>
        <c:scaling>
          <c:orientation val="minMax"/>
        </c:scaling>
        <c:delete val="1"/>
        <c:axPos val="b"/>
        <c:numFmt formatCode="yyyy\-mm\-dd;@" sourceLinked="1"/>
        <c:majorTickMark val="out"/>
        <c:minorTickMark val="none"/>
        <c:tickLblPos val="nextTo"/>
        <c:crossAx val="1082752623"/>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E6D19-4920-4EB4-89E4-8D10BBAA9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cp:revision>
  <cp:lastPrinted>2024-12-24T02:37:00Z</cp:lastPrinted>
  <dcterms:created xsi:type="dcterms:W3CDTF">2026-10-09T07:42:00Z</dcterms:created>
  <dcterms:modified xsi:type="dcterms:W3CDTF">2026-10-13T01:15:00Z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0916914D11034FEA980AFD71C0947664_12</vt:lpwstr>
  </property>
</Properties>
</file>