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psCustomData="http://www.wps.cn/officeDocument/2013/wpsCustomData" xmlns:w16cei="http://schemas.microsoft.com/office/word/2026/wordml/cei">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14A9DD45"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3943A6">
        <w:rPr>
          <w:rFonts w:ascii="微软雅黑" w:eastAsia="微软雅黑" w:hAnsi="微软雅黑" w:cs="微软雅黑" w:hint="eastAsia"/>
          <w:b/>
          <w:bCs/>
          <w:color w:val="005D97"/>
          <w:spacing w:val="-22"/>
          <w:sz w:val="48"/>
          <w:szCs w:val="48"/>
          <w:lang w:eastAsia="zh-CN"/>
        </w:rPr>
        <w:t>10</w:t>
      </w:r>
      <w:r>
        <w:rPr>
          <w:rFonts w:ascii="微软雅黑" w:eastAsia="微软雅黑" w:hAnsi="微软雅黑" w:cs="微软雅黑"/>
          <w:b/>
          <w:bCs/>
          <w:color w:val="005D97"/>
          <w:spacing w:val="-22"/>
          <w:sz w:val="48"/>
          <w:szCs w:val="48"/>
          <w:lang w:eastAsia="zh-CN"/>
        </w:rPr>
        <w:t>月</w:t>
      </w:r>
      <w:r w:rsidR="003614EA">
        <w:rPr>
          <w:rFonts w:ascii="微软雅黑" w:eastAsia="微软雅黑" w:hAnsi="微软雅黑" w:cs="微软雅黑" w:hint="eastAsia"/>
          <w:b/>
          <w:bCs/>
          <w:color w:val="005D97"/>
          <w:spacing w:val="-22"/>
          <w:sz w:val="48"/>
          <w:szCs w:val="48"/>
          <w:lang w:eastAsia="zh-CN"/>
        </w:rPr>
        <w:t>20</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4DB4D2BA" w:rsidR="007B3E0B" w:rsidRPr="00782115" w:rsidRDefault="003614EA"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3614EA">
        <w:rPr>
          <w:rFonts w:ascii="微软雅黑" w:eastAsia="微软雅黑" w:hAnsi="微软雅黑" w:cs="微软雅黑"/>
          <w:spacing w:val="12"/>
          <w:lang w:eastAsia="zh-CN"/>
        </w:rPr>
        <w:t>美国三大股指收盘涨跌不一，道指跌0.07%报51966.03点，标普500指数涨0.41%报7690.73点，纳指涨1.11%报26430.89点。美元指数涨0.20%报101.99，非美货币多数下跌，欧元兑美元跌0.25%报1.1212，英镑兑美元跌0.20%报1.3303，澳元兑美元涨0.49%报0.6980，美元兑日元涨0.34%报158.5310，美元兑加元跌0.20%报1.4111，美元兑瑞郎涨0.33%报0.8267，离岸人民币对美元涨41个基点报6.6822。国际贵金属期货普遍收跌，COMEX黄金期货跌0.50%报4160.30美元/盎司，COMEX白银期货跌0.13%报57.23美元/盎司。ICE原糖主力合约跌1.25%报20.59美分/磅，ICE棉花主力合约跌0.18%报80.14美分/磅。</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68E9D673" w:rsidR="00557736" w:rsidRPr="0022448B" w:rsidRDefault="003614EA"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41EE7321" wp14:editId="32D530EA">
            <wp:extent cx="5572060" cy="3830128"/>
            <wp:effectExtent l="0" t="0" r="0" b="0"/>
            <wp:docPr id="100063875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87188" cy="3840527"/>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4F641480" w:rsidR="00134DA3" w:rsidRPr="003614EA" w:rsidRDefault="00134DA3" w:rsidP="002E37FC">
      <w:pPr>
        <w:spacing w:before="102" w:line="257" w:lineRule="auto"/>
        <w:ind w:right="210" w:firstLine="436"/>
        <w:jc w:val="both"/>
        <w:rPr>
          <w:rFonts w:ascii="微软雅黑" w:eastAsia="微软雅黑" w:hAnsi="微软雅黑" w:cs="微软雅黑" w:hint="eastAsia"/>
          <w:color w:val="auto"/>
          <w:spacing w:val="4"/>
          <w:lang w:eastAsia="zh-CN"/>
        </w:rPr>
      </w:pPr>
      <w:r>
        <w:rPr>
          <w:rFonts w:ascii="微软雅黑" w:eastAsia="微软雅黑" w:hAnsi="微软雅黑" w:cs="微软雅黑" w:hint="eastAsia"/>
          <w:color w:val="auto"/>
          <w:spacing w:val="4"/>
          <w:lang w:eastAsia="zh-CN"/>
        </w:rPr>
        <w:t>【</w:t>
      </w:r>
      <w:r w:rsidR="003614EA" w:rsidRPr="003614EA">
        <w:rPr>
          <w:rFonts w:ascii="微软雅黑" w:eastAsia="微软雅黑" w:hAnsi="微软雅黑" w:cs="微软雅黑"/>
          <w:color w:val="auto"/>
          <w:spacing w:val="4"/>
          <w:lang w:eastAsia="zh-CN"/>
        </w:rPr>
        <w:t>伊朗军事与外交官员密集发出战事升级警告，将美国潜在恢复轰炸行动与全球能源供应中断直接挂钩。伊朗伊斯兰革命卫队发言人穆赫比表示，如果爆发战争，伊朗的回应将更加严厉，世界也将面临严重的能源危机。他强调，如果伊朗不安全，那么地区将不再安全。</w:t>
      </w:r>
      <w:r w:rsidRPr="003614EA">
        <w:rPr>
          <w:rFonts w:ascii="微软雅黑" w:eastAsia="微软雅黑" w:hAnsi="微软雅黑" w:cs="微软雅黑" w:hint="eastAsia"/>
          <w:color w:val="auto"/>
          <w:spacing w:val="4"/>
          <w:lang w:eastAsia="zh-CN"/>
        </w:rPr>
        <w:t>】</w:t>
      </w:r>
    </w:p>
    <w:p w14:paraId="23CE786B" w14:textId="6A428D4C" w:rsidR="003943A6" w:rsidRPr="003614EA" w:rsidRDefault="003943A6" w:rsidP="003943A6">
      <w:pPr>
        <w:spacing w:before="102" w:line="257" w:lineRule="auto"/>
        <w:ind w:right="210" w:firstLine="436"/>
        <w:jc w:val="both"/>
        <w:rPr>
          <w:rFonts w:ascii="微软雅黑" w:eastAsia="微软雅黑" w:hAnsi="微软雅黑" w:cs="微软雅黑" w:hint="eastAsia"/>
          <w:color w:val="auto"/>
          <w:spacing w:val="4"/>
          <w:lang w:eastAsia="zh-CN"/>
        </w:rPr>
      </w:pPr>
      <w:r w:rsidRPr="003614EA">
        <w:rPr>
          <w:rFonts w:ascii="微软雅黑" w:eastAsia="微软雅黑" w:hAnsi="微软雅黑" w:cs="微软雅黑" w:hint="eastAsia"/>
          <w:color w:val="auto"/>
          <w:spacing w:val="4"/>
          <w:lang w:eastAsia="zh-CN"/>
        </w:rPr>
        <w:t>【</w:t>
      </w:r>
      <w:r w:rsidR="003614EA" w:rsidRPr="003614EA">
        <w:rPr>
          <w:rFonts w:ascii="微软雅黑" w:eastAsia="微软雅黑" w:hAnsi="微软雅黑" w:cs="微软雅黑"/>
          <w:color w:val="auto"/>
          <w:spacing w:val="4"/>
          <w:lang w:eastAsia="zh-CN"/>
        </w:rPr>
        <w:t>以色列总理内塔尼亚胡称，他向以军、以色列情报和特勤局（摩萨德）以及以军军事情报局下达了“推翻伊朗政权”的指令。内塔尼亚胡结合此前美国总统特朗普对他的公开支持表示，特朗普态度“非常明确”，即认为当前的“核心任务是彻底消除伊朗对以色列造成的生存威胁 ”。</w:t>
      </w:r>
      <w:r w:rsidRPr="003614EA">
        <w:rPr>
          <w:rFonts w:ascii="微软雅黑" w:eastAsia="微软雅黑" w:hAnsi="微软雅黑" w:cs="微软雅黑" w:hint="eastAsia"/>
          <w:color w:val="auto"/>
          <w:spacing w:val="4"/>
          <w:lang w:eastAsia="zh-CN"/>
        </w:rPr>
        <w:t>】</w:t>
      </w:r>
    </w:p>
    <w:p w14:paraId="44D59D47" w14:textId="52BB1F4C" w:rsidR="002E37FC" w:rsidRPr="003614EA" w:rsidRDefault="002E37FC" w:rsidP="00782115">
      <w:pPr>
        <w:spacing w:before="102" w:line="257" w:lineRule="auto"/>
        <w:ind w:right="210" w:firstLine="436"/>
        <w:jc w:val="both"/>
        <w:rPr>
          <w:rFonts w:ascii="微软雅黑" w:eastAsia="微软雅黑" w:hAnsi="微软雅黑" w:cs="微软雅黑" w:hint="eastAsia"/>
          <w:color w:val="auto"/>
          <w:spacing w:val="4"/>
          <w:lang w:eastAsia="zh-CN"/>
        </w:rPr>
      </w:pPr>
      <w:r w:rsidRPr="003614EA">
        <w:rPr>
          <w:rFonts w:ascii="微软雅黑" w:eastAsia="微软雅黑" w:hAnsi="微软雅黑" w:cs="微软雅黑" w:hint="eastAsia"/>
          <w:color w:val="auto"/>
          <w:spacing w:val="4"/>
          <w:lang w:eastAsia="zh-CN"/>
        </w:rPr>
        <w:lastRenderedPageBreak/>
        <w:t>【</w:t>
      </w:r>
      <w:r w:rsidR="003614EA" w:rsidRPr="003614EA">
        <w:rPr>
          <w:rFonts w:ascii="微软雅黑" w:eastAsia="微软雅黑" w:hAnsi="微软雅黑" w:cs="微软雅黑"/>
          <w:color w:val="auto"/>
          <w:spacing w:val="4"/>
          <w:lang w:eastAsia="zh-CN"/>
        </w:rPr>
        <w:t>美国国务卿鲁比奥表示，结束俄乌冲突是美国总统的优先要务，美方将持续寻找推动结束冲突的契机。美方近期暂缓对俄实施制裁措施，是想看看目前与俄乌进行的谈判是否能取得积极成果。</w:t>
      </w:r>
      <w:r w:rsidRPr="003614EA">
        <w:rPr>
          <w:rFonts w:ascii="微软雅黑" w:eastAsia="微软雅黑" w:hAnsi="微软雅黑" w:cs="微软雅黑" w:hint="eastAsia"/>
          <w:color w:val="auto"/>
          <w:spacing w:val="4"/>
          <w:lang w:eastAsia="zh-CN"/>
        </w:rPr>
        <w:t>】</w:t>
      </w:r>
    </w:p>
    <w:p w14:paraId="0E9F8FB0" w14:textId="2D093946" w:rsidR="002658AB" w:rsidRPr="003614EA" w:rsidRDefault="002658AB"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3614EA">
        <w:rPr>
          <w:rFonts w:ascii="微软雅黑" w:eastAsia="微软雅黑" w:hAnsi="微软雅黑" w:cs="微软雅黑" w:hint="eastAsia"/>
          <w:color w:val="auto"/>
          <w:spacing w:val="4"/>
          <w:lang w:eastAsia="zh-CN"/>
        </w:rPr>
        <w:t>【</w:t>
      </w:r>
      <w:r w:rsidR="003614EA" w:rsidRPr="003614EA">
        <w:rPr>
          <w:rFonts w:ascii="微软雅黑" w:eastAsia="微软雅黑" w:hAnsi="微软雅黑" w:cs="微软雅黑"/>
          <w:color w:val="auto"/>
          <w:spacing w:val="4"/>
          <w:lang w:eastAsia="zh-CN"/>
        </w:rPr>
        <w:t>日本央行行长植田和男明确表示，日本核心通胀已经“十分接近”2%通胀目标，能源价格上涨、日本劳动力市场紧绷叠加全球AI热潮拉动出口与资本开支，共同推升日本国内物价，日本央行存在进一步加息的空间。</w:t>
      </w:r>
      <w:r w:rsidRPr="003614EA">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3614EA" w:rsidRPr="008D0ACF" w14:paraId="2120A809" w14:textId="77777777" w:rsidTr="002658AB">
        <w:trPr>
          <w:trHeight w:val="620"/>
        </w:trPr>
        <w:tc>
          <w:tcPr>
            <w:tcW w:w="1984" w:type="dxa"/>
          </w:tcPr>
          <w:bookmarkEnd w:id="0"/>
          <w:p w14:paraId="5AEE1463" w14:textId="57083A3A" w:rsidR="003614EA" w:rsidRPr="00C427B8" w:rsidRDefault="003614EA" w:rsidP="003614EA">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3614EA">
              <w:rPr>
                <w:rFonts w:ascii="微软雅黑" w:eastAsia="微软雅黑" w:hAnsi="微软雅黑" w:cs="微软雅黑"/>
                <w:b/>
                <w:bCs/>
                <w:spacing w:val="3"/>
                <w:sz w:val="19"/>
                <w:szCs w:val="19"/>
                <w:lang w:eastAsia="zh-CN"/>
              </w:rPr>
              <w:t>2026/10/20</w:t>
            </w:r>
          </w:p>
        </w:tc>
        <w:tc>
          <w:tcPr>
            <w:tcW w:w="1418" w:type="dxa"/>
          </w:tcPr>
          <w:p w14:paraId="7A911059" w14:textId="263363B3" w:rsidR="003614EA" w:rsidRDefault="003614EA" w:rsidP="003614EA">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3614EA">
              <w:rPr>
                <w:rFonts w:ascii="微软雅黑" w:eastAsia="微软雅黑" w:hAnsi="微软雅黑" w:cs="微软雅黑"/>
                <w:b/>
                <w:bCs/>
                <w:spacing w:val="3"/>
                <w:sz w:val="19"/>
                <w:szCs w:val="19"/>
                <w:lang w:eastAsia="zh-CN"/>
              </w:rPr>
              <w:t>14:00</w:t>
            </w:r>
          </w:p>
        </w:tc>
        <w:tc>
          <w:tcPr>
            <w:tcW w:w="5957" w:type="dxa"/>
          </w:tcPr>
          <w:p w14:paraId="2A2D263C" w14:textId="32AE5CA5" w:rsidR="003614EA" w:rsidRPr="005C0045" w:rsidRDefault="003614EA" w:rsidP="003614EA">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3614EA">
              <w:rPr>
                <w:rFonts w:ascii="微软雅黑" w:eastAsia="微软雅黑" w:hAnsi="微软雅黑" w:cs="微软雅黑"/>
                <w:b/>
                <w:bCs/>
                <w:spacing w:val="3"/>
                <w:sz w:val="19"/>
                <w:szCs w:val="19"/>
                <w:lang w:eastAsia="zh-CN"/>
              </w:rPr>
              <w:t>德国 9 月 PPI、瑞士 9 月贸易帐、英国 9 月失业率</w:t>
            </w:r>
          </w:p>
        </w:tc>
      </w:tr>
      <w:tr w:rsidR="003614EA" w:rsidRPr="008D0ACF" w14:paraId="6139BF4D" w14:textId="77777777" w:rsidTr="00F76C4F">
        <w:trPr>
          <w:trHeight w:val="620"/>
        </w:trPr>
        <w:tc>
          <w:tcPr>
            <w:tcW w:w="1984" w:type="dxa"/>
            <w:shd w:val="clear" w:color="auto" w:fill="DAE3F4" w:themeFill="accent1" w:themeFillTint="33"/>
          </w:tcPr>
          <w:p w14:paraId="0586103D" w14:textId="5732F55C" w:rsidR="003614EA" w:rsidRPr="00900B4E" w:rsidRDefault="003614EA" w:rsidP="003614EA">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3614EA">
              <w:rPr>
                <w:rFonts w:ascii="微软雅黑" w:eastAsia="微软雅黑" w:hAnsi="微软雅黑" w:cs="微软雅黑"/>
                <w:b/>
                <w:bCs/>
                <w:spacing w:val="3"/>
                <w:sz w:val="19"/>
                <w:szCs w:val="19"/>
                <w:lang w:eastAsia="zh-CN"/>
              </w:rPr>
              <w:t>2026/10/20</w:t>
            </w:r>
          </w:p>
        </w:tc>
        <w:tc>
          <w:tcPr>
            <w:tcW w:w="1418" w:type="dxa"/>
            <w:shd w:val="clear" w:color="auto" w:fill="DAE3F4" w:themeFill="accent1" w:themeFillTint="33"/>
          </w:tcPr>
          <w:p w14:paraId="0329BA86" w14:textId="31B6A342" w:rsidR="003614EA" w:rsidRPr="00292AD2" w:rsidRDefault="003614EA" w:rsidP="003614EA">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25AEC">
              <w:rPr>
                <w:rFonts w:ascii="微软雅黑" w:eastAsia="微软雅黑" w:hAnsi="微软雅黑" w:cs="微软雅黑"/>
                <w:b/>
                <w:bCs/>
                <w:spacing w:val="3"/>
                <w:sz w:val="19"/>
                <w:szCs w:val="19"/>
                <w:lang w:eastAsia="zh-CN"/>
              </w:rPr>
              <w:t>1</w:t>
            </w:r>
            <w:r>
              <w:rPr>
                <w:rFonts w:ascii="微软雅黑" w:eastAsia="微软雅黑" w:hAnsi="微软雅黑" w:cs="微软雅黑" w:hint="eastAsia"/>
                <w:b/>
                <w:bCs/>
                <w:spacing w:val="3"/>
                <w:sz w:val="19"/>
                <w:szCs w:val="19"/>
                <w:lang w:eastAsia="zh-CN"/>
              </w:rPr>
              <w:t>7:00</w:t>
            </w:r>
          </w:p>
        </w:tc>
        <w:tc>
          <w:tcPr>
            <w:tcW w:w="5957" w:type="dxa"/>
            <w:shd w:val="clear" w:color="auto" w:fill="DAE3F4" w:themeFill="accent1" w:themeFillTint="33"/>
          </w:tcPr>
          <w:p w14:paraId="72E5494B" w14:textId="208A8F85" w:rsidR="003614EA" w:rsidRPr="00900B4E" w:rsidRDefault="003614EA" w:rsidP="003614EA">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3614EA">
              <w:rPr>
                <w:rFonts w:ascii="微软雅黑" w:eastAsia="微软雅黑" w:hAnsi="微软雅黑" w:cs="微软雅黑"/>
                <w:b/>
                <w:bCs/>
                <w:spacing w:val="3"/>
                <w:sz w:val="19"/>
                <w:szCs w:val="19"/>
                <w:lang w:eastAsia="zh-CN"/>
              </w:rPr>
              <w:t>欧元区、德国 10 月 ZEW 经济景气指数</w:t>
            </w:r>
          </w:p>
        </w:tc>
      </w:tr>
      <w:tr w:rsidR="003614EA" w:rsidRPr="008D0ACF" w14:paraId="358D86A9" w14:textId="77777777" w:rsidTr="00725AEC">
        <w:trPr>
          <w:trHeight w:val="620"/>
        </w:trPr>
        <w:tc>
          <w:tcPr>
            <w:tcW w:w="1984" w:type="dxa"/>
          </w:tcPr>
          <w:p w14:paraId="0892E1F4" w14:textId="4CAAC40A" w:rsidR="003614EA" w:rsidRPr="00725AEC" w:rsidRDefault="003614EA" w:rsidP="003614EA">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3614EA">
              <w:rPr>
                <w:rFonts w:ascii="微软雅黑" w:eastAsia="微软雅黑" w:hAnsi="微软雅黑" w:cs="微软雅黑"/>
                <w:b/>
                <w:bCs/>
                <w:spacing w:val="3"/>
                <w:sz w:val="19"/>
                <w:szCs w:val="19"/>
                <w:lang w:eastAsia="zh-CN"/>
              </w:rPr>
              <w:t>2026/10/20</w:t>
            </w:r>
          </w:p>
        </w:tc>
        <w:tc>
          <w:tcPr>
            <w:tcW w:w="1418" w:type="dxa"/>
          </w:tcPr>
          <w:p w14:paraId="05F2F80E" w14:textId="540609BA" w:rsidR="003614EA" w:rsidRPr="00725AEC" w:rsidRDefault="003614EA" w:rsidP="003614EA">
            <w:pPr>
              <w:spacing w:before="230" w:line="191" w:lineRule="auto"/>
              <w:ind w:right="210" w:firstLine="392"/>
              <w:jc w:val="center"/>
              <w:rPr>
                <w:rFonts w:ascii="微软雅黑" w:eastAsia="微软雅黑" w:hAnsi="微软雅黑" w:cs="微软雅黑" w:hint="eastAsia"/>
                <w:b/>
                <w:bCs/>
                <w:spacing w:val="3"/>
                <w:sz w:val="19"/>
                <w:szCs w:val="19"/>
                <w:lang w:eastAsia="zh-CN"/>
              </w:rPr>
            </w:pPr>
            <w:r>
              <w:rPr>
                <w:rFonts w:ascii="微软雅黑" w:eastAsia="微软雅黑" w:hAnsi="微软雅黑" w:cs="微软雅黑" w:hint="eastAsia"/>
                <w:b/>
                <w:bCs/>
                <w:spacing w:val="3"/>
                <w:sz w:val="19"/>
                <w:szCs w:val="19"/>
                <w:lang w:eastAsia="zh-CN"/>
              </w:rPr>
              <w:t>21</w:t>
            </w:r>
            <w:r w:rsidRPr="00725AEC">
              <w:rPr>
                <w:rFonts w:ascii="微软雅黑" w:eastAsia="微软雅黑" w:hAnsi="微软雅黑" w:cs="微软雅黑"/>
                <w:b/>
                <w:bCs/>
                <w:spacing w:val="3"/>
                <w:sz w:val="19"/>
                <w:szCs w:val="19"/>
                <w:lang w:eastAsia="zh-CN"/>
              </w:rPr>
              <w:t>:</w:t>
            </w:r>
            <w:r>
              <w:rPr>
                <w:rFonts w:ascii="微软雅黑" w:eastAsia="微软雅黑" w:hAnsi="微软雅黑" w:cs="微软雅黑" w:hint="eastAsia"/>
                <w:b/>
                <w:bCs/>
                <w:spacing w:val="3"/>
                <w:sz w:val="19"/>
                <w:szCs w:val="19"/>
                <w:lang w:eastAsia="zh-CN"/>
              </w:rPr>
              <w:t>15</w:t>
            </w:r>
          </w:p>
        </w:tc>
        <w:tc>
          <w:tcPr>
            <w:tcW w:w="5957" w:type="dxa"/>
          </w:tcPr>
          <w:p w14:paraId="5522DD38" w14:textId="364EDDCF" w:rsidR="003614EA" w:rsidRPr="00725AEC" w:rsidRDefault="003614EA" w:rsidP="003614EA">
            <w:pPr>
              <w:spacing w:before="230" w:line="191" w:lineRule="auto"/>
              <w:ind w:right="210"/>
              <w:jc w:val="center"/>
              <w:rPr>
                <w:rFonts w:ascii="微软雅黑" w:eastAsia="微软雅黑" w:hAnsi="微软雅黑" w:cs="微软雅黑" w:hint="eastAsia"/>
                <w:b/>
                <w:bCs/>
                <w:spacing w:val="3"/>
                <w:sz w:val="19"/>
                <w:szCs w:val="19"/>
                <w:lang w:eastAsia="zh-CN"/>
              </w:rPr>
            </w:pPr>
            <w:r w:rsidRPr="003614EA">
              <w:rPr>
                <w:rFonts w:ascii="微软雅黑" w:eastAsia="微软雅黑" w:hAnsi="微软雅黑" w:cs="微软雅黑"/>
                <w:b/>
                <w:bCs/>
                <w:spacing w:val="3"/>
                <w:sz w:val="19"/>
                <w:szCs w:val="19"/>
                <w:lang w:eastAsia="zh-CN"/>
              </w:rPr>
              <w:t>美国至 10 月 3 日当周 ADP 就业人数</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22096A67" w14:textId="77777777" w:rsidR="003614EA" w:rsidRPr="003614EA" w:rsidRDefault="003614EA" w:rsidP="003614EA">
      <w:pPr>
        <w:spacing w:before="103" w:line="256" w:lineRule="auto"/>
        <w:ind w:right="210" w:firstLineChars="200" w:firstLine="448"/>
        <w:rPr>
          <w:rFonts w:ascii="微软雅黑" w:eastAsia="微软雅黑" w:hAnsi="微软雅黑" w:cs="微软雅黑"/>
          <w:spacing w:val="7"/>
          <w:lang w:eastAsia="zh-CN"/>
        </w:rPr>
      </w:pPr>
      <w:r w:rsidRPr="003614EA">
        <w:rPr>
          <w:rFonts w:ascii="微软雅黑" w:eastAsia="微软雅黑" w:hAnsi="微软雅黑" w:cs="微软雅黑" w:hint="eastAsia"/>
          <w:spacing w:val="7"/>
          <w:lang w:eastAsia="zh-CN"/>
        </w:rPr>
        <w:t>隔夜，美元指数涨</w:t>
      </w:r>
      <w:r w:rsidRPr="003614EA">
        <w:rPr>
          <w:rFonts w:ascii="微软雅黑" w:eastAsia="微软雅黑" w:hAnsi="微软雅黑" w:cs="微软雅黑"/>
          <w:spacing w:val="7"/>
          <w:lang w:eastAsia="zh-CN"/>
        </w:rPr>
        <w:t>0.20%</w:t>
      </w:r>
      <w:r w:rsidRPr="003614EA">
        <w:rPr>
          <w:rFonts w:ascii="微软雅黑" w:eastAsia="微软雅黑" w:hAnsi="微软雅黑" w:cs="微软雅黑" w:hint="eastAsia"/>
          <w:spacing w:val="7"/>
          <w:lang w:eastAsia="zh-CN"/>
        </w:rPr>
        <w:t>报</w:t>
      </w:r>
      <w:r w:rsidRPr="003614EA">
        <w:rPr>
          <w:rFonts w:ascii="微软雅黑" w:eastAsia="微软雅黑" w:hAnsi="微软雅黑" w:cs="微软雅黑"/>
          <w:spacing w:val="7"/>
          <w:lang w:eastAsia="zh-CN"/>
        </w:rPr>
        <w:t>101.99</w:t>
      </w:r>
      <w:r w:rsidRPr="003614EA">
        <w:rPr>
          <w:rFonts w:ascii="微软雅黑" w:eastAsia="微软雅黑" w:hAnsi="微软雅黑" w:cs="微软雅黑" w:hint="eastAsia"/>
          <w:spacing w:val="7"/>
          <w:lang w:eastAsia="zh-CN"/>
        </w:rPr>
        <w:t>，非美货币多数下跌，欧元兑美元跌</w:t>
      </w:r>
      <w:r w:rsidRPr="003614EA">
        <w:rPr>
          <w:rFonts w:ascii="微软雅黑" w:eastAsia="微软雅黑" w:hAnsi="微软雅黑" w:cs="微软雅黑"/>
          <w:spacing w:val="7"/>
          <w:lang w:eastAsia="zh-CN"/>
        </w:rPr>
        <w:t>0.25%</w:t>
      </w:r>
      <w:r w:rsidRPr="003614EA">
        <w:rPr>
          <w:rFonts w:ascii="微软雅黑" w:eastAsia="微软雅黑" w:hAnsi="微软雅黑" w:cs="微软雅黑" w:hint="eastAsia"/>
          <w:spacing w:val="7"/>
          <w:lang w:eastAsia="zh-CN"/>
        </w:rPr>
        <w:t>报</w:t>
      </w:r>
      <w:r w:rsidRPr="003614EA">
        <w:rPr>
          <w:rFonts w:ascii="微软雅黑" w:eastAsia="微软雅黑" w:hAnsi="微软雅黑" w:cs="微软雅黑"/>
          <w:spacing w:val="7"/>
          <w:lang w:eastAsia="zh-CN"/>
        </w:rPr>
        <w:t>1.1212</w:t>
      </w:r>
      <w:r w:rsidRPr="003614EA">
        <w:rPr>
          <w:rFonts w:ascii="微软雅黑" w:eastAsia="微软雅黑" w:hAnsi="微软雅黑" w:cs="微软雅黑" w:hint="eastAsia"/>
          <w:spacing w:val="7"/>
          <w:lang w:eastAsia="zh-CN"/>
        </w:rPr>
        <w:t>，英镑兑美元跌</w:t>
      </w:r>
      <w:r w:rsidRPr="003614EA">
        <w:rPr>
          <w:rFonts w:ascii="微软雅黑" w:eastAsia="微软雅黑" w:hAnsi="微软雅黑" w:cs="微软雅黑"/>
          <w:spacing w:val="7"/>
          <w:lang w:eastAsia="zh-CN"/>
        </w:rPr>
        <w:t>0.20%</w:t>
      </w:r>
      <w:r w:rsidRPr="003614EA">
        <w:rPr>
          <w:rFonts w:ascii="微软雅黑" w:eastAsia="微软雅黑" w:hAnsi="微软雅黑" w:cs="微软雅黑" w:hint="eastAsia"/>
          <w:spacing w:val="7"/>
          <w:lang w:eastAsia="zh-CN"/>
        </w:rPr>
        <w:t>报</w:t>
      </w:r>
      <w:r w:rsidRPr="003614EA">
        <w:rPr>
          <w:rFonts w:ascii="微软雅黑" w:eastAsia="微软雅黑" w:hAnsi="微软雅黑" w:cs="微软雅黑"/>
          <w:spacing w:val="7"/>
          <w:lang w:eastAsia="zh-CN"/>
        </w:rPr>
        <w:t>1.3303</w:t>
      </w:r>
      <w:r w:rsidRPr="003614EA">
        <w:rPr>
          <w:rFonts w:ascii="微软雅黑" w:eastAsia="微软雅黑" w:hAnsi="微软雅黑" w:cs="微软雅黑" w:hint="eastAsia"/>
          <w:spacing w:val="7"/>
          <w:lang w:eastAsia="zh-CN"/>
        </w:rPr>
        <w:t>，美元兑日元涨</w:t>
      </w:r>
      <w:r w:rsidRPr="003614EA">
        <w:rPr>
          <w:rFonts w:ascii="微软雅黑" w:eastAsia="微软雅黑" w:hAnsi="微软雅黑" w:cs="微软雅黑"/>
          <w:spacing w:val="7"/>
          <w:lang w:eastAsia="zh-CN"/>
        </w:rPr>
        <w:t>0.34%</w:t>
      </w:r>
      <w:r w:rsidRPr="003614EA">
        <w:rPr>
          <w:rFonts w:ascii="微软雅黑" w:eastAsia="微软雅黑" w:hAnsi="微软雅黑" w:cs="微软雅黑" w:hint="eastAsia"/>
          <w:spacing w:val="7"/>
          <w:lang w:eastAsia="zh-CN"/>
        </w:rPr>
        <w:t>报</w:t>
      </w:r>
      <w:r w:rsidRPr="003614EA">
        <w:rPr>
          <w:rFonts w:ascii="微软雅黑" w:eastAsia="微软雅黑" w:hAnsi="微软雅黑" w:cs="微软雅黑"/>
          <w:spacing w:val="7"/>
          <w:lang w:eastAsia="zh-CN"/>
        </w:rPr>
        <w:t>158.5310</w:t>
      </w:r>
      <w:r w:rsidRPr="003614EA">
        <w:rPr>
          <w:rFonts w:ascii="微软雅黑" w:eastAsia="微软雅黑" w:hAnsi="微软雅黑" w:cs="微软雅黑" w:hint="eastAsia"/>
          <w:spacing w:val="7"/>
          <w:lang w:eastAsia="zh-CN"/>
        </w:rPr>
        <w:t>。</w:t>
      </w:r>
    </w:p>
    <w:p w14:paraId="5E43A6C4" w14:textId="77777777" w:rsidR="003614EA" w:rsidRPr="003614EA" w:rsidRDefault="003614EA" w:rsidP="003614EA">
      <w:pPr>
        <w:spacing w:before="103" w:line="256" w:lineRule="auto"/>
        <w:ind w:right="210" w:firstLineChars="200" w:firstLine="448"/>
        <w:rPr>
          <w:rFonts w:ascii="微软雅黑" w:eastAsia="微软雅黑" w:hAnsi="微软雅黑" w:cs="微软雅黑"/>
          <w:spacing w:val="7"/>
          <w:lang w:eastAsia="zh-CN"/>
        </w:rPr>
      </w:pPr>
      <w:r w:rsidRPr="003614EA">
        <w:rPr>
          <w:rFonts w:ascii="微软雅黑" w:eastAsia="微软雅黑" w:hAnsi="微软雅黑" w:cs="微软雅黑" w:hint="eastAsia"/>
          <w:spacing w:val="7"/>
          <w:lang w:eastAsia="zh-CN"/>
        </w:rPr>
        <w:t>美国</w:t>
      </w:r>
      <w:r w:rsidRPr="003614EA">
        <w:rPr>
          <w:rFonts w:ascii="微软雅黑" w:eastAsia="微软雅黑" w:hAnsi="微软雅黑" w:cs="微软雅黑"/>
          <w:spacing w:val="7"/>
          <w:lang w:eastAsia="zh-CN"/>
        </w:rPr>
        <w:t>9</w:t>
      </w:r>
      <w:r w:rsidRPr="003614EA">
        <w:rPr>
          <w:rFonts w:ascii="微软雅黑" w:eastAsia="微软雅黑" w:hAnsi="微软雅黑" w:cs="微软雅黑" w:hint="eastAsia"/>
          <w:spacing w:val="7"/>
          <w:lang w:eastAsia="zh-CN"/>
        </w:rPr>
        <w:t>月</w:t>
      </w:r>
      <w:r w:rsidRPr="003614EA">
        <w:rPr>
          <w:rFonts w:ascii="微软雅黑" w:eastAsia="微软雅黑" w:hAnsi="微软雅黑" w:cs="微软雅黑"/>
          <w:spacing w:val="7"/>
          <w:lang w:eastAsia="zh-CN"/>
        </w:rPr>
        <w:t>CPI</w:t>
      </w:r>
      <w:r w:rsidRPr="003614EA">
        <w:rPr>
          <w:rFonts w:ascii="微软雅黑" w:eastAsia="微软雅黑" w:hAnsi="微软雅黑" w:cs="微软雅黑" w:hint="eastAsia"/>
          <w:spacing w:val="7"/>
          <w:lang w:eastAsia="zh-CN"/>
        </w:rPr>
        <w:t>同比上涨</w:t>
      </w:r>
      <w:r w:rsidRPr="003614EA">
        <w:rPr>
          <w:rFonts w:ascii="微软雅黑" w:eastAsia="微软雅黑" w:hAnsi="微软雅黑" w:cs="微软雅黑"/>
          <w:spacing w:val="7"/>
          <w:lang w:eastAsia="zh-CN"/>
        </w:rPr>
        <w:t>3.7%</w:t>
      </w:r>
      <w:r w:rsidRPr="003614EA">
        <w:rPr>
          <w:rFonts w:ascii="微软雅黑" w:eastAsia="微软雅黑" w:hAnsi="微软雅黑" w:cs="微软雅黑" w:hint="eastAsia"/>
          <w:spacing w:val="7"/>
          <w:lang w:eastAsia="zh-CN"/>
        </w:rPr>
        <w:t>，创近五个月以来最大涨幅，高于市场预期的</w:t>
      </w:r>
      <w:r w:rsidRPr="003614EA">
        <w:rPr>
          <w:rFonts w:ascii="微软雅黑" w:eastAsia="微软雅黑" w:hAnsi="微软雅黑" w:cs="微软雅黑"/>
          <w:spacing w:val="7"/>
          <w:lang w:eastAsia="zh-CN"/>
        </w:rPr>
        <w:t>3.6%</w:t>
      </w:r>
      <w:r w:rsidRPr="003614EA">
        <w:rPr>
          <w:rFonts w:ascii="微软雅黑" w:eastAsia="微软雅黑" w:hAnsi="微软雅黑" w:cs="微软雅黑" w:hint="eastAsia"/>
          <w:spacing w:val="7"/>
          <w:lang w:eastAsia="zh-CN"/>
        </w:rPr>
        <w:t>；核心</w:t>
      </w:r>
      <w:r w:rsidRPr="003614EA">
        <w:rPr>
          <w:rFonts w:ascii="微软雅黑" w:eastAsia="微软雅黑" w:hAnsi="微软雅黑" w:cs="微软雅黑"/>
          <w:spacing w:val="7"/>
          <w:lang w:eastAsia="zh-CN"/>
        </w:rPr>
        <w:t>CPI</w:t>
      </w:r>
      <w:r w:rsidRPr="003614EA">
        <w:rPr>
          <w:rFonts w:ascii="微软雅黑" w:eastAsia="微软雅黑" w:hAnsi="微软雅黑" w:cs="微软雅黑" w:hint="eastAsia"/>
          <w:spacing w:val="7"/>
          <w:lang w:eastAsia="zh-CN"/>
        </w:rPr>
        <w:t>同比上涨</w:t>
      </w:r>
      <w:r w:rsidRPr="003614EA">
        <w:rPr>
          <w:rFonts w:ascii="微软雅黑" w:eastAsia="微软雅黑" w:hAnsi="微软雅黑" w:cs="微软雅黑"/>
          <w:spacing w:val="7"/>
          <w:lang w:eastAsia="zh-CN"/>
        </w:rPr>
        <w:t>2.6%</w:t>
      </w:r>
      <w:r w:rsidRPr="003614EA">
        <w:rPr>
          <w:rFonts w:ascii="微软雅黑" w:eastAsia="微软雅黑" w:hAnsi="微软雅黑" w:cs="微软雅黑" w:hint="eastAsia"/>
          <w:spacing w:val="7"/>
          <w:lang w:eastAsia="zh-CN"/>
        </w:rPr>
        <w:t>，预期</w:t>
      </w:r>
      <w:r w:rsidRPr="003614EA">
        <w:rPr>
          <w:rFonts w:ascii="微软雅黑" w:eastAsia="微软雅黑" w:hAnsi="微软雅黑" w:cs="微软雅黑"/>
          <w:spacing w:val="7"/>
          <w:lang w:eastAsia="zh-CN"/>
        </w:rPr>
        <w:t>2.5%</w:t>
      </w:r>
      <w:r w:rsidRPr="003614EA">
        <w:rPr>
          <w:rFonts w:ascii="微软雅黑" w:eastAsia="微软雅黑" w:hAnsi="微软雅黑" w:cs="微软雅黑" w:hint="eastAsia"/>
          <w:spacing w:val="7"/>
          <w:lang w:eastAsia="zh-CN"/>
        </w:rPr>
        <w:t>，创近四个月以来最大涨幅。超预期的通胀数据加剧了市场对美联储本月加息的预期。据</w:t>
      </w:r>
      <w:r w:rsidRPr="003614EA">
        <w:rPr>
          <w:rFonts w:ascii="微软雅黑" w:eastAsia="微软雅黑" w:hAnsi="微软雅黑" w:cs="微软雅黑"/>
          <w:spacing w:val="7"/>
          <w:lang w:eastAsia="zh-CN"/>
        </w:rPr>
        <w:t xml:space="preserve">CME </w:t>
      </w:r>
      <w:proofErr w:type="spellStart"/>
      <w:r w:rsidRPr="003614EA">
        <w:rPr>
          <w:rFonts w:ascii="微软雅黑" w:eastAsia="微软雅黑" w:hAnsi="微软雅黑" w:cs="微软雅黑"/>
          <w:spacing w:val="7"/>
          <w:lang w:eastAsia="zh-CN"/>
        </w:rPr>
        <w:t>Fedwatch</w:t>
      </w:r>
      <w:proofErr w:type="spellEnd"/>
      <w:r w:rsidRPr="003614EA">
        <w:rPr>
          <w:rFonts w:ascii="微软雅黑" w:eastAsia="微软雅黑" w:hAnsi="微软雅黑" w:cs="微软雅黑" w:hint="eastAsia"/>
          <w:spacing w:val="7"/>
          <w:lang w:eastAsia="zh-CN"/>
        </w:rPr>
        <w:t>数据显示，美联储本月加息概率升至</w:t>
      </w:r>
      <w:r w:rsidRPr="003614EA">
        <w:rPr>
          <w:rFonts w:ascii="微软雅黑" w:eastAsia="微软雅黑" w:hAnsi="微软雅黑" w:cs="微软雅黑"/>
          <w:spacing w:val="7"/>
          <w:lang w:eastAsia="zh-CN"/>
        </w:rPr>
        <w:t>37%</w:t>
      </w:r>
      <w:r w:rsidRPr="003614EA">
        <w:rPr>
          <w:rFonts w:ascii="微软雅黑" w:eastAsia="微软雅黑" w:hAnsi="微软雅黑" w:cs="微软雅黑" w:hint="eastAsia"/>
          <w:spacing w:val="7"/>
          <w:lang w:eastAsia="zh-CN"/>
        </w:rPr>
        <w:t>，远高于周二的</w:t>
      </w:r>
      <w:r w:rsidRPr="003614EA">
        <w:rPr>
          <w:rFonts w:ascii="微软雅黑" w:eastAsia="微软雅黑" w:hAnsi="微软雅黑" w:cs="微软雅黑"/>
          <w:spacing w:val="7"/>
          <w:lang w:eastAsia="zh-CN"/>
        </w:rPr>
        <w:t>22%</w:t>
      </w:r>
      <w:r w:rsidRPr="003614EA">
        <w:rPr>
          <w:rFonts w:ascii="微软雅黑" w:eastAsia="微软雅黑" w:hAnsi="微软雅黑" w:cs="微软雅黑" w:hint="eastAsia"/>
          <w:spacing w:val="7"/>
          <w:lang w:eastAsia="zh-CN"/>
        </w:rPr>
        <w:t>。芝加哥联储主席古尔斯比表示，美国</w:t>
      </w:r>
      <w:r w:rsidRPr="003614EA">
        <w:rPr>
          <w:rFonts w:ascii="微软雅黑" w:eastAsia="微软雅黑" w:hAnsi="微软雅黑" w:cs="微软雅黑"/>
          <w:spacing w:val="7"/>
          <w:lang w:eastAsia="zh-CN"/>
        </w:rPr>
        <w:t>9</w:t>
      </w:r>
      <w:r w:rsidRPr="003614EA">
        <w:rPr>
          <w:rFonts w:ascii="微软雅黑" w:eastAsia="微软雅黑" w:hAnsi="微软雅黑" w:cs="微软雅黑" w:hint="eastAsia"/>
          <w:spacing w:val="7"/>
          <w:lang w:eastAsia="zh-CN"/>
        </w:rPr>
        <w:t>月通胀数据高于预期令人失望，如果核心通胀持续维持在月度涨幅年化约</w:t>
      </w:r>
      <w:r w:rsidRPr="003614EA">
        <w:rPr>
          <w:rFonts w:ascii="微软雅黑" w:eastAsia="微软雅黑" w:hAnsi="微软雅黑" w:cs="微软雅黑"/>
          <w:spacing w:val="7"/>
          <w:lang w:eastAsia="zh-CN"/>
        </w:rPr>
        <w:t>4%</w:t>
      </w:r>
      <w:r w:rsidRPr="003614EA">
        <w:rPr>
          <w:rFonts w:ascii="微软雅黑" w:eastAsia="微软雅黑" w:hAnsi="微软雅黑" w:cs="微软雅黑" w:hint="eastAsia"/>
          <w:spacing w:val="7"/>
          <w:lang w:eastAsia="zh-CN"/>
        </w:rPr>
        <w:t>的水平，将完全不可接受，美联储必须采取政策行动。加息预期升温支撑美债收益率抬升，短期美元具备上行动力，美元指数有望维持偏强震荡格局。</w:t>
      </w:r>
    </w:p>
    <w:p w14:paraId="502379A4" w14:textId="0E696CF2" w:rsidR="002760F0" w:rsidRPr="002760F0" w:rsidRDefault="003614EA" w:rsidP="003614EA">
      <w:pPr>
        <w:spacing w:before="103" w:line="256" w:lineRule="auto"/>
        <w:ind w:right="210" w:firstLineChars="200" w:firstLine="448"/>
        <w:rPr>
          <w:rFonts w:ascii="微软雅黑" w:eastAsia="微软雅黑" w:hAnsi="微软雅黑" w:cs="微软雅黑" w:hint="eastAsia"/>
          <w:spacing w:val="7"/>
          <w:lang w:eastAsia="zh-CN"/>
        </w:rPr>
      </w:pPr>
      <w:r w:rsidRPr="003614EA">
        <w:rPr>
          <w:rFonts w:ascii="微软雅黑" w:eastAsia="微软雅黑" w:hAnsi="微软雅黑" w:cs="微软雅黑" w:hint="eastAsia"/>
          <w:spacing w:val="7"/>
          <w:lang w:eastAsia="zh-CN"/>
        </w:rPr>
        <w:t>欧元区方面，整体经济呈现冷热分化态势，服务业景气边际回落，制造业延续温和修复，但区域内国别差异较大，内需复苏动能偏弱。通胀回落节奏不及市场预期，欧央行降息时点持续延后，叠加财政债务风险隐忧，受美元高位压制，欧元震荡偏弱。日本经济数据喜忧参半，薪资回暖支撑通胀韧性，但私人消费修复乏力，日本央行维持谨慎立场，短期难有进一步收紧动作，美日利差仍维持高位，日元承压震荡。展望后市，美联储偏鹰态度使得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67E4C7B8" w:rsidR="007A477E" w:rsidRDefault="003614EA"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9C0CB0">
        <w:rPr>
          <w:rFonts w:ascii="黑体" w:eastAsia="黑体" w:hAnsi="黑体" w:cs="黑体"/>
          <w:noProof/>
          <w:color w:val="000000" w:themeColor="text1"/>
          <w:sz w:val="22"/>
          <w:szCs w:val="22"/>
          <w:shd w:val="clear" w:color="auto" w:fill="FFFFFF"/>
        </w:rPr>
        <w:lastRenderedPageBreak/>
        <w:drawing>
          <wp:inline distT="0" distB="0" distL="0" distR="0" wp14:anchorId="4ECEC4A5" wp14:editId="1B5FC9A8">
            <wp:extent cx="5274310" cy="1581651"/>
            <wp:effectExtent l="0" t="0" r="2540" b="0"/>
            <wp:docPr id="2" name="图片 2" descr="C:\Users\Administrator\xwechat_files\wxid_vkxlzo0vqu7s22_6f5b\temp\InputTemp\abe86bb9-45f9-42e6-b5cb-6892570236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abe86bb9-45f9-42e6-b5cb-689257023688.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81651"/>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62FABE88" w14:textId="2DAECE5E" w:rsidR="00760346" w:rsidRDefault="003614EA" w:rsidP="00E73EA1">
      <w:pPr>
        <w:spacing w:before="103" w:line="256" w:lineRule="auto"/>
        <w:ind w:right="210" w:firstLine="448"/>
        <w:rPr>
          <w:rFonts w:ascii="微软雅黑" w:eastAsia="微软雅黑" w:hAnsi="微软雅黑" w:cs="微软雅黑" w:hint="eastAsia"/>
          <w:spacing w:val="7"/>
          <w:lang w:eastAsia="zh-CN"/>
        </w:rPr>
      </w:pPr>
      <w:r w:rsidRPr="003614EA">
        <w:rPr>
          <w:rFonts w:ascii="微软雅黑" w:eastAsia="微软雅黑" w:hAnsi="微软雅黑" w:cs="微软雅黑"/>
          <w:spacing w:val="7"/>
          <w:lang w:eastAsia="zh-CN"/>
        </w:rPr>
        <w:t>截至10月19日，标普500指数上涨0.41%至7690.73；迷你标普500主力合约上涨0.48%至7739.75点。地缘局势上，地缘局势上，伊朗伊斯兰革命卫队发言人穆赫比表示，如果爆发战争，伊朗的回应将更加严厉，世界也将面临严重的能源危机。他强调，如果伊朗不安全，那么地区将不再安全。能源供应中断的担忧依然存在，昨日美债收益率明显走高。整体来看，地缘局势仍未好转，油价预计呈现震荡态势，输入性通胀的压力依然存在，同时美股三季报将是当前市场的关注焦点，人工智能相关股票的业绩表现对美股能否继续上涨起到关键影响</w:t>
      </w:r>
      <w:r w:rsidR="00760346" w:rsidRPr="00760346">
        <w:rPr>
          <w:rFonts w:ascii="微软雅黑" w:eastAsia="微软雅黑" w:hAnsi="微软雅黑" w:cs="微软雅黑"/>
          <w:spacing w:val="7"/>
          <w:lang w:eastAsia="zh-CN"/>
        </w:rPr>
        <w:t>。</w:t>
      </w:r>
    </w:p>
    <w:p w14:paraId="022ECE8C" w14:textId="4E13A701" w:rsidR="00E73EA1" w:rsidRPr="00E73EA1" w:rsidRDefault="00115A1A" w:rsidP="00E73EA1">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1860D184" w:rsidR="007A477E" w:rsidRPr="00EE7376" w:rsidRDefault="003614EA" w:rsidP="006B6996">
      <w:pPr>
        <w:spacing w:before="103" w:line="256" w:lineRule="auto"/>
        <w:ind w:right="210" w:firstLine="420"/>
        <w:jc w:val="center"/>
        <w:rPr>
          <w:rFonts w:ascii="微软雅黑" w:eastAsia="微软雅黑" w:hAnsi="微软雅黑" w:cs="微软雅黑" w:hint="eastAsia"/>
          <w:spacing w:val="7"/>
          <w:lang w:eastAsia="zh-CN"/>
        </w:rPr>
      </w:pPr>
      <w:r w:rsidRPr="00181453">
        <w:rPr>
          <w:rFonts w:ascii="Helvetica" w:hAnsi="Helvetica" w:cs="Helvetica"/>
          <w:noProof/>
          <w:shd w:val="clear" w:color="auto" w:fill="FFFFFF"/>
        </w:rPr>
        <w:drawing>
          <wp:inline distT="0" distB="0" distL="0" distR="0" wp14:anchorId="55526DD3" wp14:editId="4EEDFF16">
            <wp:extent cx="5274310" cy="1597105"/>
            <wp:effectExtent l="0" t="0" r="2540" b="3175"/>
            <wp:docPr id="269900305" name="图片 269900305" descr="C:\Users\Administrator\xwechat_files\wxid_vkxlzo0vqu7s22_6f5b\temp\InputTemp\fa5d6cd7-577d-49f9-814f-b7df811437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fa5d6cd7-577d-49f9-814f-b7df811437f7.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97105"/>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7030FB9A" w14:textId="0F9D6F77" w:rsidR="00760346" w:rsidRDefault="003614EA" w:rsidP="000511AA">
      <w:pPr>
        <w:spacing w:before="103" w:line="256" w:lineRule="auto"/>
        <w:ind w:right="210" w:firstLine="448"/>
        <w:jc w:val="both"/>
        <w:rPr>
          <w:rFonts w:ascii="微软雅黑" w:eastAsia="微软雅黑" w:hAnsi="微软雅黑" w:cs="微软雅黑" w:hint="eastAsia"/>
          <w:spacing w:val="7"/>
          <w:lang w:eastAsia="zh-CN"/>
        </w:rPr>
      </w:pPr>
      <w:r w:rsidRPr="003614EA">
        <w:rPr>
          <w:rFonts w:ascii="微软雅黑" w:eastAsia="微软雅黑" w:hAnsi="微软雅黑" w:cs="微软雅黑"/>
          <w:spacing w:val="7"/>
          <w:lang w:eastAsia="zh-CN"/>
        </w:rPr>
        <w:t>截至10月19日，富时中国A50指数下跌0.04%至13501.7；新交所富时A50期指主力合约上涨0.03%至13344。海外方面，货币政策上，美联储主席沃什表示，不会提前判断10月议息会议的政策决定，也不会就今年剩余会议利率路径释放信号。沃什延续了其不进行前瞻指引的政策立场。市场对于美联储10月份维持利率不变的预期不断强化，同时12月加息25BP的预期也在上升。国内方面，宏观基本面，受去年同期低基数影响，三季度GDP小幅回升，9月份国内规上工业增加值、社零、进出口均明显上升，固投亦持平于前值，经济基本面有所企稳。同时新质生产力相关产业生产、投资、贸易均保持领先态势。上市公司基本面，已披露三季报与三季报业绩预告的上市公司多数表现良好，景气方向集中在AI产业链与受外部环境影响的化工产品。整体来看，10月份，上市公司进入三季报披露期，从三季度经济数据看，高端出口与先进制造仍是景气较高的领域，A股三季报预计呼应这一趋势，相关板块有望获得较好表现。然而，海外地缘局势带来的流动性收紧冲击，在一定程度上限制A股上行空间。</w:t>
      </w:r>
    </w:p>
    <w:p w14:paraId="11AC0A6A" w14:textId="1CC5ED65"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lastRenderedPageBreak/>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3E3C4DB8" w:rsidR="00A10388" w:rsidRDefault="003614EA" w:rsidP="00A10388">
      <w:pPr>
        <w:spacing w:before="120" w:line="190" w:lineRule="auto"/>
        <w:ind w:right="210" w:firstLine="422"/>
        <w:jc w:val="center"/>
        <w:rPr>
          <w:rFonts w:ascii="新宋体" w:eastAsia="新宋体" w:hAnsi="新宋体" w:hint="eastAsia"/>
          <w:lang w:eastAsia="zh-CN"/>
        </w:rPr>
      </w:pPr>
      <w:r w:rsidRPr="00DE54E3">
        <w:rPr>
          <w:rFonts w:ascii="宋体" w:eastAsia="宋体" w:hAnsi="宋体"/>
          <w:b/>
          <w:noProof/>
        </w:rPr>
        <w:drawing>
          <wp:inline distT="0" distB="0" distL="0" distR="0" wp14:anchorId="2A7E5FC4" wp14:editId="28A7F851">
            <wp:extent cx="5274310" cy="1587102"/>
            <wp:effectExtent l="0" t="0" r="2540" b="0"/>
            <wp:docPr id="1778107762" name="图片 1778107762" descr="C:\Users\Administrator\xwechat_files\wxid_vkxlzo0vqu7s22_6f5b\temp\InputTemp\f0eaadc1-502d-4ea8-8a40-308a440458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f0eaadc1-502d-4ea8-8a40-308a4404583e.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87102"/>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2D8422E7" w14:textId="68B3BF04" w:rsidR="00760346" w:rsidRDefault="003614EA" w:rsidP="00F51117">
      <w:pPr>
        <w:spacing w:before="103" w:line="256" w:lineRule="auto"/>
        <w:ind w:right="210" w:firstLine="448"/>
        <w:jc w:val="both"/>
        <w:rPr>
          <w:rFonts w:ascii="微软雅黑" w:eastAsia="微软雅黑" w:hAnsi="微软雅黑" w:cs="微软雅黑" w:hint="eastAsia"/>
          <w:spacing w:val="12"/>
          <w:lang w:eastAsia="zh-CN"/>
        </w:rPr>
      </w:pPr>
      <w:r w:rsidRPr="003614EA">
        <w:rPr>
          <w:rFonts w:ascii="微软雅黑" w:eastAsia="微软雅黑" w:hAnsi="微软雅黑" w:cs="微软雅黑"/>
          <w:spacing w:val="12"/>
          <w:lang w:eastAsia="zh-CN"/>
        </w:rPr>
        <w:t>隔夜COMEX铜震荡走势，报收6.584元/磅，涨跌幅+0.16%。国际方面，美国9月制造业产值环比增长0.3%，8月数据经修正后为下降0.2%。包括采矿业和公用事业的整体工业产值增长0.7%，创五个月最大增幅。半导体产值环比增长逾2%，同比则大幅增长近20%。国内方面，国家统计局公布数据显示，今年前三季度国内生产总值（GDP）为107.11万亿元，按不变价格计算，同比增长4.6%。分季度看，一季度GDP同比增长5.0%，二季度增长4.3%，三季度增长4.5%。规模以上工业增加值、服务业增加值、社会消费品零售均出现好转，固定资产投资企稳，房地产开发投资则继续加速下滑。新动能对经济增长的贡献率继续保持在40%以上。库存方面，截至2026年10月19日，COMEX铜库存为791679短吨，环比+1293短吨；LME铜库存为232175吨，环比+6750吨；SHFE每日仓单35410吨，环比-976吨。美元美债方面，由于欧洲社会动荡打压欧元，美元指数跳空高开，随后横盘震荡，最终收涨0.16%，报101.97。基准的10年期美债收益率美盘时段明显走高，收涨超6个基点，报5.143%；对美联储政策利率敏感的2年期美债收益率收涨7个基点，报4.7850%。操作建议，纽铜主力合约轻仓逢低短多交易，仅供参考</w:t>
      </w:r>
      <w:r w:rsidR="00760346" w:rsidRPr="00760346">
        <w:rPr>
          <w:rFonts w:ascii="微软雅黑" w:eastAsia="微软雅黑" w:hAnsi="微软雅黑" w:cs="微软雅黑"/>
          <w:spacing w:val="12"/>
          <w:lang w:eastAsia="zh-CN"/>
        </w:rPr>
        <w:t>。</w:t>
      </w:r>
    </w:p>
    <w:p w14:paraId="18E9CDAF" w14:textId="539F9E2E"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0AE9AE5A" w:rsidR="00A02266" w:rsidRDefault="003614EA" w:rsidP="006B6996">
      <w:pPr>
        <w:spacing w:before="103" w:line="256" w:lineRule="auto"/>
        <w:ind w:right="210" w:firstLine="420"/>
        <w:jc w:val="center"/>
      </w:pPr>
      <w:r>
        <w:rPr>
          <w:noProof/>
        </w:rPr>
        <w:drawing>
          <wp:inline distT="0" distB="0" distL="0" distR="0" wp14:anchorId="41D25995" wp14:editId="3DC38D62">
            <wp:extent cx="5274310" cy="2879090"/>
            <wp:effectExtent l="0" t="0" r="2540" b="0"/>
            <wp:docPr id="15682025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202586"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0C027B61" w14:textId="37AA6E94" w:rsidR="00760346" w:rsidRDefault="003614EA" w:rsidP="00B00DB4">
      <w:pPr>
        <w:spacing w:before="103" w:line="256" w:lineRule="auto"/>
        <w:ind w:right="210" w:firstLine="468"/>
        <w:jc w:val="both"/>
        <w:rPr>
          <w:rFonts w:ascii="微软雅黑" w:eastAsia="微软雅黑" w:hAnsi="微软雅黑" w:cs="微软雅黑" w:hint="eastAsia"/>
          <w:noProof/>
          <w:spacing w:val="7"/>
          <w:lang w:eastAsia="zh-CN"/>
        </w:rPr>
      </w:pPr>
      <w:r w:rsidRPr="003614EA">
        <w:rPr>
          <w:rFonts w:ascii="微软雅黑" w:eastAsia="微软雅黑" w:hAnsi="微软雅黑" w:cs="微软雅黑"/>
          <w:noProof/>
          <w:spacing w:val="7"/>
          <w:lang w:eastAsia="zh-CN"/>
        </w:rPr>
        <w:t>隔夜，国际贵金属期货收盘涨跌不一，COMEX黄金期货跌0.63%报4160.30美元/盎司，COMEX白银期货涨0.17%报57.23美元/盎司。海外方面，地缘局势上，伊朗伊斯兰革命卫队发言人穆赫比表示，如果爆发战争，伊朗的回应将更加严厉，世界也将面临严重的能源危机。他强调，如果伊朗不安全，那么地区将不再安全。能源供应中断的担忧依然存在，昨日美债收益率明显走高。货币政策上，美联储主席沃什表示，不会提前判断10月议息会议的政策决定，也不会就今年剩余会议利率路径释放信号。沃什延续了其不进行前瞻指引的政策立场。市场对于美联储10月份维持利率不变的预期不断强化，同时12月加息25BP的预期也在上升。整体来看，央行购金仍是黄金有力的底部支撑。然而地缘局势带来的输入性通胀担忧仍未消退，美国9月通胀数据超预期上行，进一步加剧了市场对流动性收紧的担忧。虽然美元、美债收益率较此前高位回落，但美联储年内再加息一次仍是市场基准情形，美元、美债收益率回落空间有限，黄金中期压力依旧明显。本周，美联储官员将进入议息会议前的噤声期，同时，随着重要经济数据公布完毕，宏观数据与货币政策制定者公开讲话对市场的影响将有所减弱，若地缘局势未能继续推高油价，黄金将跟随美元、美债收益率反向波动，工业属性更强白银波动预计大于黄金</w:t>
      </w:r>
      <w:r w:rsidR="00760346" w:rsidRPr="00760346">
        <w:rPr>
          <w:rFonts w:ascii="微软雅黑" w:eastAsia="微软雅黑" w:hAnsi="微软雅黑" w:cs="微软雅黑"/>
          <w:noProof/>
          <w:spacing w:val="7"/>
          <w:lang w:eastAsia="zh-CN"/>
        </w:rPr>
        <w:t>。</w:t>
      </w:r>
    </w:p>
    <w:p w14:paraId="6AF3D94C" w14:textId="3EA6471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49659B10" w:rsidR="007A477E" w:rsidRDefault="003614EA"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9C0CB0">
        <w:rPr>
          <w:rFonts w:ascii="黑体" w:eastAsia="黑体" w:hAnsi="黑体"/>
          <w:noProof/>
          <w:sz w:val="22"/>
          <w:szCs w:val="22"/>
          <w:shd w:val="clear" w:color="auto" w:fill="FFFFFF"/>
        </w:rPr>
        <w:drawing>
          <wp:inline distT="0" distB="0" distL="0" distR="0" wp14:anchorId="59FAA368" wp14:editId="165A7E32">
            <wp:extent cx="5274310" cy="1584860"/>
            <wp:effectExtent l="0" t="0" r="2540" b="0"/>
            <wp:docPr id="3" name="图片 3" descr="C:\Users\Administrator\xwechat_files\wxid_vkxlzo0vqu7s22_6f5b\temp\InputTemp\9af188b6-cc35-4db3-bff7-70c68329b1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9af188b6-cc35-4db3-bff7-70c68329b1b3.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84860"/>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6724A95B" w14:textId="77777777" w:rsidR="003614EA" w:rsidRPr="003614EA" w:rsidRDefault="003614EA" w:rsidP="003614EA">
      <w:pPr>
        <w:spacing w:before="103" w:line="256" w:lineRule="auto"/>
        <w:ind w:leftChars="200" w:left="420" w:right="210" w:firstLine="448"/>
        <w:jc w:val="both"/>
        <w:rPr>
          <w:rFonts w:ascii="微软雅黑" w:eastAsia="微软雅黑" w:hAnsi="微软雅黑" w:cs="微软雅黑"/>
          <w:noProof/>
          <w:spacing w:val="7"/>
          <w:lang w:eastAsia="zh-CN"/>
        </w:rPr>
      </w:pPr>
      <w:r w:rsidRPr="003614EA">
        <w:rPr>
          <w:rFonts w:ascii="微软雅黑" w:eastAsia="微软雅黑" w:hAnsi="微软雅黑" w:cs="微软雅黑" w:hint="eastAsia"/>
          <w:noProof/>
          <w:spacing w:val="7"/>
          <w:lang w:eastAsia="zh-CN"/>
        </w:rPr>
        <w:t>洲际交易所</w:t>
      </w:r>
      <w:r w:rsidRPr="003614EA">
        <w:rPr>
          <w:rFonts w:ascii="微软雅黑" w:eastAsia="微软雅黑" w:hAnsi="微软雅黑" w:cs="微软雅黑"/>
          <w:noProof/>
          <w:spacing w:val="7"/>
          <w:lang w:eastAsia="zh-CN"/>
        </w:rPr>
        <w:t>(ICE)</w:t>
      </w:r>
      <w:r w:rsidRPr="003614EA">
        <w:rPr>
          <w:rFonts w:ascii="微软雅黑" w:eastAsia="微软雅黑" w:hAnsi="微软雅黑" w:cs="微软雅黑" w:hint="eastAsia"/>
          <w:noProof/>
          <w:spacing w:val="7"/>
          <w:lang w:eastAsia="zh-CN"/>
        </w:rPr>
        <w:t>原糖期货周一下跌，因印度要求国有燃料零售商自</w:t>
      </w:r>
      <w:r w:rsidRPr="003614EA">
        <w:rPr>
          <w:rFonts w:ascii="微软雅黑" w:eastAsia="微软雅黑" w:hAnsi="微软雅黑" w:cs="微软雅黑"/>
          <w:noProof/>
          <w:spacing w:val="7"/>
          <w:lang w:eastAsia="zh-CN"/>
        </w:rPr>
        <w:t>11</w:t>
      </w:r>
      <w:r w:rsidRPr="003614EA">
        <w:rPr>
          <w:rFonts w:ascii="微软雅黑" w:eastAsia="微软雅黑" w:hAnsi="微软雅黑" w:cs="微软雅黑" w:hint="eastAsia"/>
          <w:noProof/>
          <w:spacing w:val="7"/>
          <w:lang w:eastAsia="zh-CN"/>
        </w:rPr>
        <w:t>月</w:t>
      </w:r>
      <w:r w:rsidRPr="003614EA">
        <w:rPr>
          <w:rFonts w:ascii="微软雅黑" w:eastAsia="微软雅黑" w:hAnsi="微软雅黑" w:cs="微软雅黑"/>
          <w:noProof/>
          <w:spacing w:val="7"/>
          <w:lang w:eastAsia="zh-CN"/>
        </w:rPr>
        <w:t>1</w:t>
      </w:r>
      <w:r w:rsidRPr="003614EA">
        <w:rPr>
          <w:rFonts w:ascii="微软雅黑" w:eastAsia="微软雅黑" w:hAnsi="微软雅黑" w:cs="微软雅黑" w:hint="eastAsia"/>
          <w:noProof/>
          <w:spacing w:val="7"/>
          <w:lang w:eastAsia="zh-CN"/>
        </w:rPr>
        <w:t>日起停止糖基乙醇采购，此举预计将增加食糖供应。</w:t>
      </w:r>
      <w:r w:rsidRPr="003614EA">
        <w:rPr>
          <w:rFonts w:ascii="微软雅黑" w:eastAsia="微软雅黑" w:hAnsi="微软雅黑" w:cs="微软雅黑"/>
          <w:noProof/>
          <w:spacing w:val="7"/>
          <w:lang w:eastAsia="zh-CN"/>
        </w:rPr>
        <w:t>ICE</w:t>
      </w:r>
      <w:r w:rsidRPr="003614EA">
        <w:rPr>
          <w:rFonts w:ascii="微软雅黑" w:eastAsia="微软雅黑" w:hAnsi="微软雅黑" w:cs="微软雅黑" w:hint="eastAsia"/>
          <w:noProof/>
          <w:spacing w:val="7"/>
          <w:lang w:eastAsia="zh-CN"/>
        </w:rPr>
        <w:t>交投最活跃的</w:t>
      </w:r>
      <w:r w:rsidRPr="003614EA">
        <w:rPr>
          <w:rFonts w:ascii="微软雅黑" w:eastAsia="微软雅黑" w:hAnsi="微软雅黑" w:cs="微软雅黑"/>
          <w:noProof/>
          <w:spacing w:val="7"/>
          <w:lang w:eastAsia="zh-CN"/>
        </w:rPr>
        <w:t>3</w:t>
      </w:r>
      <w:r w:rsidRPr="003614EA">
        <w:rPr>
          <w:rFonts w:ascii="微软雅黑" w:eastAsia="微软雅黑" w:hAnsi="微软雅黑" w:cs="微软雅黑" w:hint="eastAsia"/>
          <w:noProof/>
          <w:spacing w:val="7"/>
          <w:lang w:eastAsia="zh-CN"/>
        </w:rPr>
        <w:t>月原糖期货收跌</w:t>
      </w:r>
      <w:r w:rsidRPr="003614EA">
        <w:rPr>
          <w:rFonts w:ascii="微软雅黑" w:eastAsia="微软雅黑" w:hAnsi="微软雅黑" w:cs="微软雅黑"/>
          <w:noProof/>
          <w:spacing w:val="7"/>
          <w:lang w:eastAsia="zh-CN"/>
        </w:rPr>
        <w:t>0.28</w:t>
      </w:r>
      <w:r w:rsidRPr="003614EA">
        <w:rPr>
          <w:rFonts w:ascii="微软雅黑" w:eastAsia="微软雅黑" w:hAnsi="微软雅黑" w:cs="微软雅黑" w:hint="eastAsia"/>
          <w:noProof/>
          <w:spacing w:val="7"/>
          <w:lang w:eastAsia="zh-CN"/>
        </w:rPr>
        <w:t>美分或</w:t>
      </w:r>
      <w:r w:rsidRPr="003614EA">
        <w:rPr>
          <w:rFonts w:ascii="微软雅黑" w:eastAsia="微软雅黑" w:hAnsi="微软雅黑" w:cs="微软雅黑"/>
          <w:noProof/>
          <w:spacing w:val="7"/>
          <w:lang w:eastAsia="zh-CN"/>
        </w:rPr>
        <w:t>1.34%</w:t>
      </w:r>
      <w:r w:rsidRPr="003614EA">
        <w:rPr>
          <w:rFonts w:ascii="微软雅黑" w:eastAsia="微软雅黑" w:hAnsi="微软雅黑" w:cs="微软雅黑" w:hint="eastAsia"/>
          <w:noProof/>
          <w:spacing w:val="7"/>
          <w:lang w:eastAsia="zh-CN"/>
        </w:rPr>
        <w:t>，结算价报每磅</w:t>
      </w:r>
      <w:r w:rsidRPr="003614EA">
        <w:rPr>
          <w:rFonts w:ascii="微软雅黑" w:eastAsia="微软雅黑" w:hAnsi="微软雅黑" w:cs="微软雅黑"/>
          <w:noProof/>
          <w:spacing w:val="7"/>
          <w:lang w:eastAsia="zh-CN"/>
        </w:rPr>
        <w:t>20.57</w:t>
      </w:r>
      <w:r w:rsidRPr="003614EA">
        <w:rPr>
          <w:rFonts w:ascii="微软雅黑" w:eastAsia="微软雅黑" w:hAnsi="微软雅黑" w:cs="微软雅黑" w:hint="eastAsia"/>
          <w:noProof/>
          <w:spacing w:val="7"/>
          <w:lang w:eastAsia="zh-CN"/>
        </w:rPr>
        <w:t>美分。</w:t>
      </w:r>
    </w:p>
    <w:p w14:paraId="23262EE6" w14:textId="0481F502" w:rsidR="00760346" w:rsidRDefault="003614EA" w:rsidP="003614EA">
      <w:pPr>
        <w:spacing w:before="103" w:line="256" w:lineRule="auto"/>
        <w:ind w:leftChars="200" w:left="420" w:right="210" w:firstLine="448"/>
        <w:jc w:val="both"/>
        <w:rPr>
          <w:rFonts w:ascii="微软雅黑" w:eastAsia="微软雅黑" w:hAnsi="微软雅黑" w:cs="微软雅黑" w:hint="eastAsia"/>
          <w:noProof/>
          <w:spacing w:val="7"/>
          <w:lang w:eastAsia="zh-CN"/>
        </w:rPr>
      </w:pPr>
      <w:r w:rsidRPr="003614EA">
        <w:rPr>
          <w:rFonts w:ascii="微软雅黑" w:eastAsia="微软雅黑" w:hAnsi="微软雅黑" w:cs="微软雅黑" w:hint="eastAsia"/>
          <w:noProof/>
          <w:spacing w:val="7"/>
          <w:lang w:eastAsia="zh-CN"/>
        </w:rPr>
        <w:t>国际方面，巴西航运机构</w:t>
      </w:r>
      <w:r w:rsidRPr="003614EA">
        <w:rPr>
          <w:rFonts w:ascii="微软雅黑" w:eastAsia="微软雅黑" w:hAnsi="微软雅黑" w:cs="微软雅黑"/>
          <w:noProof/>
          <w:spacing w:val="7"/>
          <w:lang w:eastAsia="zh-CN"/>
        </w:rPr>
        <w:t>Williams</w:t>
      </w:r>
      <w:r w:rsidRPr="003614EA">
        <w:rPr>
          <w:rFonts w:ascii="微软雅黑" w:eastAsia="微软雅黑" w:hAnsi="微软雅黑" w:cs="微软雅黑" w:hint="eastAsia"/>
          <w:noProof/>
          <w:spacing w:val="7"/>
          <w:lang w:eastAsia="zh-CN"/>
        </w:rPr>
        <w:t>发布的数据显示，截至</w:t>
      </w:r>
      <w:r w:rsidRPr="003614EA">
        <w:rPr>
          <w:rFonts w:ascii="微软雅黑" w:eastAsia="微软雅黑" w:hAnsi="微软雅黑" w:cs="微软雅黑"/>
          <w:noProof/>
          <w:spacing w:val="7"/>
          <w:lang w:eastAsia="zh-CN"/>
        </w:rPr>
        <w:t>10</w:t>
      </w:r>
      <w:r w:rsidRPr="003614EA">
        <w:rPr>
          <w:rFonts w:ascii="微软雅黑" w:eastAsia="微软雅黑" w:hAnsi="微软雅黑" w:cs="微软雅黑" w:hint="eastAsia"/>
          <w:noProof/>
          <w:spacing w:val="7"/>
          <w:lang w:eastAsia="zh-CN"/>
        </w:rPr>
        <w:t>月</w:t>
      </w:r>
      <w:r w:rsidRPr="003614EA">
        <w:rPr>
          <w:rFonts w:ascii="微软雅黑" w:eastAsia="微软雅黑" w:hAnsi="微软雅黑" w:cs="微软雅黑"/>
          <w:noProof/>
          <w:spacing w:val="7"/>
          <w:lang w:eastAsia="zh-CN"/>
        </w:rPr>
        <w:t>14</w:t>
      </w:r>
      <w:r w:rsidRPr="003614EA">
        <w:rPr>
          <w:rFonts w:ascii="微软雅黑" w:eastAsia="微软雅黑" w:hAnsi="微软雅黑" w:cs="微软雅黑" w:hint="eastAsia"/>
          <w:noProof/>
          <w:spacing w:val="7"/>
          <w:lang w:eastAsia="zh-CN"/>
        </w:rPr>
        <w:t>日当周，巴西港口等待装运食糖的船只数量为</w:t>
      </w:r>
      <w:r w:rsidRPr="003614EA">
        <w:rPr>
          <w:rFonts w:ascii="微软雅黑" w:eastAsia="微软雅黑" w:hAnsi="微软雅黑" w:cs="微软雅黑"/>
          <w:noProof/>
          <w:spacing w:val="7"/>
          <w:lang w:eastAsia="zh-CN"/>
        </w:rPr>
        <w:t>53</w:t>
      </w:r>
      <w:r w:rsidRPr="003614EA">
        <w:rPr>
          <w:rFonts w:ascii="微软雅黑" w:eastAsia="微软雅黑" w:hAnsi="微软雅黑" w:cs="微软雅黑" w:hint="eastAsia"/>
          <w:noProof/>
          <w:spacing w:val="7"/>
          <w:lang w:eastAsia="zh-CN"/>
        </w:rPr>
        <w:t>艘，此前一周为</w:t>
      </w:r>
      <w:r w:rsidRPr="003614EA">
        <w:rPr>
          <w:rFonts w:ascii="微软雅黑" w:eastAsia="微软雅黑" w:hAnsi="微软雅黑" w:cs="微软雅黑"/>
          <w:noProof/>
          <w:spacing w:val="7"/>
          <w:lang w:eastAsia="zh-CN"/>
        </w:rPr>
        <w:t>62</w:t>
      </w:r>
      <w:r w:rsidRPr="003614EA">
        <w:rPr>
          <w:rFonts w:ascii="微软雅黑" w:eastAsia="微软雅黑" w:hAnsi="微软雅黑" w:cs="微软雅黑" w:hint="eastAsia"/>
          <w:noProof/>
          <w:spacing w:val="7"/>
          <w:lang w:eastAsia="zh-CN"/>
        </w:rPr>
        <w:t>艘。港口等待装运的食糖数量为</w:t>
      </w:r>
      <w:r w:rsidRPr="003614EA">
        <w:rPr>
          <w:rFonts w:ascii="微软雅黑" w:eastAsia="微软雅黑" w:hAnsi="微软雅黑" w:cs="微软雅黑"/>
          <w:noProof/>
          <w:spacing w:val="7"/>
          <w:lang w:eastAsia="zh-CN"/>
        </w:rPr>
        <w:t>188.89</w:t>
      </w:r>
      <w:r w:rsidRPr="003614EA">
        <w:rPr>
          <w:rFonts w:ascii="微软雅黑" w:eastAsia="微软雅黑" w:hAnsi="微软雅黑" w:cs="微软雅黑" w:hint="eastAsia"/>
          <w:noProof/>
          <w:spacing w:val="7"/>
          <w:lang w:eastAsia="zh-CN"/>
        </w:rPr>
        <w:t>万吨，较此前一周为</w:t>
      </w:r>
      <w:r w:rsidRPr="003614EA">
        <w:rPr>
          <w:rFonts w:ascii="微软雅黑" w:eastAsia="微软雅黑" w:hAnsi="微软雅黑" w:cs="微软雅黑"/>
          <w:noProof/>
          <w:spacing w:val="7"/>
          <w:lang w:eastAsia="zh-CN"/>
        </w:rPr>
        <w:t>220.50</w:t>
      </w:r>
      <w:r w:rsidRPr="003614EA">
        <w:rPr>
          <w:rFonts w:ascii="微软雅黑" w:eastAsia="微软雅黑" w:hAnsi="微软雅黑" w:cs="微软雅黑" w:hint="eastAsia"/>
          <w:noProof/>
          <w:spacing w:val="7"/>
          <w:lang w:eastAsia="zh-CN"/>
        </w:rPr>
        <w:t>万吨下降</w:t>
      </w:r>
      <w:r w:rsidRPr="003614EA">
        <w:rPr>
          <w:rFonts w:ascii="微软雅黑" w:eastAsia="微软雅黑" w:hAnsi="微软雅黑" w:cs="微软雅黑"/>
          <w:noProof/>
          <w:spacing w:val="7"/>
          <w:lang w:eastAsia="zh-CN"/>
        </w:rPr>
        <w:t>14.34%</w:t>
      </w:r>
      <w:r w:rsidRPr="003614EA">
        <w:rPr>
          <w:rFonts w:ascii="微软雅黑" w:eastAsia="微软雅黑" w:hAnsi="微软雅黑" w:cs="微软雅黑" w:hint="eastAsia"/>
          <w:noProof/>
          <w:spacing w:val="7"/>
          <w:lang w:eastAsia="zh-CN"/>
        </w:rPr>
        <w:t>。其中桑托斯港等待出口的食糖数量为</w:t>
      </w:r>
      <w:r w:rsidRPr="003614EA">
        <w:rPr>
          <w:rFonts w:ascii="微软雅黑" w:eastAsia="微软雅黑" w:hAnsi="微软雅黑" w:cs="微软雅黑"/>
          <w:noProof/>
          <w:spacing w:val="7"/>
          <w:lang w:eastAsia="zh-CN"/>
        </w:rPr>
        <w:t>122.96</w:t>
      </w:r>
      <w:r w:rsidRPr="003614EA">
        <w:rPr>
          <w:rFonts w:ascii="微软雅黑" w:eastAsia="微软雅黑" w:hAnsi="微软雅黑" w:cs="微软雅黑" w:hint="eastAsia"/>
          <w:noProof/>
          <w:spacing w:val="7"/>
          <w:lang w:eastAsia="zh-CN"/>
        </w:rPr>
        <w:t>万吨，环比下降</w:t>
      </w:r>
      <w:r w:rsidRPr="003614EA">
        <w:rPr>
          <w:rFonts w:ascii="微软雅黑" w:eastAsia="微软雅黑" w:hAnsi="微软雅黑" w:cs="微软雅黑"/>
          <w:noProof/>
          <w:spacing w:val="7"/>
          <w:lang w:eastAsia="zh-CN"/>
        </w:rPr>
        <w:t>21.57%</w:t>
      </w:r>
      <w:r w:rsidRPr="003614EA">
        <w:rPr>
          <w:rFonts w:ascii="微软雅黑" w:eastAsia="微软雅黑" w:hAnsi="微软雅黑" w:cs="微软雅黑" w:hint="eastAsia"/>
          <w:noProof/>
          <w:spacing w:val="7"/>
          <w:lang w:eastAsia="zh-CN"/>
        </w:rPr>
        <w:t>。当周等待装运出口的食糖船只数量减少</w:t>
      </w:r>
      <w:r w:rsidR="00760346" w:rsidRPr="00760346">
        <w:rPr>
          <w:rFonts w:ascii="微软雅黑" w:eastAsia="微软雅黑" w:hAnsi="微软雅黑" w:cs="微软雅黑" w:hint="eastAsia"/>
          <w:noProof/>
          <w:spacing w:val="7"/>
          <w:lang w:eastAsia="zh-CN"/>
        </w:rPr>
        <w:t>。</w:t>
      </w:r>
    </w:p>
    <w:p w14:paraId="2031B9D4" w14:textId="2FD89704" w:rsidR="00C24CC6" w:rsidRPr="00CF1235" w:rsidRDefault="004D5774" w:rsidP="00760346">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363B051A" w:rsidR="007A477E" w:rsidRPr="00786136" w:rsidRDefault="003614EA"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lastRenderedPageBreak/>
        <w:drawing>
          <wp:inline distT="0" distB="0" distL="0" distR="0" wp14:anchorId="1A2F25D3" wp14:editId="5E9F0A49">
            <wp:extent cx="5262245" cy="1915160"/>
            <wp:effectExtent l="0" t="0" r="0" b="8890"/>
            <wp:docPr id="568612687" name="图片 5" descr="QQ截图20261020080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9" descr="QQ截图202610200805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2245" cy="1915160"/>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13D1245B" w14:textId="77777777" w:rsidR="003614EA" w:rsidRPr="003614EA" w:rsidRDefault="003614EA" w:rsidP="003614EA">
      <w:pPr>
        <w:spacing w:before="103" w:line="256" w:lineRule="auto"/>
        <w:ind w:right="210" w:firstLine="448"/>
        <w:jc w:val="both"/>
        <w:rPr>
          <w:rFonts w:ascii="微软雅黑" w:eastAsia="微软雅黑" w:hAnsi="微软雅黑" w:cs="微软雅黑"/>
          <w:noProof/>
          <w:spacing w:val="7"/>
          <w:lang w:eastAsia="zh-CN"/>
        </w:rPr>
      </w:pPr>
      <w:r w:rsidRPr="003614EA">
        <w:rPr>
          <w:rFonts w:ascii="微软雅黑" w:eastAsia="微软雅黑" w:hAnsi="微软雅黑" w:cs="微软雅黑" w:hint="eastAsia"/>
          <w:noProof/>
          <w:spacing w:val="7"/>
          <w:lang w:eastAsia="zh-CN"/>
        </w:rPr>
        <w:t>洲际交易所</w:t>
      </w:r>
      <w:r w:rsidRPr="003614EA">
        <w:rPr>
          <w:rFonts w:ascii="微软雅黑" w:eastAsia="微软雅黑" w:hAnsi="微软雅黑" w:cs="微软雅黑"/>
          <w:noProof/>
          <w:spacing w:val="7"/>
          <w:lang w:eastAsia="zh-CN"/>
        </w:rPr>
        <w:t>(ICE)</w:t>
      </w:r>
      <w:r w:rsidRPr="003614EA">
        <w:rPr>
          <w:rFonts w:ascii="微软雅黑" w:eastAsia="微软雅黑" w:hAnsi="微软雅黑" w:cs="微软雅黑" w:hint="eastAsia"/>
          <w:noProof/>
          <w:spacing w:val="7"/>
          <w:lang w:eastAsia="zh-CN"/>
        </w:rPr>
        <w:t>棉花期货周一上涨，受纺企采购支撑。</w:t>
      </w:r>
      <w:r w:rsidRPr="003614EA">
        <w:rPr>
          <w:rFonts w:ascii="微软雅黑" w:eastAsia="微软雅黑" w:hAnsi="微软雅黑" w:cs="微软雅黑"/>
          <w:noProof/>
          <w:spacing w:val="7"/>
          <w:lang w:eastAsia="zh-CN"/>
        </w:rPr>
        <w:t>ICE 12</w:t>
      </w:r>
      <w:r w:rsidRPr="003614EA">
        <w:rPr>
          <w:rFonts w:ascii="微软雅黑" w:eastAsia="微软雅黑" w:hAnsi="微软雅黑" w:cs="微软雅黑" w:hint="eastAsia"/>
          <w:noProof/>
          <w:spacing w:val="7"/>
          <w:lang w:eastAsia="zh-CN"/>
        </w:rPr>
        <w:t>月棉花期货合约上涨</w:t>
      </w:r>
      <w:r w:rsidRPr="003614EA">
        <w:rPr>
          <w:rFonts w:ascii="微软雅黑" w:eastAsia="微软雅黑" w:hAnsi="微软雅黑" w:cs="微软雅黑"/>
          <w:noProof/>
          <w:spacing w:val="7"/>
          <w:lang w:eastAsia="zh-CN"/>
        </w:rPr>
        <w:t>0.13</w:t>
      </w:r>
      <w:r w:rsidRPr="003614EA">
        <w:rPr>
          <w:rFonts w:ascii="微软雅黑" w:eastAsia="微软雅黑" w:hAnsi="微软雅黑" w:cs="微软雅黑" w:hint="eastAsia"/>
          <w:noProof/>
          <w:spacing w:val="7"/>
          <w:lang w:eastAsia="zh-CN"/>
        </w:rPr>
        <w:t>美分或</w:t>
      </w:r>
      <w:r w:rsidRPr="003614EA">
        <w:rPr>
          <w:rFonts w:ascii="微软雅黑" w:eastAsia="微软雅黑" w:hAnsi="微软雅黑" w:cs="微软雅黑"/>
          <w:noProof/>
          <w:spacing w:val="7"/>
          <w:lang w:eastAsia="zh-CN"/>
        </w:rPr>
        <w:t>0.16%</w:t>
      </w:r>
      <w:r w:rsidRPr="003614EA">
        <w:rPr>
          <w:rFonts w:ascii="微软雅黑" w:eastAsia="微软雅黑" w:hAnsi="微软雅黑" w:cs="微软雅黑" w:hint="eastAsia"/>
          <w:noProof/>
          <w:spacing w:val="7"/>
          <w:lang w:eastAsia="zh-CN"/>
        </w:rPr>
        <w:t>，结算价报每磅</w:t>
      </w:r>
      <w:r w:rsidRPr="003614EA">
        <w:rPr>
          <w:rFonts w:ascii="微软雅黑" w:eastAsia="微软雅黑" w:hAnsi="微软雅黑" w:cs="微软雅黑"/>
          <w:noProof/>
          <w:spacing w:val="7"/>
          <w:lang w:eastAsia="zh-CN"/>
        </w:rPr>
        <w:t>80.13</w:t>
      </w:r>
      <w:r w:rsidRPr="003614EA">
        <w:rPr>
          <w:rFonts w:ascii="微软雅黑" w:eastAsia="微软雅黑" w:hAnsi="微软雅黑" w:cs="微软雅黑" w:hint="eastAsia"/>
          <w:noProof/>
          <w:spacing w:val="7"/>
          <w:lang w:eastAsia="zh-CN"/>
        </w:rPr>
        <w:t>美分。</w:t>
      </w:r>
    </w:p>
    <w:p w14:paraId="34CB106F" w14:textId="596C6823" w:rsidR="00760346" w:rsidRDefault="003614EA" w:rsidP="003614EA">
      <w:pPr>
        <w:spacing w:before="103" w:line="256" w:lineRule="auto"/>
        <w:ind w:right="210" w:firstLine="448"/>
        <w:jc w:val="both"/>
        <w:rPr>
          <w:rFonts w:ascii="微软雅黑" w:eastAsia="微软雅黑" w:hAnsi="微软雅黑" w:cs="微软雅黑" w:hint="eastAsia"/>
          <w:noProof/>
          <w:spacing w:val="7"/>
          <w:lang w:eastAsia="zh-CN"/>
        </w:rPr>
      </w:pPr>
      <w:r w:rsidRPr="003614EA">
        <w:rPr>
          <w:rFonts w:ascii="微软雅黑" w:eastAsia="微软雅黑" w:hAnsi="微软雅黑" w:cs="微软雅黑" w:hint="eastAsia"/>
          <w:noProof/>
          <w:spacing w:val="7"/>
          <w:lang w:eastAsia="zh-CN"/>
        </w:rPr>
        <w:t>国际方面，巴西地理与统计研究所（</w:t>
      </w:r>
      <w:r w:rsidRPr="003614EA">
        <w:rPr>
          <w:rFonts w:ascii="微软雅黑" w:eastAsia="微软雅黑" w:hAnsi="微软雅黑" w:cs="微软雅黑"/>
          <w:noProof/>
          <w:spacing w:val="7"/>
          <w:lang w:eastAsia="zh-CN"/>
        </w:rPr>
        <w:t>IBGE</w:t>
      </w:r>
      <w:r w:rsidRPr="003614EA">
        <w:rPr>
          <w:rFonts w:ascii="微软雅黑" w:eastAsia="微软雅黑" w:hAnsi="微软雅黑" w:cs="微软雅黑" w:hint="eastAsia"/>
          <w:noProof/>
          <w:spacing w:val="7"/>
          <w:lang w:eastAsia="zh-CN"/>
        </w:rPr>
        <w:t>）在一份报告中称，预计巴西</w:t>
      </w:r>
      <w:r w:rsidRPr="003614EA">
        <w:rPr>
          <w:rFonts w:ascii="微软雅黑" w:eastAsia="微软雅黑" w:hAnsi="微软雅黑" w:cs="微软雅黑"/>
          <w:noProof/>
          <w:spacing w:val="7"/>
          <w:lang w:eastAsia="zh-CN"/>
        </w:rPr>
        <w:t>2026</w:t>
      </w:r>
      <w:r w:rsidRPr="003614EA">
        <w:rPr>
          <w:rFonts w:ascii="微软雅黑" w:eastAsia="微软雅黑" w:hAnsi="微软雅黑" w:cs="微软雅黑" w:hint="eastAsia"/>
          <w:noProof/>
          <w:spacing w:val="7"/>
          <w:lang w:eastAsia="zh-CN"/>
        </w:rPr>
        <w:t>年棉花总种植面积为</w:t>
      </w:r>
      <w:r w:rsidRPr="003614EA">
        <w:rPr>
          <w:rFonts w:ascii="微软雅黑" w:eastAsia="微软雅黑" w:hAnsi="微软雅黑" w:cs="微软雅黑"/>
          <w:noProof/>
          <w:spacing w:val="7"/>
          <w:lang w:eastAsia="zh-CN"/>
        </w:rPr>
        <w:t>203.87</w:t>
      </w:r>
      <w:r w:rsidRPr="003614EA">
        <w:rPr>
          <w:rFonts w:ascii="微软雅黑" w:eastAsia="微软雅黑" w:hAnsi="微软雅黑" w:cs="微软雅黑" w:hint="eastAsia"/>
          <w:noProof/>
          <w:spacing w:val="7"/>
          <w:lang w:eastAsia="zh-CN"/>
        </w:rPr>
        <w:t>万公顷，与上个月预估值上调</w:t>
      </w:r>
      <w:r w:rsidRPr="003614EA">
        <w:rPr>
          <w:rFonts w:ascii="微软雅黑" w:eastAsia="微软雅黑" w:hAnsi="微软雅黑" w:cs="微软雅黑"/>
          <w:noProof/>
          <w:spacing w:val="7"/>
          <w:lang w:eastAsia="zh-CN"/>
        </w:rPr>
        <w:t>0.10%</w:t>
      </w:r>
      <w:r w:rsidRPr="003614EA">
        <w:rPr>
          <w:rFonts w:ascii="微软雅黑" w:eastAsia="微软雅黑" w:hAnsi="微软雅黑" w:cs="微软雅黑" w:hint="eastAsia"/>
          <w:noProof/>
          <w:spacing w:val="7"/>
          <w:lang w:eastAsia="zh-CN"/>
        </w:rPr>
        <w:t>，较上年种植面积下降</w:t>
      </w:r>
      <w:r w:rsidRPr="003614EA">
        <w:rPr>
          <w:rFonts w:ascii="微软雅黑" w:eastAsia="微软雅黑" w:hAnsi="微软雅黑" w:cs="微软雅黑"/>
          <w:noProof/>
          <w:spacing w:val="7"/>
          <w:lang w:eastAsia="zh-CN"/>
        </w:rPr>
        <w:t>4.9%</w:t>
      </w:r>
      <w:r w:rsidRPr="003614EA">
        <w:rPr>
          <w:rFonts w:ascii="微软雅黑" w:eastAsia="微软雅黑" w:hAnsi="微软雅黑" w:cs="微软雅黑" w:hint="eastAsia"/>
          <w:noProof/>
          <w:spacing w:val="7"/>
          <w:lang w:eastAsia="zh-CN"/>
        </w:rPr>
        <w:t>，籽棉产量预估为</w:t>
      </w:r>
      <w:r w:rsidRPr="003614EA">
        <w:rPr>
          <w:rFonts w:ascii="微软雅黑" w:eastAsia="微软雅黑" w:hAnsi="微软雅黑" w:cs="微软雅黑"/>
          <w:noProof/>
          <w:spacing w:val="7"/>
          <w:lang w:eastAsia="zh-CN"/>
        </w:rPr>
        <w:t>949.6733</w:t>
      </w:r>
      <w:r w:rsidRPr="003614EA">
        <w:rPr>
          <w:rFonts w:ascii="微软雅黑" w:eastAsia="微软雅黑" w:hAnsi="微软雅黑" w:cs="微软雅黑" w:hint="eastAsia"/>
          <w:noProof/>
          <w:spacing w:val="7"/>
          <w:lang w:eastAsia="zh-CN"/>
        </w:rPr>
        <w:t>万吨，较上个月预估值上调</w:t>
      </w:r>
      <w:r w:rsidRPr="003614EA">
        <w:rPr>
          <w:rFonts w:ascii="微软雅黑" w:eastAsia="微软雅黑" w:hAnsi="微软雅黑" w:cs="微软雅黑"/>
          <w:noProof/>
          <w:spacing w:val="7"/>
          <w:lang w:eastAsia="zh-CN"/>
        </w:rPr>
        <w:t>3.0%</w:t>
      </w:r>
      <w:r w:rsidRPr="003614EA">
        <w:rPr>
          <w:rFonts w:ascii="微软雅黑" w:eastAsia="微软雅黑" w:hAnsi="微软雅黑" w:cs="微软雅黑" w:hint="eastAsia"/>
          <w:noProof/>
          <w:spacing w:val="7"/>
          <w:lang w:eastAsia="zh-CN"/>
        </w:rPr>
        <w:t>，较上年产量下降</w:t>
      </w:r>
      <w:r w:rsidRPr="003614EA">
        <w:rPr>
          <w:rFonts w:ascii="微软雅黑" w:eastAsia="微软雅黑" w:hAnsi="微软雅黑" w:cs="微软雅黑"/>
          <w:noProof/>
          <w:spacing w:val="7"/>
          <w:lang w:eastAsia="zh-CN"/>
        </w:rPr>
        <w:t>3.9%</w:t>
      </w:r>
      <w:r w:rsidR="00760346" w:rsidRPr="00760346">
        <w:rPr>
          <w:rFonts w:ascii="微软雅黑" w:eastAsia="微软雅黑" w:hAnsi="微软雅黑" w:cs="微软雅黑" w:hint="eastAsia"/>
          <w:noProof/>
          <w:spacing w:val="7"/>
          <w:lang w:eastAsia="zh-CN"/>
        </w:rPr>
        <w:t>。</w:t>
      </w:r>
    </w:p>
    <w:p w14:paraId="7D3DBD43" w14:textId="5FA76B45" w:rsidR="00C24CC6" w:rsidRPr="00C24CC6" w:rsidRDefault="00F728F3" w:rsidP="00760346">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2A1E7C46" w:rsidR="00C24CC6" w:rsidRDefault="003614EA"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drawing>
          <wp:inline distT="0" distB="0" distL="0" distR="0" wp14:anchorId="2D3C13E4" wp14:editId="12C65B08">
            <wp:extent cx="5262245" cy="2191385"/>
            <wp:effectExtent l="0" t="0" r="0" b="0"/>
            <wp:docPr id="1913851096" name="图片 6" descr="QQ截图2026102008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0" descr="QQ截图2026102008054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2245" cy="2191385"/>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lastRenderedPageBreak/>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7FFA2" w14:textId="77777777" w:rsidR="0026162E" w:rsidRDefault="0026162E">
      <w:pPr>
        <w:ind w:right="210" w:firstLine="420"/>
      </w:pPr>
      <w:r>
        <w:separator/>
      </w:r>
    </w:p>
  </w:endnote>
  <w:endnote w:type="continuationSeparator" w:id="0">
    <w:p w14:paraId="1614F1E1" w14:textId="77777777" w:rsidR="0026162E" w:rsidRDefault="0026162E">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D24C4" w14:textId="77777777" w:rsidR="0026162E" w:rsidRDefault="0026162E">
      <w:pPr>
        <w:ind w:right="210" w:firstLine="420"/>
      </w:pPr>
      <w:r>
        <w:separator/>
      </w:r>
    </w:p>
  </w:footnote>
  <w:footnote w:type="continuationSeparator" w:id="0">
    <w:p w14:paraId="12361134" w14:textId="77777777" w:rsidR="0026162E" w:rsidRDefault="0026162E">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1303328005"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039"/>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756"/>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E4DA6"/>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24E"/>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322"/>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3BFC"/>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09B8"/>
    <w:rsid w:val="0026162E"/>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A6249"/>
    <w:rsid w:val="002B07C6"/>
    <w:rsid w:val="002B2EDC"/>
    <w:rsid w:val="002B4ACE"/>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57FC6"/>
    <w:rsid w:val="0036147E"/>
    <w:rsid w:val="003614EA"/>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4526"/>
    <w:rsid w:val="0038507E"/>
    <w:rsid w:val="0038561C"/>
    <w:rsid w:val="0038605D"/>
    <w:rsid w:val="00386524"/>
    <w:rsid w:val="003879E8"/>
    <w:rsid w:val="00387E18"/>
    <w:rsid w:val="00387F1E"/>
    <w:rsid w:val="00387FB4"/>
    <w:rsid w:val="00390E0E"/>
    <w:rsid w:val="0039196A"/>
    <w:rsid w:val="00393F72"/>
    <w:rsid w:val="00394035"/>
    <w:rsid w:val="0039436B"/>
    <w:rsid w:val="003943A6"/>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714"/>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2D16"/>
    <w:rsid w:val="005334EE"/>
    <w:rsid w:val="005337AE"/>
    <w:rsid w:val="005340E9"/>
    <w:rsid w:val="00534524"/>
    <w:rsid w:val="00534F09"/>
    <w:rsid w:val="00536675"/>
    <w:rsid w:val="00536697"/>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5FC"/>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0647"/>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AEC"/>
    <w:rsid w:val="00725B26"/>
    <w:rsid w:val="00726124"/>
    <w:rsid w:val="00726161"/>
    <w:rsid w:val="00727595"/>
    <w:rsid w:val="00727F7F"/>
    <w:rsid w:val="007300C9"/>
    <w:rsid w:val="0073097E"/>
    <w:rsid w:val="00730A9C"/>
    <w:rsid w:val="007317D2"/>
    <w:rsid w:val="00731B6E"/>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346"/>
    <w:rsid w:val="00760A58"/>
    <w:rsid w:val="00760E5D"/>
    <w:rsid w:val="00760F9A"/>
    <w:rsid w:val="00761650"/>
    <w:rsid w:val="00761B29"/>
    <w:rsid w:val="00762F58"/>
    <w:rsid w:val="0076448B"/>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2115"/>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B55E7"/>
    <w:rsid w:val="007C0BB3"/>
    <w:rsid w:val="007C1292"/>
    <w:rsid w:val="007C1951"/>
    <w:rsid w:val="007C19C6"/>
    <w:rsid w:val="007C1CAA"/>
    <w:rsid w:val="007C1E13"/>
    <w:rsid w:val="007C2ACF"/>
    <w:rsid w:val="007C30B0"/>
    <w:rsid w:val="007C30C1"/>
    <w:rsid w:val="007C3531"/>
    <w:rsid w:val="007C4D87"/>
    <w:rsid w:val="007C6841"/>
    <w:rsid w:val="007C68D7"/>
    <w:rsid w:val="007C6923"/>
    <w:rsid w:val="007D119D"/>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19"/>
    <w:rsid w:val="008118B4"/>
    <w:rsid w:val="0081211E"/>
    <w:rsid w:val="00812277"/>
    <w:rsid w:val="00812AAB"/>
    <w:rsid w:val="00812B1A"/>
    <w:rsid w:val="00813E5C"/>
    <w:rsid w:val="0081401A"/>
    <w:rsid w:val="0081486F"/>
    <w:rsid w:val="00814EEB"/>
    <w:rsid w:val="0081509B"/>
    <w:rsid w:val="0081526C"/>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5FA8"/>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4EB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9D2"/>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3D80"/>
    <w:rsid w:val="009D4C3F"/>
    <w:rsid w:val="009D5C5D"/>
    <w:rsid w:val="009D5D17"/>
    <w:rsid w:val="009D6EE2"/>
    <w:rsid w:val="009D751D"/>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329"/>
    <w:rsid w:val="00A2655E"/>
    <w:rsid w:val="00A26778"/>
    <w:rsid w:val="00A27DD1"/>
    <w:rsid w:val="00A30111"/>
    <w:rsid w:val="00A30A89"/>
    <w:rsid w:val="00A31D2C"/>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540"/>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6D1F"/>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0A5E"/>
    <w:rsid w:val="00B11817"/>
    <w:rsid w:val="00B1212E"/>
    <w:rsid w:val="00B1238C"/>
    <w:rsid w:val="00B12E29"/>
    <w:rsid w:val="00B13C07"/>
    <w:rsid w:val="00B154FA"/>
    <w:rsid w:val="00B1563E"/>
    <w:rsid w:val="00B16059"/>
    <w:rsid w:val="00B17B95"/>
    <w:rsid w:val="00B20DD0"/>
    <w:rsid w:val="00B21B10"/>
    <w:rsid w:val="00B2200B"/>
    <w:rsid w:val="00B225A3"/>
    <w:rsid w:val="00B25087"/>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0665"/>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6A5"/>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3C3"/>
    <w:rsid w:val="00E72864"/>
    <w:rsid w:val="00E72B4B"/>
    <w:rsid w:val="00E73EA1"/>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3FC"/>
    <w:rsid w:val="00F61894"/>
    <w:rsid w:val="00F63F89"/>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0016"/>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rsid w:val="00E73EA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 w:type="character" w:styleId="ab">
    <w:name w:val="Unresolved Mention"/>
    <w:basedOn w:val="a0"/>
    <w:uiPriority w:val="99"/>
    <w:semiHidden/>
    <w:unhideWhenUsed/>
    <w:rsid w:val="00FD0016"/>
    <w:rPr>
      <w:color w:val="605E5C"/>
      <w:shd w:val="clear" w:color="auto" w:fill="E1DFDD"/>
    </w:rPr>
  </w:style>
  <w:style w:type="character" w:customStyle="1" w:styleId="20">
    <w:name w:val="标题 2 字符"/>
    <w:basedOn w:val="a0"/>
    <w:link w:val="2"/>
    <w:semiHidden/>
    <w:rsid w:val="00E73EA1"/>
    <w:rPr>
      <w:rFonts w:asciiTheme="majorHAnsi" w:eastAsiaTheme="majorEastAsia" w:hAnsiTheme="majorHAnsi" w:cstheme="majorBidi"/>
      <w:b/>
      <w:bCs/>
      <w:snapToGrid w:val="0"/>
      <w:color w:val="00000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688</Words>
  <Characters>3928</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2</cp:revision>
  <cp:lastPrinted>2026-09-24T02:10:00Z</cp:lastPrinted>
  <dcterms:created xsi:type="dcterms:W3CDTF">2026-10-20T02:15:00Z</dcterms:created>
  <dcterms:modified xsi:type="dcterms:W3CDTF">2026-10-20T02:15:00Z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